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10207" w:type="dxa"/>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F12D4D" w:rsidRPr="0011729F" w14:paraId="5A91E2DD" w14:textId="77777777" w:rsidTr="00F12D4D">
        <w:trPr>
          <w:trHeight w:val="851"/>
        </w:trPr>
        <w:tc>
          <w:tcPr>
            <w:tcW w:w="976" w:type="dxa"/>
            <w:tcBorders>
              <w:bottom w:val="single" w:sz="12" w:space="0" w:color="auto"/>
            </w:tcBorders>
          </w:tcPr>
          <w:p w14:paraId="6C6AC897" w14:textId="77777777" w:rsidR="00F12D4D" w:rsidRPr="0011729F" w:rsidRDefault="00F12D4D" w:rsidP="00285C0F">
            <w:pPr>
              <w:rPr>
                <w:kern w:val="22"/>
                <w:lang w:val="en-GB"/>
              </w:rPr>
            </w:pPr>
            <w:r w:rsidRPr="0011729F">
              <w:rPr>
                <w:noProof/>
                <w:kern w:val="22"/>
                <w:lang w:val="fr-CA" w:eastAsia="fr-CA"/>
              </w:rPr>
              <w:drawing>
                <wp:anchor distT="0" distB="0" distL="114300" distR="114300" simplePos="0" relativeHeight="251658240" behindDoc="0" locked="0" layoutInCell="1" allowOverlap="1" wp14:anchorId="29B9289B" wp14:editId="3F578080">
                  <wp:simplePos x="0" y="0"/>
                  <wp:positionH relativeFrom="column">
                    <wp:posOffset>365</wp:posOffset>
                  </wp:positionH>
                  <wp:positionV relativeFrom="page">
                    <wp:posOffset>-122</wp:posOffset>
                  </wp:positionV>
                  <wp:extent cx="476250" cy="402590"/>
                  <wp:effectExtent l="0" t="0" r="0" b="0"/>
                  <wp:wrapNone/>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579E32CE" w14:textId="0C9F6F46" w:rsidR="00F12D4D" w:rsidRPr="0011729F" w:rsidRDefault="00750297" w:rsidP="00285C0F">
            <w:pPr>
              <w:rPr>
                <w:kern w:val="22"/>
                <w:lang w:val="en-GB"/>
              </w:rPr>
            </w:pPr>
            <w:r w:rsidRPr="00750297">
              <w:rPr>
                <w:noProof/>
                <w:snapToGrid w:val="0"/>
                <w:lang w:val="fr-CA" w:eastAsia="fr-CA"/>
              </w:rPr>
              <w:drawing>
                <wp:inline distT="0" distB="0" distL="0" distR="0" wp14:anchorId="5B7C9849" wp14:editId="55EB09C7">
                  <wp:extent cx="591185" cy="341630"/>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1185" cy="341630"/>
                          </a:xfrm>
                          <a:prstGeom prst="rect">
                            <a:avLst/>
                          </a:prstGeom>
                          <a:noFill/>
                        </pic:spPr>
                      </pic:pic>
                    </a:graphicData>
                  </a:graphic>
                </wp:inline>
              </w:drawing>
            </w:r>
          </w:p>
        </w:tc>
        <w:tc>
          <w:tcPr>
            <w:tcW w:w="4090" w:type="dxa"/>
            <w:tcBorders>
              <w:bottom w:val="single" w:sz="12" w:space="0" w:color="auto"/>
            </w:tcBorders>
          </w:tcPr>
          <w:p w14:paraId="6B0FDCAE" w14:textId="77777777" w:rsidR="00F12D4D" w:rsidRPr="0011729F" w:rsidRDefault="00F12D4D" w:rsidP="00285C0F">
            <w:pPr>
              <w:jc w:val="right"/>
              <w:rPr>
                <w:rFonts w:ascii="Arial" w:hAnsi="Arial" w:cs="Arial"/>
                <w:b/>
                <w:kern w:val="22"/>
                <w:sz w:val="32"/>
                <w:szCs w:val="32"/>
                <w:lang w:val="en-GB"/>
              </w:rPr>
            </w:pPr>
            <w:r w:rsidRPr="0011729F">
              <w:rPr>
                <w:rFonts w:ascii="Arial" w:hAnsi="Arial" w:cs="Arial"/>
                <w:b/>
                <w:kern w:val="22"/>
                <w:sz w:val="32"/>
                <w:szCs w:val="32"/>
                <w:lang w:val="en-GB"/>
              </w:rPr>
              <w:t>CBD</w:t>
            </w:r>
          </w:p>
        </w:tc>
      </w:tr>
    </w:tbl>
    <w:tbl>
      <w:tblPr>
        <w:tblW w:w="10207" w:type="dxa"/>
        <w:tblInd w:w="-318" w:type="dxa"/>
        <w:tblBorders>
          <w:bottom w:val="single" w:sz="36" w:space="0" w:color="000000"/>
        </w:tblBorders>
        <w:tblLayout w:type="fixed"/>
        <w:tblLook w:val="0000" w:firstRow="0" w:lastRow="0" w:firstColumn="0" w:lastColumn="0" w:noHBand="0" w:noVBand="0"/>
      </w:tblPr>
      <w:tblGrid>
        <w:gridCol w:w="6086"/>
        <w:gridCol w:w="1144"/>
        <w:gridCol w:w="2977"/>
      </w:tblGrid>
      <w:tr w:rsidR="00AD1731" w:rsidRPr="00750297" w14:paraId="468E17DE" w14:textId="77777777" w:rsidTr="00CF5ABA">
        <w:trPr>
          <w:trHeight w:val="1693"/>
        </w:trPr>
        <w:tc>
          <w:tcPr>
            <w:tcW w:w="6086" w:type="dxa"/>
            <w:tcBorders>
              <w:top w:val="nil"/>
              <w:bottom w:val="single" w:sz="36" w:space="0" w:color="000000"/>
            </w:tcBorders>
          </w:tcPr>
          <w:p w14:paraId="78547573" w14:textId="0B8AC0D8" w:rsidR="00AD1731" w:rsidRPr="00750297" w:rsidRDefault="00750297">
            <w:pPr>
              <w:suppressLineNumbers/>
              <w:suppressAutoHyphens/>
              <w:rPr>
                <w:rFonts w:ascii="Univers" w:hAnsi="Univers"/>
                <w:snapToGrid w:val="0"/>
                <w:kern w:val="22"/>
                <w:sz w:val="22"/>
                <w:szCs w:val="22"/>
                <w:lang w:val="fr-CA"/>
              </w:rPr>
            </w:pPr>
            <w:r w:rsidRPr="00750297">
              <w:rPr>
                <w:noProof/>
                <w:szCs w:val="22"/>
                <w:lang w:val="fr-CA" w:eastAsia="fr-CA"/>
              </w:rPr>
              <w:drawing>
                <wp:inline distT="0" distB="0" distL="0" distR="0" wp14:anchorId="6514D5FD" wp14:editId="6B623B9A">
                  <wp:extent cx="2355215" cy="943610"/>
                  <wp:effectExtent l="0" t="0" r="6985" b="8890"/>
                  <wp:docPr id="9" name="Image 9"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BD_logo_fr-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55215" cy="943610"/>
                          </a:xfrm>
                          <a:prstGeom prst="rect">
                            <a:avLst/>
                          </a:prstGeom>
                          <a:noFill/>
                          <a:ln>
                            <a:noFill/>
                          </a:ln>
                        </pic:spPr>
                      </pic:pic>
                    </a:graphicData>
                  </a:graphic>
                </wp:inline>
              </w:drawing>
            </w:r>
          </w:p>
        </w:tc>
        <w:tc>
          <w:tcPr>
            <w:tcW w:w="1144" w:type="dxa"/>
            <w:tcBorders>
              <w:top w:val="nil"/>
              <w:bottom w:val="single" w:sz="36" w:space="0" w:color="000000"/>
            </w:tcBorders>
          </w:tcPr>
          <w:p w14:paraId="5B2AB017" w14:textId="77777777" w:rsidR="00AD1731" w:rsidRPr="00750297" w:rsidRDefault="00AD1731" w:rsidP="00ED543F">
            <w:pPr>
              <w:pStyle w:val="En-tte"/>
              <w:suppressLineNumbers/>
              <w:tabs>
                <w:tab w:val="clear" w:pos="4320"/>
                <w:tab w:val="clear" w:pos="8640"/>
              </w:tabs>
              <w:suppressAutoHyphens/>
              <w:jc w:val="both"/>
              <w:rPr>
                <w:rFonts w:eastAsia="MS Mincho"/>
                <w:bCs/>
                <w:snapToGrid w:val="0"/>
                <w:kern w:val="22"/>
                <w:sz w:val="22"/>
                <w:szCs w:val="22"/>
                <w:lang w:val="fr-CA"/>
              </w:rPr>
            </w:pPr>
          </w:p>
        </w:tc>
        <w:tc>
          <w:tcPr>
            <w:tcW w:w="2977" w:type="dxa"/>
            <w:tcBorders>
              <w:top w:val="nil"/>
              <w:bottom w:val="single" w:sz="36" w:space="0" w:color="000000"/>
            </w:tcBorders>
          </w:tcPr>
          <w:p w14:paraId="0FB2512D" w14:textId="77777777" w:rsidR="00AD1731" w:rsidRPr="00750297" w:rsidRDefault="00AD1731" w:rsidP="00ED543F">
            <w:pPr>
              <w:suppressLineNumbers/>
              <w:suppressAutoHyphens/>
              <w:ind w:left="318"/>
              <w:rPr>
                <w:snapToGrid w:val="0"/>
                <w:kern w:val="22"/>
                <w:sz w:val="22"/>
                <w:szCs w:val="22"/>
                <w:lang w:val="fr-CA"/>
              </w:rPr>
            </w:pPr>
            <w:r w:rsidRPr="00750297">
              <w:rPr>
                <w:snapToGrid w:val="0"/>
                <w:kern w:val="22"/>
                <w:sz w:val="22"/>
                <w:szCs w:val="22"/>
                <w:lang w:val="fr-CA"/>
              </w:rPr>
              <w:t>Distr.</w:t>
            </w:r>
          </w:p>
          <w:p w14:paraId="46E0F7A0" w14:textId="0C4F4D0B" w:rsidR="00AD1731" w:rsidRPr="00750297" w:rsidRDefault="006E2CFC" w:rsidP="00ED543F">
            <w:pPr>
              <w:suppressLineNumbers/>
              <w:suppressAutoHyphens/>
              <w:ind w:left="318"/>
              <w:rPr>
                <w:snapToGrid w:val="0"/>
                <w:kern w:val="22"/>
                <w:sz w:val="22"/>
                <w:szCs w:val="22"/>
                <w:lang w:val="fr-CA"/>
              </w:rPr>
            </w:pPr>
            <w:r>
              <w:rPr>
                <w:snapToGrid w:val="0"/>
                <w:kern w:val="22"/>
                <w:sz w:val="22"/>
                <w:szCs w:val="22"/>
                <w:lang w:val="fr-CA"/>
              </w:rPr>
              <w:t>GÉ</w:t>
            </w:r>
            <w:r w:rsidR="00750297">
              <w:rPr>
                <w:snapToGrid w:val="0"/>
                <w:kern w:val="22"/>
                <w:sz w:val="22"/>
                <w:szCs w:val="22"/>
                <w:lang w:val="fr-CA"/>
              </w:rPr>
              <w:t>NÉRALE</w:t>
            </w:r>
          </w:p>
          <w:p w14:paraId="3F888B85" w14:textId="77777777" w:rsidR="00AD1731" w:rsidRPr="00750297" w:rsidRDefault="00AD1731" w:rsidP="00ED543F">
            <w:pPr>
              <w:suppressLineNumbers/>
              <w:suppressAutoHyphens/>
              <w:ind w:left="318"/>
              <w:rPr>
                <w:snapToGrid w:val="0"/>
                <w:kern w:val="22"/>
                <w:sz w:val="22"/>
                <w:szCs w:val="22"/>
                <w:lang w:val="fr-CA"/>
              </w:rPr>
            </w:pPr>
          </w:p>
          <w:bookmarkStart w:id="0" w:name="_Hlk22815168" w:displacedByCustomXml="next"/>
          <w:sdt>
            <w:sdtPr>
              <w:rPr>
                <w:snapToGrid w:val="0"/>
                <w:kern w:val="22"/>
                <w:sz w:val="22"/>
                <w:szCs w:val="22"/>
                <w:lang w:val="fr-CA"/>
              </w:rPr>
              <w:alias w:val="Subject"/>
              <w:tag w:val=""/>
              <w:id w:val="-1155982080"/>
              <w:placeholder>
                <w:docPart w:val="81355327F9CD445C81A204DE4BCA7A6D"/>
              </w:placeholder>
              <w:dataBinding w:prefixMappings="xmlns:ns0='http://purl.org/dc/elements/1.1/' xmlns:ns1='http://schemas.openxmlformats.org/package/2006/metadata/core-properties' " w:xpath="/ns1:coreProperties[1]/ns0:subject[1]" w:storeItemID="{6C3C8BC8-F283-45AE-878A-BAB7291924A1}"/>
              <w:text/>
            </w:sdtPr>
            <w:sdtContent>
              <w:bookmarkEnd w:id="0" w:displacedByCustomXml="prev"/>
              <w:p w14:paraId="745D3159" w14:textId="5C913E28" w:rsidR="00AD1731" w:rsidRPr="00750297" w:rsidRDefault="00D04AF6" w:rsidP="00ED543F">
                <w:pPr>
                  <w:suppressLineNumbers/>
                  <w:suppressAutoHyphens/>
                  <w:ind w:left="318"/>
                  <w:rPr>
                    <w:snapToGrid w:val="0"/>
                    <w:kern w:val="22"/>
                    <w:sz w:val="22"/>
                    <w:szCs w:val="22"/>
                    <w:lang w:val="fr-CA"/>
                  </w:rPr>
                </w:pPr>
                <w:r w:rsidRPr="00750297">
                  <w:rPr>
                    <w:snapToGrid w:val="0"/>
                    <w:kern w:val="22"/>
                    <w:sz w:val="22"/>
                    <w:szCs w:val="22"/>
                    <w:lang w:val="fr-CA"/>
                  </w:rPr>
                  <w:t>CBD/SBI/3/6</w:t>
                </w:r>
              </w:p>
            </w:sdtContent>
          </w:sdt>
          <w:p w14:paraId="363B20D6" w14:textId="16D0D0A5" w:rsidR="00AD1731" w:rsidRPr="00750297" w:rsidRDefault="00EC3182" w:rsidP="00ED543F">
            <w:pPr>
              <w:suppressLineNumbers/>
              <w:suppressAutoHyphens/>
              <w:ind w:left="318"/>
              <w:rPr>
                <w:snapToGrid w:val="0"/>
                <w:kern w:val="22"/>
                <w:sz w:val="22"/>
                <w:szCs w:val="22"/>
                <w:lang w:val="fr-CA"/>
              </w:rPr>
            </w:pPr>
            <w:r w:rsidRPr="00750297">
              <w:rPr>
                <w:snapToGrid w:val="0"/>
                <w:kern w:val="22"/>
                <w:sz w:val="22"/>
                <w:szCs w:val="22"/>
                <w:lang w:val="fr-CA"/>
              </w:rPr>
              <w:t xml:space="preserve">18 </w:t>
            </w:r>
            <w:r w:rsidR="00750297">
              <w:rPr>
                <w:snapToGrid w:val="0"/>
                <w:kern w:val="22"/>
                <w:sz w:val="22"/>
                <w:szCs w:val="22"/>
                <w:lang w:val="fr-CA"/>
              </w:rPr>
              <w:t>février</w:t>
            </w:r>
            <w:r w:rsidRPr="00750297">
              <w:rPr>
                <w:snapToGrid w:val="0"/>
                <w:kern w:val="22"/>
                <w:sz w:val="22"/>
                <w:szCs w:val="22"/>
                <w:lang w:val="fr-CA"/>
              </w:rPr>
              <w:t xml:space="preserve"> 2021</w:t>
            </w:r>
          </w:p>
          <w:p w14:paraId="1567952D" w14:textId="77777777" w:rsidR="00AD1731" w:rsidRPr="00750297" w:rsidRDefault="00AD1731" w:rsidP="00ED543F">
            <w:pPr>
              <w:suppressLineNumbers/>
              <w:suppressAutoHyphens/>
              <w:ind w:left="318"/>
              <w:rPr>
                <w:snapToGrid w:val="0"/>
                <w:kern w:val="22"/>
                <w:sz w:val="22"/>
                <w:szCs w:val="22"/>
                <w:lang w:val="fr-CA"/>
              </w:rPr>
            </w:pPr>
          </w:p>
          <w:p w14:paraId="4C71C07F" w14:textId="77777777" w:rsidR="00750297" w:rsidRDefault="00750297" w:rsidP="00ED543F">
            <w:pPr>
              <w:suppressLineNumbers/>
              <w:suppressAutoHyphens/>
              <w:ind w:left="318"/>
              <w:rPr>
                <w:snapToGrid w:val="0"/>
                <w:kern w:val="22"/>
                <w:sz w:val="22"/>
                <w:szCs w:val="22"/>
                <w:lang w:val="fr-CA"/>
              </w:rPr>
            </w:pPr>
            <w:r>
              <w:rPr>
                <w:snapToGrid w:val="0"/>
                <w:kern w:val="22"/>
                <w:sz w:val="22"/>
                <w:szCs w:val="22"/>
                <w:lang w:val="fr-CA"/>
              </w:rPr>
              <w:t>FRANÇAIS</w:t>
            </w:r>
          </w:p>
          <w:p w14:paraId="41D2943F" w14:textId="39939E89" w:rsidR="00AD1731" w:rsidRPr="00750297" w:rsidRDefault="00AD1731" w:rsidP="00750297">
            <w:pPr>
              <w:suppressLineNumbers/>
              <w:suppressAutoHyphens/>
              <w:ind w:left="318"/>
              <w:rPr>
                <w:snapToGrid w:val="0"/>
                <w:kern w:val="22"/>
                <w:sz w:val="22"/>
                <w:szCs w:val="22"/>
                <w:u w:val="single"/>
                <w:lang w:val="fr-CA"/>
              </w:rPr>
            </w:pPr>
            <w:r w:rsidRPr="00750297">
              <w:rPr>
                <w:snapToGrid w:val="0"/>
                <w:kern w:val="22"/>
                <w:sz w:val="22"/>
                <w:szCs w:val="22"/>
                <w:lang w:val="fr-CA"/>
              </w:rPr>
              <w:t>ORIGINAL</w:t>
            </w:r>
            <w:r w:rsidR="006E2CFC">
              <w:rPr>
                <w:snapToGrid w:val="0"/>
                <w:kern w:val="22"/>
                <w:sz w:val="22"/>
                <w:szCs w:val="22"/>
                <w:lang w:val="fr-CA"/>
              </w:rPr>
              <w:t> </w:t>
            </w:r>
            <w:r w:rsidRPr="00750297">
              <w:rPr>
                <w:snapToGrid w:val="0"/>
                <w:kern w:val="22"/>
                <w:sz w:val="22"/>
                <w:szCs w:val="22"/>
                <w:lang w:val="fr-CA"/>
              </w:rPr>
              <w:t xml:space="preserve">: </w:t>
            </w:r>
            <w:r w:rsidR="00750297">
              <w:rPr>
                <w:snapToGrid w:val="0"/>
                <w:kern w:val="22"/>
                <w:sz w:val="22"/>
                <w:szCs w:val="22"/>
                <w:lang w:val="fr-CA"/>
              </w:rPr>
              <w:t>ANGLAIS</w:t>
            </w:r>
          </w:p>
        </w:tc>
      </w:tr>
    </w:tbl>
    <w:p w14:paraId="43341290" w14:textId="42F29D41" w:rsidR="00750297" w:rsidRPr="00750297" w:rsidRDefault="00750297" w:rsidP="00750297">
      <w:pPr>
        <w:pStyle w:val="Cornernotation"/>
        <w:suppressLineNumbers/>
        <w:suppressAutoHyphens/>
        <w:kinsoku w:val="0"/>
        <w:overflowPunct w:val="0"/>
        <w:autoSpaceDE w:val="0"/>
        <w:autoSpaceDN w:val="0"/>
        <w:adjustRightInd w:val="0"/>
        <w:snapToGrid w:val="0"/>
        <w:ind w:left="180"/>
        <w:rPr>
          <w:kern w:val="22"/>
          <w:sz w:val="22"/>
          <w:szCs w:val="22"/>
          <w:lang w:val="fr-CA"/>
        </w:rPr>
      </w:pPr>
      <w:bookmarkStart w:id="1" w:name="_Hlk35353706"/>
      <w:r w:rsidRPr="00750297">
        <w:rPr>
          <w:kern w:val="22"/>
          <w:sz w:val="22"/>
          <w:szCs w:val="22"/>
          <w:lang w:val="fr-CA"/>
        </w:rPr>
        <w:t>ORGANE SUBSIDIAIRE CHARGÉ</w:t>
      </w:r>
    </w:p>
    <w:p w14:paraId="3FB8E964" w14:textId="0A3B6EFB" w:rsidR="00750297" w:rsidRPr="00750297" w:rsidRDefault="00750297" w:rsidP="00750297">
      <w:pPr>
        <w:pStyle w:val="Cornernotation"/>
        <w:suppressLineNumbers/>
        <w:suppressAutoHyphens/>
        <w:kinsoku w:val="0"/>
        <w:overflowPunct w:val="0"/>
        <w:autoSpaceDE w:val="0"/>
        <w:autoSpaceDN w:val="0"/>
        <w:adjustRightInd w:val="0"/>
        <w:snapToGrid w:val="0"/>
        <w:ind w:left="180"/>
        <w:rPr>
          <w:kern w:val="22"/>
          <w:sz w:val="22"/>
          <w:szCs w:val="22"/>
          <w:lang w:val="fr-CA"/>
        </w:rPr>
      </w:pPr>
      <w:r w:rsidRPr="00750297">
        <w:rPr>
          <w:kern w:val="22"/>
          <w:sz w:val="22"/>
          <w:szCs w:val="22"/>
          <w:lang w:val="fr-CA"/>
        </w:rPr>
        <w:t>DE L’APPLICATION</w:t>
      </w:r>
    </w:p>
    <w:p w14:paraId="33DE7B51" w14:textId="77777777" w:rsidR="00750297" w:rsidRPr="00750297" w:rsidRDefault="00750297" w:rsidP="00750297">
      <w:pPr>
        <w:suppressLineNumbers/>
        <w:tabs>
          <w:tab w:val="left" w:pos="5954"/>
        </w:tabs>
        <w:suppressAutoHyphens/>
        <w:kinsoku w:val="0"/>
        <w:overflowPunct w:val="0"/>
        <w:autoSpaceDE w:val="0"/>
        <w:autoSpaceDN w:val="0"/>
        <w:adjustRightInd w:val="0"/>
        <w:snapToGrid w:val="0"/>
        <w:ind w:right="3406"/>
        <w:rPr>
          <w:kern w:val="22"/>
          <w:sz w:val="22"/>
          <w:szCs w:val="22"/>
          <w:lang w:val="fr-CA"/>
        </w:rPr>
      </w:pPr>
      <w:r w:rsidRPr="00750297">
        <w:rPr>
          <w:kern w:val="22"/>
          <w:sz w:val="22"/>
          <w:szCs w:val="22"/>
          <w:lang w:val="fr-CA"/>
        </w:rPr>
        <w:t>Troisième réunion</w:t>
      </w:r>
    </w:p>
    <w:p w14:paraId="792DB208" w14:textId="77777777" w:rsidR="00750297" w:rsidRPr="00750297" w:rsidRDefault="00750297" w:rsidP="00750297">
      <w:pPr>
        <w:suppressLineNumbers/>
        <w:suppressAutoHyphens/>
        <w:kinsoku w:val="0"/>
        <w:overflowPunct w:val="0"/>
        <w:autoSpaceDE w:val="0"/>
        <w:autoSpaceDN w:val="0"/>
        <w:adjustRightInd w:val="0"/>
        <w:snapToGrid w:val="0"/>
        <w:ind w:right="3124"/>
        <w:rPr>
          <w:kern w:val="22"/>
          <w:sz w:val="22"/>
          <w:szCs w:val="22"/>
          <w:lang w:val="fr-CA"/>
        </w:rPr>
      </w:pPr>
      <w:r w:rsidRPr="00750297">
        <w:rPr>
          <w:kern w:val="22"/>
          <w:sz w:val="22"/>
          <w:szCs w:val="22"/>
          <w:lang w:val="fr-CA"/>
        </w:rPr>
        <w:t>Date et lieu à déterminer</w:t>
      </w:r>
    </w:p>
    <w:p w14:paraId="6913D46A" w14:textId="77777777" w:rsidR="00750297" w:rsidRPr="00750297" w:rsidRDefault="00750297" w:rsidP="00750297">
      <w:pPr>
        <w:pStyle w:val="Cornernotation"/>
        <w:suppressLineNumbers/>
        <w:suppressAutoHyphens/>
        <w:kinsoku w:val="0"/>
        <w:overflowPunct w:val="0"/>
        <w:autoSpaceDE w:val="0"/>
        <w:autoSpaceDN w:val="0"/>
        <w:adjustRightInd w:val="0"/>
        <w:snapToGrid w:val="0"/>
        <w:ind w:left="227" w:right="3970" w:hanging="227"/>
        <w:rPr>
          <w:rFonts w:eastAsia="Batang"/>
          <w:snapToGrid w:val="0"/>
          <w:color w:val="000000"/>
          <w:kern w:val="22"/>
          <w:sz w:val="22"/>
          <w:lang w:val="fr-CA" w:eastAsia="ko-KR"/>
        </w:rPr>
      </w:pPr>
      <w:r w:rsidRPr="00750297">
        <w:rPr>
          <w:kern w:val="22"/>
          <w:sz w:val="22"/>
          <w:szCs w:val="22"/>
          <w:lang w:val="fr-CA"/>
        </w:rPr>
        <w:t>Point 6 de l’ordre du jour provisoire</w:t>
      </w:r>
      <w:r w:rsidRPr="00BF3A31">
        <w:rPr>
          <w:rStyle w:val="Appelnotedebasdep"/>
          <w:snapToGrid w:val="0"/>
          <w:kern w:val="22"/>
          <w:sz w:val="16"/>
          <w:szCs w:val="22"/>
          <w:u w:val="none"/>
          <w:lang w:val="fr-CA"/>
        </w:rPr>
        <w:footnoteReference w:customMarkFollows="1" w:id="2"/>
        <w:t>*</w:t>
      </w:r>
      <w:bookmarkEnd w:id="1"/>
    </w:p>
    <w:p w14:paraId="0839ABE2" w14:textId="04596BF4" w:rsidR="00683FCE" w:rsidRPr="00750297" w:rsidRDefault="006E2CFC" w:rsidP="00662E2A">
      <w:pPr>
        <w:pStyle w:val="HEADINGNOTFORTOC"/>
        <w:keepNext w:val="0"/>
        <w:suppressLineNumbers/>
        <w:tabs>
          <w:tab w:val="clear" w:pos="720"/>
        </w:tabs>
        <w:suppressAutoHyphens/>
        <w:rPr>
          <w:snapToGrid w:val="0"/>
          <w:kern w:val="22"/>
          <w:sz w:val="22"/>
          <w:szCs w:val="22"/>
          <w:lang w:val="fr-CA"/>
        </w:rPr>
      </w:pPr>
      <w:sdt>
        <w:sdtPr>
          <w:rPr>
            <w:snapToGrid w:val="0"/>
            <w:kern w:val="22"/>
            <w:sz w:val="22"/>
            <w:szCs w:val="22"/>
            <w:lang w:val="fr-CA"/>
          </w:rPr>
          <w:alias w:val="Title"/>
          <w:tag w:val=""/>
          <w:id w:val="1423067625"/>
          <w:placeholder>
            <w:docPart w:val="FBFD1B4B41914470A1B04A4950C0279A"/>
          </w:placeholder>
          <w:dataBinding w:prefixMappings="xmlns:ns0='http://purl.org/dc/elements/1.1/' xmlns:ns1='http://schemas.openxmlformats.org/package/2006/metadata/core-properties' " w:xpath="/ns1:coreProperties[1]/ns0:title[1]" w:storeItemID="{6C3C8BC8-F283-45AE-878A-BAB7291924A1}"/>
          <w:text/>
        </w:sdtPr>
        <w:sdtContent>
          <w:r w:rsidR="000B6E52">
            <w:rPr>
              <w:snapToGrid w:val="0"/>
              <w:kern w:val="22"/>
              <w:sz w:val="22"/>
              <w:szCs w:val="22"/>
              <w:lang w:val="fr-CA"/>
            </w:rPr>
            <w:t xml:space="preserve">LE </w:t>
          </w:r>
          <w:r w:rsidR="008A670E">
            <w:rPr>
              <w:snapToGrid w:val="0"/>
              <w:kern w:val="22"/>
              <w:sz w:val="22"/>
              <w:szCs w:val="22"/>
              <w:lang w:val="fr-CA"/>
            </w:rPr>
            <w:t>Mé</w:t>
          </w:r>
          <w:r w:rsidR="00750297">
            <w:rPr>
              <w:snapToGrid w:val="0"/>
              <w:kern w:val="22"/>
              <w:sz w:val="22"/>
              <w:szCs w:val="22"/>
              <w:lang w:val="fr-CA"/>
            </w:rPr>
            <w:t>CANISME DE FINANCEMENT</w:t>
          </w:r>
        </w:sdtContent>
      </w:sdt>
    </w:p>
    <w:p w14:paraId="607EB37E" w14:textId="07D50961" w:rsidR="00EE1503" w:rsidRPr="00750297" w:rsidRDefault="008A670E" w:rsidP="00EE1503">
      <w:pPr>
        <w:jc w:val="center"/>
        <w:rPr>
          <w:rFonts w:eastAsia="Malgun Gothic"/>
          <w:i/>
          <w:snapToGrid w:val="0"/>
          <w:kern w:val="22"/>
          <w:sz w:val="22"/>
          <w:lang w:val="fr-CA"/>
        </w:rPr>
      </w:pPr>
      <w:r>
        <w:rPr>
          <w:rFonts w:eastAsia="Malgun Gothic"/>
          <w:i/>
          <w:snapToGrid w:val="0"/>
          <w:kern w:val="22"/>
          <w:sz w:val="22"/>
          <w:lang w:val="fr-CA"/>
        </w:rPr>
        <w:t>Note de la Secrétaire exécutive</w:t>
      </w:r>
    </w:p>
    <w:p w14:paraId="6A52D504" w14:textId="6D00FB22" w:rsidR="000B56BE" w:rsidRPr="00750297" w:rsidRDefault="00662E2A" w:rsidP="00516B43">
      <w:pPr>
        <w:pStyle w:val="Titre1"/>
        <w:numPr>
          <w:ilvl w:val="0"/>
          <w:numId w:val="22"/>
        </w:numPr>
        <w:suppressLineNumbers/>
        <w:tabs>
          <w:tab w:val="clear" w:pos="720"/>
        </w:tabs>
        <w:suppressAutoHyphens/>
        <w:spacing w:before="120"/>
        <w:rPr>
          <w:b w:val="0"/>
          <w:iCs/>
          <w:kern w:val="22"/>
          <w:sz w:val="22"/>
          <w:szCs w:val="22"/>
          <w:lang w:val="fr-CA"/>
        </w:rPr>
      </w:pPr>
      <w:r w:rsidRPr="00750297">
        <w:rPr>
          <w:kern w:val="22"/>
          <w:sz w:val="22"/>
          <w:szCs w:val="22"/>
          <w:lang w:val="fr-CA"/>
        </w:rPr>
        <w:t>Introduction</w:t>
      </w:r>
    </w:p>
    <w:p w14:paraId="3434AA8D" w14:textId="56739995" w:rsidR="003E1AF0" w:rsidRPr="00187622" w:rsidRDefault="008A670E" w:rsidP="00516B43">
      <w:pPr>
        <w:pStyle w:val="Para1"/>
        <w:numPr>
          <w:ilvl w:val="0"/>
          <w:numId w:val="13"/>
        </w:numPr>
        <w:suppressLineNumbers/>
        <w:tabs>
          <w:tab w:val="num" w:pos="720"/>
        </w:tabs>
        <w:suppressAutoHyphens/>
        <w:spacing w:before="120"/>
        <w:ind w:left="0" w:firstLine="0"/>
        <w:jc w:val="both"/>
        <w:rPr>
          <w:bCs/>
          <w:kern w:val="22"/>
          <w:sz w:val="22"/>
          <w:szCs w:val="22"/>
          <w:lang w:val="fr-CA"/>
        </w:rPr>
      </w:pPr>
      <w:r w:rsidRPr="00187622">
        <w:rPr>
          <w:bCs/>
          <w:kern w:val="22"/>
          <w:sz w:val="22"/>
          <w:szCs w:val="22"/>
          <w:lang w:val="fr-CA"/>
        </w:rPr>
        <w:t>Dans sa décision</w:t>
      </w:r>
      <w:r w:rsidR="007340D5" w:rsidRPr="00187622">
        <w:rPr>
          <w:bCs/>
          <w:kern w:val="22"/>
          <w:sz w:val="22"/>
          <w:szCs w:val="22"/>
          <w:lang w:val="fr-CA"/>
        </w:rPr>
        <w:t xml:space="preserve"> </w:t>
      </w:r>
      <w:hyperlink r:id="rId14" w:history="1">
        <w:r w:rsidR="00966390" w:rsidRPr="00187622">
          <w:rPr>
            <w:rStyle w:val="Lienhypertexte"/>
            <w:bCs/>
            <w:kern w:val="22"/>
            <w:szCs w:val="22"/>
            <w:lang w:val="fr-CA"/>
          </w:rPr>
          <w:t>14/23</w:t>
        </w:r>
      </w:hyperlink>
      <w:r w:rsidR="00966390" w:rsidRPr="00187622">
        <w:rPr>
          <w:bCs/>
          <w:kern w:val="22"/>
          <w:sz w:val="22"/>
          <w:szCs w:val="22"/>
          <w:lang w:val="fr-CA"/>
        </w:rPr>
        <w:t xml:space="preserve">, </w:t>
      </w:r>
      <w:r w:rsidR="00C30EAB" w:rsidRPr="00187622">
        <w:rPr>
          <w:bCs/>
          <w:kern w:val="22"/>
          <w:sz w:val="22"/>
          <w:szCs w:val="22"/>
          <w:lang w:val="fr-CA"/>
        </w:rPr>
        <w:t>la Conférence des Parties prie l’Organe subsidiaire chargé de l</w:t>
      </w:r>
      <w:r w:rsidR="006E2CFC">
        <w:rPr>
          <w:bCs/>
          <w:kern w:val="22"/>
          <w:sz w:val="22"/>
          <w:szCs w:val="22"/>
          <w:lang w:val="fr-CA"/>
        </w:rPr>
        <w:t>’</w:t>
      </w:r>
      <w:r w:rsidR="00C30EAB" w:rsidRPr="00187622">
        <w:rPr>
          <w:bCs/>
          <w:kern w:val="22"/>
          <w:sz w:val="22"/>
          <w:szCs w:val="22"/>
          <w:lang w:val="fr-CA"/>
        </w:rPr>
        <w:t>application, à sa troisième réunion, de préparer ce qui suit aux fins d’examen par la Conférence des Parties à sa quinzième réunion</w:t>
      </w:r>
      <w:r w:rsidR="006E2CFC">
        <w:rPr>
          <w:bCs/>
          <w:kern w:val="22"/>
          <w:sz w:val="22"/>
          <w:szCs w:val="22"/>
          <w:lang w:val="fr-CA"/>
        </w:rPr>
        <w:t> </w:t>
      </w:r>
      <w:r w:rsidR="003E1AF0" w:rsidRPr="00187622">
        <w:rPr>
          <w:bCs/>
          <w:kern w:val="22"/>
          <w:sz w:val="22"/>
          <w:szCs w:val="22"/>
          <w:lang w:val="fr-CA"/>
        </w:rPr>
        <w:t>:</w:t>
      </w:r>
    </w:p>
    <w:p w14:paraId="37AB809C" w14:textId="59964BBD" w:rsidR="007E57DA" w:rsidRPr="00187622" w:rsidRDefault="003B4162" w:rsidP="00C30EAB">
      <w:pPr>
        <w:pStyle w:val="Para1"/>
        <w:numPr>
          <w:ilvl w:val="1"/>
          <w:numId w:val="13"/>
        </w:numPr>
        <w:suppressLineNumbers/>
        <w:suppressAutoHyphens/>
        <w:spacing w:before="120"/>
        <w:ind w:left="0" w:firstLine="720"/>
        <w:jc w:val="both"/>
        <w:rPr>
          <w:bCs/>
          <w:kern w:val="22"/>
          <w:sz w:val="22"/>
          <w:szCs w:val="22"/>
          <w:lang w:val="fr-CA"/>
        </w:rPr>
      </w:pPr>
      <w:r>
        <w:rPr>
          <w:sz w:val="22"/>
          <w:szCs w:val="22"/>
          <w:lang w:val="fr-CA"/>
        </w:rPr>
        <w:t>Le mandat du</w:t>
      </w:r>
      <w:r w:rsidR="00C30EAB" w:rsidRPr="00187622">
        <w:rPr>
          <w:sz w:val="22"/>
          <w:szCs w:val="22"/>
          <w:lang w:val="fr-CA"/>
        </w:rPr>
        <w:t xml:space="preserve"> sixième examen de l’efficacité du mécanisme de financement, pour examen par la Conférence des Parties à sa quinzième réunion </w:t>
      </w:r>
      <w:r w:rsidR="00C30EAB" w:rsidRPr="00187622">
        <w:rPr>
          <w:bCs/>
          <w:kern w:val="22"/>
          <w:sz w:val="22"/>
          <w:szCs w:val="22"/>
          <w:lang w:val="fr-CA"/>
        </w:rPr>
        <w:t>(par</w:t>
      </w:r>
      <w:r w:rsidR="00BF3A31">
        <w:rPr>
          <w:bCs/>
          <w:kern w:val="22"/>
          <w:sz w:val="22"/>
          <w:szCs w:val="22"/>
          <w:lang w:val="fr-CA"/>
        </w:rPr>
        <w:t>agraphe</w:t>
      </w:r>
      <w:r w:rsidR="007E57DA" w:rsidRPr="00187622">
        <w:rPr>
          <w:bCs/>
          <w:kern w:val="22"/>
          <w:sz w:val="22"/>
          <w:szCs w:val="22"/>
          <w:lang w:val="fr-CA"/>
        </w:rPr>
        <w:t xml:space="preserve"> 13)</w:t>
      </w:r>
      <w:r w:rsidR="006E2CFC">
        <w:rPr>
          <w:bCs/>
          <w:kern w:val="22"/>
          <w:sz w:val="22"/>
          <w:szCs w:val="22"/>
          <w:lang w:val="fr-CA"/>
        </w:rPr>
        <w:t> </w:t>
      </w:r>
      <w:r w:rsidR="00CD790D" w:rsidRPr="00187622">
        <w:rPr>
          <w:bCs/>
          <w:kern w:val="22"/>
          <w:sz w:val="22"/>
          <w:szCs w:val="22"/>
          <w:lang w:val="fr-CA"/>
        </w:rPr>
        <w:t>;</w:t>
      </w:r>
    </w:p>
    <w:p w14:paraId="24907CC2" w14:textId="1205D73F" w:rsidR="007E57DA" w:rsidRPr="00187622" w:rsidRDefault="00C30EAB" w:rsidP="0011729F">
      <w:pPr>
        <w:pStyle w:val="Para1"/>
        <w:numPr>
          <w:ilvl w:val="1"/>
          <w:numId w:val="13"/>
        </w:numPr>
        <w:suppressLineNumbers/>
        <w:suppressAutoHyphens/>
        <w:spacing w:before="120"/>
        <w:ind w:left="0" w:firstLine="697"/>
        <w:jc w:val="both"/>
        <w:rPr>
          <w:bCs/>
          <w:kern w:val="22"/>
          <w:sz w:val="22"/>
          <w:szCs w:val="22"/>
          <w:lang w:val="fr-CA"/>
        </w:rPr>
      </w:pPr>
      <w:r w:rsidRPr="00187622">
        <w:rPr>
          <w:bCs/>
          <w:kern w:val="22"/>
          <w:sz w:val="22"/>
          <w:szCs w:val="22"/>
          <w:lang w:val="fr-CA"/>
        </w:rPr>
        <w:t xml:space="preserve">Une estimation </w:t>
      </w:r>
      <w:r w:rsidR="003B4162">
        <w:rPr>
          <w:bCs/>
          <w:kern w:val="22"/>
          <w:sz w:val="22"/>
          <w:szCs w:val="22"/>
          <w:lang w:val="fr-CA"/>
        </w:rPr>
        <w:t>des</w:t>
      </w:r>
      <w:r w:rsidRPr="00187622">
        <w:rPr>
          <w:bCs/>
          <w:kern w:val="22"/>
          <w:sz w:val="22"/>
          <w:szCs w:val="22"/>
          <w:lang w:val="fr-CA"/>
        </w:rPr>
        <w:t xml:space="preserve"> besoins de financement et d’investissement</w:t>
      </w:r>
      <w:r w:rsidR="00903BFB" w:rsidRPr="00187622">
        <w:rPr>
          <w:bCs/>
          <w:kern w:val="22"/>
          <w:sz w:val="22"/>
          <w:szCs w:val="22"/>
          <w:lang w:val="fr-CA"/>
        </w:rPr>
        <w:t xml:space="preserve"> en anticipation de la huitième reconstitution des ressources de la Caisse du Fonds pour l’environnement mondial</w:t>
      </w:r>
      <w:r w:rsidR="003B4162">
        <w:rPr>
          <w:bCs/>
          <w:kern w:val="22"/>
          <w:sz w:val="22"/>
          <w:szCs w:val="22"/>
          <w:lang w:val="fr-CA"/>
        </w:rPr>
        <w:t xml:space="preserve"> (FEM)</w:t>
      </w:r>
      <w:r w:rsidR="007E57DA" w:rsidRPr="00187622">
        <w:rPr>
          <w:bCs/>
          <w:kern w:val="22"/>
          <w:sz w:val="22"/>
          <w:szCs w:val="22"/>
          <w:lang w:val="fr-CA"/>
        </w:rPr>
        <w:t xml:space="preserve"> (par</w:t>
      </w:r>
      <w:r w:rsidR="003B4162">
        <w:rPr>
          <w:bCs/>
          <w:kern w:val="22"/>
          <w:sz w:val="22"/>
          <w:szCs w:val="22"/>
          <w:lang w:val="fr-CA"/>
        </w:rPr>
        <w:t>agraphes </w:t>
      </w:r>
      <w:r w:rsidR="007E57DA" w:rsidRPr="00187622">
        <w:rPr>
          <w:bCs/>
          <w:kern w:val="22"/>
          <w:sz w:val="22"/>
          <w:szCs w:val="22"/>
          <w:lang w:val="fr-CA"/>
        </w:rPr>
        <w:t>1</w:t>
      </w:r>
      <w:r w:rsidR="0017253E" w:rsidRPr="00187622">
        <w:rPr>
          <w:bCs/>
          <w:kern w:val="22"/>
          <w:sz w:val="22"/>
          <w:szCs w:val="22"/>
          <w:lang w:val="fr-CA"/>
        </w:rPr>
        <w:t>5</w:t>
      </w:r>
      <w:r w:rsidR="007E57DA" w:rsidRPr="00187622">
        <w:rPr>
          <w:bCs/>
          <w:kern w:val="22"/>
          <w:sz w:val="22"/>
          <w:szCs w:val="22"/>
          <w:lang w:val="fr-CA"/>
        </w:rPr>
        <w:t>-16)</w:t>
      </w:r>
      <w:r w:rsidR="006E2CFC">
        <w:rPr>
          <w:bCs/>
          <w:kern w:val="22"/>
          <w:sz w:val="22"/>
          <w:szCs w:val="22"/>
          <w:lang w:val="fr-CA"/>
        </w:rPr>
        <w:t> </w:t>
      </w:r>
      <w:r w:rsidR="00CD790D" w:rsidRPr="00187622">
        <w:rPr>
          <w:bCs/>
          <w:kern w:val="22"/>
          <w:sz w:val="22"/>
          <w:szCs w:val="22"/>
          <w:lang w:val="fr-CA"/>
        </w:rPr>
        <w:t>;</w:t>
      </w:r>
    </w:p>
    <w:p w14:paraId="594706D3" w14:textId="051F57CB" w:rsidR="003E1AF0" w:rsidRPr="00187622" w:rsidRDefault="00903BFB" w:rsidP="0011729F">
      <w:pPr>
        <w:pStyle w:val="Para1"/>
        <w:numPr>
          <w:ilvl w:val="1"/>
          <w:numId w:val="13"/>
        </w:numPr>
        <w:suppressLineNumbers/>
        <w:suppressAutoHyphens/>
        <w:spacing w:before="120"/>
        <w:ind w:left="0" w:firstLine="697"/>
        <w:jc w:val="both"/>
        <w:rPr>
          <w:bCs/>
          <w:kern w:val="22"/>
          <w:sz w:val="22"/>
          <w:szCs w:val="22"/>
          <w:lang w:val="fr-CA"/>
        </w:rPr>
      </w:pPr>
      <w:r w:rsidRPr="00187622">
        <w:rPr>
          <w:sz w:val="22"/>
          <w:szCs w:val="22"/>
          <w:lang w:val="fr-CA"/>
        </w:rPr>
        <w:t xml:space="preserve">Des propositions </w:t>
      </w:r>
      <w:r w:rsidR="003B4162">
        <w:rPr>
          <w:sz w:val="22"/>
          <w:szCs w:val="22"/>
          <w:lang w:val="fr-CA"/>
        </w:rPr>
        <w:t>de</w:t>
      </w:r>
      <w:r w:rsidRPr="00187622">
        <w:rPr>
          <w:sz w:val="22"/>
          <w:szCs w:val="22"/>
          <w:lang w:val="fr-CA"/>
        </w:rPr>
        <w:t xml:space="preserve"> cadre quadriennal des priorités du programme axé sur les résultats pour la huitième période de reconstitution (juillet 2022 à juin 2026) </w:t>
      </w:r>
      <w:r w:rsidR="00D2413F">
        <w:rPr>
          <w:sz w:val="22"/>
          <w:szCs w:val="22"/>
          <w:lang w:val="fr-CA"/>
        </w:rPr>
        <w:t xml:space="preserve">des ressources </w:t>
      </w:r>
      <w:r w:rsidRPr="00187622">
        <w:rPr>
          <w:sz w:val="22"/>
          <w:szCs w:val="22"/>
          <w:lang w:val="fr-CA"/>
        </w:rPr>
        <w:t xml:space="preserve">de la Caisse du Fonds pour l’environnement mondial, correspondant au projet de cadre mondial de la biodiversité pour l’après-2020 </w:t>
      </w:r>
      <w:r w:rsidR="007945B4" w:rsidRPr="00187622">
        <w:rPr>
          <w:bCs/>
          <w:kern w:val="22"/>
          <w:sz w:val="22"/>
          <w:szCs w:val="22"/>
          <w:lang w:val="fr-CA"/>
        </w:rPr>
        <w:t>(par</w:t>
      </w:r>
      <w:r w:rsidR="00385C30">
        <w:rPr>
          <w:bCs/>
          <w:kern w:val="22"/>
          <w:sz w:val="22"/>
          <w:szCs w:val="22"/>
          <w:lang w:val="fr-CA"/>
        </w:rPr>
        <w:t>agraphe</w:t>
      </w:r>
      <w:r w:rsidR="007945B4" w:rsidRPr="00187622">
        <w:rPr>
          <w:bCs/>
          <w:kern w:val="22"/>
          <w:sz w:val="22"/>
          <w:szCs w:val="22"/>
          <w:lang w:val="fr-CA"/>
        </w:rPr>
        <w:t xml:space="preserve"> 17)</w:t>
      </w:r>
      <w:r w:rsidR="00FD37B0" w:rsidRPr="00187622">
        <w:rPr>
          <w:bCs/>
          <w:kern w:val="22"/>
          <w:sz w:val="22"/>
          <w:szCs w:val="22"/>
          <w:lang w:val="fr-CA"/>
        </w:rPr>
        <w:t>.</w:t>
      </w:r>
    </w:p>
    <w:p w14:paraId="6519667C" w14:textId="75E46D72" w:rsidR="0017253E" w:rsidRPr="00D17B11" w:rsidRDefault="007351EF" w:rsidP="00516B43">
      <w:pPr>
        <w:pStyle w:val="Para1"/>
        <w:numPr>
          <w:ilvl w:val="0"/>
          <w:numId w:val="13"/>
        </w:numPr>
        <w:suppressLineNumbers/>
        <w:tabs>
          <w:tab w:val="num" w:pos="720"/>
        </w:tabs>
        <w:suppressAutoHyphens/>
        <w:spacing w:before="120"/>
        <w:ind w:left="0" w:firstLine="0"/>
        <w:jc w:val="both"/>
        <w:rPr>
          <w:kern w:val="22"/>
          <w:sz w:val="22"/>
          <w:szCs w:val="22"/>
          <w:lang w:val="fr-CA"/>
        </w:rPr>
      </w:pPr>
      <w:r w:rsidRPr="00D17B11">
        <w:rPr>
          <w:snapToGrid/>
          <w:kern w:val="22"/>
          <w:sz w:val="22"/>
          <w:szCs w:val="22"/>
          <w:lang w:val="fr-CA"/>
        </w:rPr>
        <w:t xml:space="preserve">Dans du paragraphe 8 e) de sa décision </w:t>
      </w:r>
      <w:hyperlink r:id="rId15" w:history="1">
        <w:r w:rsidR="007D0851" w:rsidRPr="00D17B11">
          <w:rPr>
            <w:rStyle w:val="Lienhypertexte"/>
            <w:szCs w:val="22"/>
            <w:lang w:val="fr-CA"/>
          </w:rPr>
          <w:t>XII/30</w:t>
        </w:r>
      </w:hyperlink>
      <w:r w:rsidR="007D0851" w:rsidRPr="00D17B11">
        <w:rPr>
          <w:snapToGrid/>
          <w:kern w:val="22"/>
          <w:sz w:val="22"/>
          <w:szCs w:val="22"/>
          <w:lang w:val="fr-CA"/>
        </w:rPr>
        <w:t xml:space="preserve">, </w:t>
      </w:r>
      <w:r w:rsidRPr="00D17B11">
        <w:rPr>
          <w:snapToGrid/>
          <w:kern w:val="22"/>
          <w:sz w:val="22"/>
          <w:szCs w:val="22"/>
          <w:lang w:val="fr-CA"/>
        </w:rPr>
        <w:t>l</w:t>
      </w:r>
      <w:r w:rsidR="00FA3BC5" w:rsidRPr="00D17B11">
        <w:rPr>
          <w:snapToGrid/>
          <w:kern w:val="22"/>
          <w:sz w:val="22"/>
          <w:szCs w:val="22"/>
          <w:lang w:val="fr-CA"/>
        </w:rPr>
        <w:t>a Conf</w:t>
      </w:r>
      <w:r w:rsidRPr="00D17B11">
        <w:rPr>
          <w:snapToGrid/>
          <w:kern w:val="22"/>
          <w:sz w:val="22"/>
          <w:szCs w:val="22"/>
          <w:lang w:val="fr-CA"/>
        </w:rPr>
        <w:t>érence des Parties invite</w:t>
      </w:r>
      <w:r w:rsidR="00385C30">
        <w:rPr>
          <w:snapToGrid/>
          <w:kern w:val="22"/>
          <w:sz w:val="22"/>
          <w:szCs w:val="22"/>
          <w:lang w:val="fr-CA"/>
        </w:rPr>
        <w:t xml:space="preserve"> le FEM</w:t>
      </w:r>
      <w:r w:rsidR="00FA3BC5" w:rsidRPr="00D17B11">
        <w:rPr>
          <w:kern w:val="22"/>
          <w:sz w:val="22"/>
          <w:szCs w:val="22"/>
          <w:lang w:val="fr-CA"/>
        </w:rPr>
        <w:t xml:space="preserve"> à « </w:t>
      </w:r>
      <w:r w:rsidR="00385C30">
        <w:rPr>
          <w:sz w:val="22"/>
          <w:szCs w:val="22"/>
          <w:lang w:val="fr-CA"/>
        </w:rPr>
        <w:t>communiquer</w:t>
      </w:r>
      <w:r w:rsidR="00FA3BC5" w:rsidRPr="00D17B11">
        <w:rPr>
          <w:sz w:val="22"/>
          <w:szCs w:val="22"/>
          <w:lang w:val="fr-CA"/>
        </w:rPr>
        <w:t xml:space="preserve"> un premier projet de son rapport à la Conférence des Parties, particulièrement axé sur la réponse du Fonds pour l’environnement mondial aux orientations précédentes de la Conférence des Parties, </w:t>
      </w:r>
      <w:r w:rsidR="00BF3A31">
        <w:rPr>
          <w:sz w:val="22"/>
          <w:szCs w:val="22"/>
          <w:lang w:val="fr-CA"/>
        </w:rPr>
        <w:t xml:space="preserve">et </w:t>
      </w:r>
      <w:r w:rsidR="00FA3BC5" w:rsidRPr="00D17B11">
        <w:rPr>
          <w:sz w:val="22"/>
          <w:szCs w:val="22"/>
          <w:lang w:val="fr-CA"/>
        </w:rPr>
        <w:t xml:space="preserve">à l’Organe subsidiaire chargé de l’application avant la réunion de la Conférence des Parties, où elle examinera le rapport officiellement, en vue de </w:t>
      </w:r>
      <w:r w:rsidR="000F03CC">
        <w:rPr>
          <w:sz w:val="22"/>
          <w:szCs w:val="22"/>
          <w:lang w:val="fr-CA"/>
        </w:rPr>
        <w:t>promouvoir</w:t>
      </w:r>
      <w:r w:rsidR="00385C30">
        <w:rPr>
          <w:sz w:val="22"/>
          <w:szCs w:val="22"/>
          <w:lang w:val="fr-CA"/>
        </w:rPr>
        <w:t xml:space="preserve"> un </w:t>
      </w:r>
      <w:r w:rsidR="00FA3BC5" w:rsidRPr="00D17B11">
        <w:rPr>
          <w:sz w:val="22"/>
          <w:szCs w:val="22"/>
          <w:lang w:val="fr-CA"/>
        </w:rPr>
        <w:t xml:space="preserve">examen efficace et opportun des informations contenues dans le rapport ». Le rapport préliminaire du Conseil du </w:t>
      </w:r>
      <w:r w:rsidR="00385C30">
        <w:rPr>
          <w:sz w:val="22"/>
          <w:szCs w:val="22"/>
          <w:lang w:val="fr-CA"/>
        </w:rPr>
        <w:t>FEM</w:t>
      </w:r>
      <w:r w:rsidR="00FA3BC5" w:rsidRPr="00D17B11">
        <w:rPr>
          <w:sz w:val="22"/>
          <w:szCs w:val="22"/>
          <w:lang w:val="fr-CA"/>
        </w:rPr>
        <w:t xml:space="preserve"> à la quinzième réunion de la Conférence des Parties est présenté dans le document</w:t>
      </w:r>
      <w:r w:rsidR="00FA3BC5" w:rsidRPr="00D17B11">
        <w:rPr>
          <w:kern w:val="22"/>
          <w:sz w:val="22"/>
          <w:szCs w:val="22"/>
          <w:lang w:val="fr-CA"/>
        </w:rPr>
        <w:t xml:space="preserve"> </w:t>
      </w:r>
      <w:r w:rsidR="00D17B11" w:rsidRPr="00D17B11">
        <w:rPr>
          <w:kern w:val="22"/>
          <w:sz w:val="22"/>
          <w:szCs w:val="22"/>
          <w:lang w:val="fr-CA"/>
        </w:rPr>
        <w:t>CBD/SBI/3/6/Add.1</w:t>
      </w:r>
      <w:r w:rsidR="001468B6" w:rsidRPr="00D17B11">
        <w:rPr>
          <w:kern w:val="22"/>
          <w:sz w:val="22"/>
          <w:szCs w:val="22"/>
          <w:lang w:val="fr-CA"/>
        </w:rPr>
        <w:t xml:space="preserve">. </w:t>
      </w:r>
      <w:r w:rsidR="00FA3BC5" w:rsidRPr="00D17B11">
        <w:rPr>
          <w:kern w:val="22"/>
          <w:sz w:val="22"/>
          <w:szCs w:val="22"/>
          <w:lang w:val="fr-CA"/>
        </w:rPr>
        <w:t xml:space="preserve">Une liste des projets et des programmes approuvés pendant la période visée par le rapport, </w:t>
      </w:r>
      <w:r w:rsidR="000F03CC">
        <w:rPr>
          <w:kern w:val="22"/>
          <w:sz w:val="22"/>
          <w:szCs w:val="22"/>
          <w:lang w:val="fr-CA"/>
        </w:rPr>
        <w:t>jointe originalement en annexe</w:t>
      </w:r>
      <w:r w:rsidR="00FA3BC5" w:rsidRPr="00D17B11">
        <w:rPr>
          <w:kern w:val="22"/>
          <w:sz w:val="22"/>
          <w:szCs w:val="22"/>
          <w:lang w:val="fr-CA"/>
        </w:rPr>
        <w:t xml:space="preserve"> au rapport du Conseil du </w:t>
      </w:r>
      <w:r w:rsidR="00385C30">
        <w:rPr>
          <w:kern w:val="22"/>
          <w:sz w:val="22"/>
          <w:szCs w:val="22"/>
          <w:lang w:val="fr-CA"/>
        </w:rPr>
        <w:t>FEM</w:t>
      </w:r>
      <w:r w:rsidR="00FA3BC5" w:rsidRPr="00D17B11">
        <w:rPr>
          <w:kern w:val="22"/>
          <w:sz w:val="22"/>
          <w:szCs w:val="22"/>
          <w:lang w:val="fr-CA"/>
        </w:rPr>
        <w:t>, est reproduit</w:t>
      </w:r>
      <w:r w:rsidR="000F03CC">
        <w:rPr>
          <w:kern w:val="22"/>
          <w:sz w:val="22"/>
          <w:szCs w:val="22"/>
          <w:lang w:val="fr-CA"/>
        </w:rPr>
        <w:t>e</w:t>
      </w:r>
      <w:r w:rsidR="00FA3BC5" w:rsidRPr="00D17B11">
        <w:rPr>
          <w:kern w:val="22"/>
          <w:sz w:val="22"/>
          <w:szCs w:val="22"/>
          <w:lang w:val="fr-CA"/>
        </w:rPr>
        <w:t xml:space="preserve"> en anglais, en français et en espagnol, tel</w:t>
      </w:r>
      <w:r w:rsidR="000F03CC">
        <w:rPr>
          <w:kern w:val="22"/>
          <w:sz w:val="22"/>
          <w:szCs w:val="22"/>
          <w:lang w:val="fr-CA"/>
        </w:rPr>
        <w:t>le</w:t>
      </w:r>
      <w:r w:rsidR="00FA3BC5" w:rsidRPr="00D17B11">
        <w:rPr>
          <w:kern w:val="22"/>
          <w:sz w:val="22"/>
          <w:szCs w:val="22"/>
          <w:lang w:val="fr-CA"/>
        </w:rPr>
        <w:t xml:space="preserve"> que reçue par le Secrétariat, dans le document d’information</w:t>
      </w:r>
      <w:r w:rsidR="001468B6" w:rsidRPr="00D17B11">
        <w:rPr>
          <w:kern w:val="22"/>
          <w:sz w:val="22"/>
          <w:szCs w:val="22"/>
          <w:lang w:val="fr-CA"/>
        </w:rPr>
        <w:t xml:space="preserve"> </w:t>
      </w:r>
      <w:r w:rsidR="000965D7" w:rsidRPr="00D17B11">
        <w:rPr>
          <w:kern w:val="22"/>
          <w:sz w:val="22"/>
          <w:szCs w:val="22"/>
          <w:lang w:val="fr-CA"/>
        </w:rPr>
        <w:t>CBD/SBI/3/INF/7</w:t>
      </w:r>
      <w:r w:rsidR="007D0851" w:rsidRPr="00D17B11">
        <w:rPr>
          <w:kern w:val="22"/>
          <w:sz w:val="22"/>
          <w:szCs w:val="22"/>
          <w:lang w:val="fr-CA"/>
        </w:rPr>
        <w:t>.</w:t>
      </w:r>
    </w:p>
    <w:p w14:paraId="6BBFDFFF" w14:textId="1E77BA4D" w:rsidR="0076595F" w:rsidRPr="00DF36C5" w:rsidRDefault="00D17B11" w:rsidP="00516B43">
      <w:pPr>
        <w:pStyle w:val="Para1"/>
        <w:numPr>
          <w:ilvl w:val="0"/>
          <w:numId w:val="13"/>
        </w:numPr>
        <w:suppressLineNumbers/>
        <w:tabs>
          <w:tab w:val="num" w:pos="720"/>
        </w:tabs>
        <w:suppressAutoHyphens/>
        <w:spacing w:before="120"/>
        <w:ind w:left="0" w:firstLine="0"/>
        <w:jc w:val="both"/>
        <w:rPr>
          <w:bCs/>
          <w:kern w:val="22"/>
          <w:sz w:val="22"/>
          <w:szCs w:val="22"/>
          <w:lang w:val="fr-CA"/>
        </w:rPr>
      </w:pPr>
      <w:r w:rsidRPr="00D17B11">
        <w:rPr>
          <w:bCs/>
          <w:kern w:val="22"/>
          <w:sz w:val="22"/>
          <w:szCs w:val="22"/>
          <w:lang w:val="fr-CA"/>
        </w:rPr>
        <w:t>Dans sa décision</w:t>
      </w:r>
      <w:r w:rsidR="0076595F" w:rsidRPr="00D17B11">
        <w:rPr>
          <w:bCs/>
          <w:kern w:val="22"/>
          <w:sz w:val="22"/>
          <w:szCs w:val="22"/>
          <w:lang w:val="fr-CA"/>
        </w:rPr>
        <w:t xml:space="preserve"> </w:t>
      </w:r>
      <w:hyperlink r:id="rId16" w:history="1">
        <w:r w:rsidR="0076595F" w:rsidRPr="00D17B11">
          <w:rPr>
            <w:rStyle w:val="Lienhypertexte"/>
            <w:lang w:val="fr-CA"/>
          </w:rPr>
          <w:t>XIII/21</w:t>
        </w:r>
      </w:hyperlink>
      <w:r w:rsidR="0076595F" w:rsidRPr="00D17B11">
        <w:rPr>
          <w:bCs/>
          <w:kern w:val="22"/>
          <w:sz w:val="22"/>
          <w:szCs w:val="22"/>
          <w:lang w:val="fr-CA"/>
        </w:rPr>
        <w:t xml:space="preserve">, </w:t>
      </w:r>
      <w:r w:rsidRPr="00D17B11">
        <w:rPr>
          <w:bCs/>
          <w:kern w:val="22"/>
          <w:sz w:val="22"/>
          <w:szCs w:val="22"/>
          <w:lang w:val="fr-CA"/>
        </w:rPr>
        <w:t>la Conférence des Parties</w:t>
      </w:r>
      <w:r w:rsidR="00DF36C5">
        <w:rPr>
          <w:bCs/>
          <w:kern w:val="22"/>
          <w:sz w:val="22"/>
          <w:szCs w:val="22"/>
          <w:lang w:val="fr-CA"/>
        </w:rPr>
        <w:t xml:space="preserve">, </w:t>
      </w:r>
      <w:r w:rsidR="00DF36C5" w:rsidRPr="00DF36C5">
        <w:rPr>
          <w:sz w:val="22"/>
          <w:szCs w:val="22"/>
          <w:lang w:val="fr-CA"/>
        </w:rPr>
        <w:t>rappelant les paragraphes 2, 3 et 4 de la décision XII/30,</w:t>
      </w:r>
      <w:r w:rsidR="00DF36C5" w:rsidRPr="00DF36C5">
        <w:rPr>
          <w:kern w:val="22"/>
          <w:sz w:val="22"/>
          <w:szCs w:val="22"/>
          <w:lang w:val="fr-CA"/>
        </w:rPr>
        <w:t xml:space="preserve"> invite les organes directeurs des diverses conventions relatives à la diversité biologique </w:t>
      </w:r>
      <w:r w:rsidR="00DF36C5" w:rsidRPr="00DF36C5">
        <w:rPr>
          <w:sz w:val="22"/>
          <w:szCs w:val="22"/>
          <w:lang w:val="fr-CA"/>
        </w:rPr>
        <w:t xml:space="preserve">à réitérer l’exercice décrit dans ceux-ci concernant l’élaboration d’orientations stratégiques pour la huitième période de reconstitution des ressources de la Caisse du </w:t>
      </w:r>
      <w:r w:rsidR="000F03CC">
        <w:rPr>
          <w:sz w:val="22"/>
          <w:szCs w:val="22"/>
          <w:lang w:val="fr-CA"/>
        </w:rPr>
        <w:t>FEM</w:t>
      </w:r>
      <w:r w:rsidR="00DF36C5" w:rsidRPr="00DF36C5">
        <w:rPr>
          <w:sz w:val="22"/>
          <w:szCs w:val="22"/>
          <w:lang w:val="fr-CA"/>
        </w:rPr>
        <w:t>, à temps pour examen par la Conférence des Parties à la Convention sur la diversité biologique à sa quinzième réunion</w:t>
      </w:r>
      <w:r w:rsidR="00DF36C5">
        <w:rPr>
          <w:sz w:val="22"/>
          <w:szCs w:val="22"/>
          <w:lang w:val="fr-CA"/>
        </w:rPr>
        <w:t xml:space="preserve">. Les éléments d’avis des </w:t>
      </w:r>
      <w:r w:rsidR="00DF36C5">
        <w:rPr>
          <w:sz w:val="22"/>
          <w:szCs w:val="22"/>
          <w:lang w:val="fr-CA"/>
        </w:rPr>
        <w:lastRenderedPageBreak/>
        <w:t>conventions relatives à la diversité biologique visant à contribuer à l’élaboration de l’orientation stratégi</w:t>
      </w:r>
      <w:r w:rsidR="000F03CC">
        <w:rPr>
          <w:sz w:val="22"/>
          <w:szCs w:val="22"/>
          <w:lang w:val="fr-CA"/>
        </w:rPr>
        <w:t xml:space="preserve">que pour </w:t>
      </w:r>
      <w:r w:rsidR="00DF36C5">
        <w:rPr>
          <w:sz w:val="22"/>
          <w:szCs w:val="22"/>
          <w:lang w:val="fr-CA"/>
        </w:rPr>
        <w:t xml:space="preserve">la huitième </w:t>
      </w:r>
      <w:r w:rsidR="000F03CC">
        <w:rPr>
          <w:sz w:val="22"/>
          <w:szCs w:val="22"/>
          <w:lang w:val="fr-CA"/>
        </w:rPr>
        <w:t xml:space="preserve">période de </w:t>
      </w:r>
      <w:r w:rsidR="00DF36C5">
        <w:rPr>
          <w:sz w:val="22"/>
          <w:szCs w:val="22"/>
          <w:lang w:val="fr-CA"/>
        </w:rPr>
        <w:t xml:space="preserve">reconstitution des ressources de la Caisse du </w:t>
      </w:r>
      <w:r w:rsidR="000F03CC">
        <w:rPr>
          <w:sz w:val="22"/>
          <w:szCs w:val="22"/>
          <w:lang w:val="fr-CA"/>
        </w:rPr>
        <w:t>FEM</w:t>
      </w:r>
      <w:r w:rsidR="00DF36C5">
        <w:rPr>
          <w:sz w:val="22"/>
          <w:szCs w:val="22"/>
          <w:lang w:val="fr-CA"/>
        </w:rPr>
        <w:t xml:space="preserve"> sont réunis dans le document </w:t>
      </w:r>
      <w:r w:rsidR="0076595F" w:rsidRPr="00DF36C5">
        <w:rPr>
          <w:bCs/>
          <w:kern w:val="22"/>
          <w:sz w:val="22"/>
          <w:szCs w:val="22"/>
          <w:lang w:val="fr-CA"/>
        </w:rPr>
        <w:t xml:space="preserve">CBD/SBI/3/6/Add.3 </w:t>
      </w:r>
      <w:r w:rsidR="00DF36C5">
        <w:rPr>
          <w:bCs/>
          <w:kern w:val="22"/>
          <w:sz w:val="22"/>
          <w:szCs w:val="22"/>
          <w:lang w:val="fr-CA"/>
        </w:rPr>
        <w:t xml:space="preserve">et les propositions des conventions sont </w:t>
      </w:r>
      <w:r w:rsidR="000F03CC">
        <w:rPr>
          <w:bCs/>
          <w:kern w:val="22"/>
          <w:sz w:val="22"/>
          <w:szCs w:val="22"/>
          <w:lang w:val="fr-CA"/>
        </w:rPr>
        <w:t>présentées</w:t>
      </w:r>
      <w:r w:rsidR="00DF36C5">
        <w:rPr>
          <w:bCs/>
          <w:kern w:val="22"/>
          <w:sz w:val="22"/>
          <w:szCs w:val="22"/>
          <w:lang w:val="fr-CA"/>
        </w:rPr>
        <w:t xml:space="preserve"> dans le document d’information </w:t>
      </w:r>
      <w:r w:rsidR="0076595F" w:rsidRPr="00DF36C5">
        <w:rPr>
          <w:bCs/>
          <w:kern w:val="22"/>
          <w:sz w:val="22"/>
          <w:szCs w:val="22"/>
          <w:lang w:val="fr-CA"/>
        </w:rPr>
        <w:t>CBD/SBI/3/INF</w:t>
      </w:r>
      <w:r w:rsidR="00DF36C5">
        <w:rPr>
          <w:bCs/>
          <w:kern w:val="22"/>
          <w:sz w:val="22"/>
          <w:szCs w:val="22"/>
          <w:lang w:val="fr-CA"/>
        </w:rPr>
        <w:t>/23</w:t>
      </w:r>
      <w:r w:rsidR="003A7B43" w:rsidRPr="00DF36C5">
        <w:rPr>
          <w:bCs/>
          <w:kern w:val="22"/>
          <w:sz w:val="22"/>
          <w:szCs w:val="22"/>
          <w:lang w:val="fr-CA"/>
        </w:rPr>
        <w:t>.</w:t>
      </w:r>
    </w:p>
    <w:p w14:paraId="2A279644" w14:textId="69099F95" w:rsidR="00DD18CB" w:rsidRPr="00750297" w:rsidRDefault="00F565D1" w:rsidP="00516B43">
      <w:pPr>
        <w:pStyle w:val="Para1"/>
        <w:numPr>
          <w:ilvl w:val="0"/>
          <w:numId w:val="13"/>
        </w:numPr>
        <w:suppressLineNumbers/>
        <w:tabs>
          <w:tab w:val="num" w:pos="720"/>
        </w:tabs>
        <w:suppressAutoHyphens/>
        <w:spacing w:before="120"/>
        <w:ind w:left="0" w:firstLine="0"/>
        <w:jc w:val="both"/>
        <w:rPr>
          <w:kern w:val="22"/>
          <w:sz w:val="22"/>
          <w:szCs w:val="22"/>
          <w:lang w:val="fr-CA"/>
        </w:rPr>
      </w:pPr>
      <w:r>
        <w:rPr>
          <w:bCs/>
          <w:kern w:val="22"/>
          <w:sz w:val="22"/>
          <w:szCs w:val="22"/>
          <w:lang w:val="fr-CA"/>
        </w:rPr>
        <w:t>Conformément au mandat d’une évaluation complète des sommes nécessaires à l’applicat</w:t>
      </w:r>
      <w:r w:rsidR="003454C7">
        <w:rPr>
          <w:bCs/>
          <w:kern w:val="22"/>
          <w:sz w:val="22"/>
          <w:szCs w:val="22"/>
          <w:lang w:val="fr-CA"/>
        </w:rPr>
        <w:t>ion de la Convention et de ses P</w:t>
      </w:r>
      <w:r>
        <w:rPr>
          <w:bCs/>
          <w:kern w:val="22"/>
          <w:sz w:val="22"/>
          <w:szCs w:val="22"/>
          <w:lang w:val="fr-CA"/>
        </w:rPr>
        <w:t xml:space="preserve">rotocoles </w:t>
      </w:r>
      <w:r w:rsidR="003454C7">
        <w:rPr>
          <w:bCs/>
          <w:kern w:val="22"/>
          <w:sz w:val="22"/>
          <w:szCs w:val="22"/>
          <w:lang w:val="fr-CA"/>
        </w:rPr>
        <w:t>pour</w:t>
      </w:r>
      <w:r>
        <w:rPr>
          <w:bCs/>
          <w:kern w:val="22"/>
          <w:sz w:val="22"/>
          <w:szCs w:val="22"/>
          <w:lang w:val="fr-CA"/>
        </w:rPr>
        <w:t xml:space="preserve"> la huitième période de reconstitution des ressources de la Caisse du </w:t>
      </w:r>
      <w:r w:rsidR="003454C7">
        <w:rPr>
          <w:bCs/>
          <w:kern w:val="22"/>
          <w:sz w:val="22"/>
          <w:szCs w:val="22"/>
          <w:lang w:val="fr-CA"/>
        </w:rPr>
        <w:t>FEM</w:t>
      </w:r>
      <w:r>
        <w:rPr>
          <w:bCs/>
          <w:kern w:val="22"/>
          <w:sz w:val="22"/>
          <w:szCs w:val="22"/>
          <w:lang w:val="fr-CA"/>
        </w:rPr>
        <w:t xml:space="preserve"> présenté au paragraphe 14 de la décision </w:t>
      </w:r>
      <w:r w:rsidR="003454C7">
        <w:rPr>
          <w:bCs/>
          <w:kern w:val="22"/>
          <w:sz w:val="22"/>
          <w:szCs w:val="22"/>
          <w:lang w:val="fr-CA"/>
        </w:rPr>
        <w:t>14/23</w:t>
      </w:r>
      <w:r>
        <w:rPr>
          <w:bCs/>
          <w:kern w:val="22"/>
          <w:sz w:val="22"/>
          <w:szCs w:val="22"/>
          <w:lang w:val="fr-CA"/>
        </w:rPr>
        <w:t xml:space="preserve">, une équipe de trois experts </w:t>
      </w:r>
      <w:r w:rsidR="00011122">
        <w:rPr>
          <w:bCs/>
          <w:kern w:val="22"/>
          <w:sz w:val="22"/>
          <w:szCs w:val="22"/>
          <w:lang w:val="fr-CA"/>
        </w:rPr>
        <w:t xml:space="preserve">a été retenue afin de réaliser les tâches définies, grâce au généreux soutien financier du gouvernement de la Suède et de l’Union européenne. Le rapport provisoire de l’équipe d’experts sur ses travaux est présenté dans le document d’information CBD/SBI/3/INF/24 et </w:t>
      </w:r>
      <w:r w:rsidR="003454C7">
        <w:rPr>
          <w:bCs/>
          <w:kern w:val="22"/>
          <w:sz w:val="22"/>
          <w:szCs w:val="22"/>
          <w:lang w:val="fr-CA"/>
        </w:rPr>
        <w:t>en version abrégée</w:t>
      </w:r>
      <w:r w:rsidR="00011122">
        <w:rPr>
          <w:bCs/>
          <w:kern w:val="22"/>
          <w:sz w:val="22"/>
          <w:szCs w:val="22"/>
          <w:lang w:val="fr-CA"/>
        </w:rPr>
        <w:t xml:space="preserve"> dans le document</w:t>
      </w:r>
      <w:r>
        <w:rPr>
          <w:bCs/>
          <w:kern w:val="22"/>
          <w:sz w:val="22"/>
          <w:szCs w:val="22"/>
          <w:lang w:val="fr-CA"/>
        </w:rPr>
        <w:t xml:space="preserve"> </w:t>
      </w:r>
      <w:r w:rsidR="00092340" w:rsidRPr="00750297">
        <w:rPr>
          <w:kern w:val="22"/>
          <w:sz w:val="22"/>
          <w:szCs w:val="22"/>
          <w:lang w:val="fr-CA"/>
        </w:rPr>
        <w:t>CBD/SBI/3/6/Add.2.</w:t>
      </w:r>
    </w:p>
    <w:p w14:paraId="452BEF5E" w14:textId="221F4285" w:rsidR="0076595F" w:rsidRPr="00750297" w:rsidRDefault="00011122" w:rsidP="00516B43">
      <w:pPr>
        <w:pStyle w:val="Para1"/>
        <w:numPr>
          <w:ilvl w:val="0"/>
          <w:numId w:val="13"/>
        </w:numPr>
        <w:suppressLineNumbers/>
        <w:tabs>
          <w:tab w:val="num" w:pos="720"/>
        </w:tabs>
        <w:suppressAutoHyphens/>
        <w:spacing w:before="120"/>
        <w:ind w:left="0" w:firstLine="0"/>
        <w:jc w:val="both"/>
        <w:rPr>
          <w:kern w:val="22"/>
          <w:sz w:val="22"/>
          <w:szCs w:val="22"/>
          <w:lang w:val="fr-CA"/>
        </w:rPr>
      </w:pPr>
      <w:r w:rsidRPr="00011122">
        <w:rPr>
          <w:bCs/>
          <w:kern w:val="22"/>
          <w:sz w:val="22"/>
          <w:szCs w:val="22"/>
          <w:lang w:val="fr-CA"/>
        </w:rPr>
        <w:t>La présente note a été préparée afin d’aider l’Organe subsidiaire chargé de l</w:t>
      </w:r>
      <w:r w:rsidR="006E2CFC">
        <w:rPr>
          <w:bCs/>
          <w:kern w:val="22"/>
          <w:sz w:val="22"/>
          <w:szCs w:val="22"/>
          <w:lang w:val="fr-CA"/>
        </w:rPr>
        <w:t>’</w:t>
      </w:r>
      <w:r w:rsidRPr="00011122">
        <w:rPr>
          <w:bCs/>
          <w:kern w:val="22"/>
          <w:sz w:val="22"/>
          <w:szCs w:val="22"/>
          <w:lang w:val="fr-CA"/>
        </w:rPr>
        <w:t xml:space="preserve">application </w:t>
      </w:r>
      <w:r>
        <w:rPr>
          <w:bCs/>
          <w:kern w:val="22"/>
          <w:sz w:val="22"/>
          <w:szCs w:val="22"/>
          <w:lang w:val="fr-CA"/>
        </w:rPr>
        <w:t>à répondre aux demandes</w:t>
      </w:r>
      <w:r w:rsidRPr="00011122">
        <w:rPr>
          <w:bCs/>
          <w:kern w:val="22"/>
          <w:sz w:val="22"/>
          <w:szCs w:val="22"/>
          <w:lang w:val="fr-CA"/>
        </w:rPr>
        <w:t xml:space="preserve"> </w:t>
      </w:r>
      <w:r>
        <w:rPr>
          <w:bCs/>
          <w:kern w:val="22"/>
          <w:sz w:val="22"/>
          <w:szCs w:val="22"/>
          <w:lang w:val="fr-CA"/>
        </w:rPr>
        <w:t xml:space="preserve">ci-dessus </w:t>
      </w:r>
      <w:r w:rsidRPr="00011122">
        <w:rPr>
          <w:bCs/>
          <w:kern w:val="22"/>
          <w:sz w:val="22"/>
          <w:szCs w:val="22"/>
          <w:lang w:val="fr-CA"/>
        </w:rPr>
        <w:t>de la Conféren</w:t>
      </w:r>
      <w:r>
        <w:rPr>
          <w:bCs/>
          <w:kern w:val="22"/>
          <w:sz w:val="22"/>
          <w:szCs w:val="22"/>
          <w:lang w:val="fr-CA"/>
        </w:rPr>
        <w:t>ce des Parties dans le contexte de l’article 21 de la Convention et de la décision</w:t>
      </w:r>
      <w:r w:rsidR="0076595F" w:rsidRPr="00011122">
        <w:rPr>
          <w:bCs/>
          <w:kern w:val="22"/>
          <w:sz w:val="22"/>
          <w:szCs w:val="22"/>
          <w:lang w:val="fr-CA"/>
        </w:rPr>
        <w:t xml:space="preserve"> </w:t>
      </w:r>
      <w:hyperlink r:id="rId17" w:history="1">
        <w:r w:rsidR="0076595F" w:rsidRPr="00011122">
          <w:rPr>
            <w:rStyle w:val="Lienhypertexte"/>
            <w:lang w:val="fr-CA"/>
          </w:rPr>
          <w:t>III/8</w:t>
        </w:r>
      </w:hyperlink>
      <w:r w:rsidR="0076595F" w:rsidRPr="00011122">
        <w:rPr>
          <w:bCs/>
          <w:kern w:val="22"/>
          <w:sz w:val="22"/>
          <w:szCs w:val="22"/>
          <w:lang w:val="fr-CA"/>
        </w:rPr>
        <w:t xml:space="preserve"> </w:t>
      </w:r>
      <w:r>
        <w:rPr>
          <w:bCs/>
          <w:kern w:val="22"/>
          <w:sz w:val="22"/>
          <w:szCs w:val="22"/>
          <w:lang w:val="fr-CA"/>
        </w:rPr>
        <w:t xml:space="preserve">concernant le </w:t>
      </w:r>
      <w:r w:rsidR="009B1CE9">
        <w:rPr>
          <w:bCs/>
          <w:kern w:val="22"/>
          <w:sz w:val="22"/>
          <w:szCs w:val="22"/>
          <w:lang w:val="fr-CA"/>
        </w:rPr>
        <w:t xml:space="preserve">Mémorandum d’accord entre la Conférence des Parties à la Convention sur la diversité biologique et le Conseil du </w:t>
      </w:r>
      <w:r w:rsidR="003454C7">
        <w:rPr>
          <w:bCs/>
          <w:kern w:val="22"/>
          <w:sz w:val="22"/>
          <w:szCs w:val="22"/>
          <w:lang w:val="fr-CA"/>
        </w:rPr>
        <w:t>FEM</w:t>
      </w:r>
      <w:r w:rsidR="009B1CE9">
        <w:rPr>
          <w:bCs/>
          <w:kern w:val="22"/>
          <w:sz w:val="22"/>
          <w:szCs w:val="22"/>
          <w:lang w:val="fr-CA"/>
        </w:rPr>
        <w:t>. L’</w:t>
      </w:r>
      <w:r w:rsidR="00187622">
        <w:rPr>
          <w:bCs/>
          <w:kern w:val="22"/>
          <w:sz w:val="22"/>
          <w:szCs w:val="22"/>
          <w:lang w:val="fr-CA"/>
        </w:rPr>
        <w:t>introducti</w:t>
      </w:r>
      <w:r w:rsidR="009B1CE9">
        <w:rPr>
          <w:bCs/>
          <w:kern w:val="22"/>
          <w:sz w:val="22"/>
          <w:szCs w:val="22"/>
          <w:lang w:val="fr-CA"/>
        </w:rPr>
        <w:t>on est suivie de sept parties : trois parties correspondant aux trois éléments dont i</w:t>
      </w:r>
      <w:r w:rsidR="00187622">
        <w:rPr>
          <w:bCs/>
          <w:kern w:val="22"/>
          <w:sz w:val="22"/>
          <w:szCs w:val="22"/>
          <w:lang w:val="fr-CA"/>
        </w:rPr>
        <w:t>l</w:t>
      </w:r>
      <w:r w:rsidR="009B1CE9">
        <w:rPr>
          <w:bCs/>
          <w:kern w:val="22"/>
          <w:sz w:val="22"/>
          <w:szCs w:val="22"/>
          <w:lang w:val="fr-CA"/>
        </w:rPr>
        <w:t xml:space="preserve"> est question au paragraphe 1, ci-dessus, une quatrième partie sur l’orientation stratégique des conventions relatives à la diversité biologique, une cinquième partie sur la coopération avec le Secrétariat du </w:t>
      </w:r>
      <w:r w:rsidR="003454C7">
        <w:rPr>
          <w:bCs/>
          <w:kern w:val="22"/>
          <w:sz w:val="22"/>
          <w:szCs w:val="22"/>
          <w:lang w:val="fr-CA"/>
        </w:rPr>
        <w:t>FEM, une sixième partie qui réunit</w:t>
      </w:r>
      <w:r w:rsidR="009B1CE9">
        <w:rPr>
          <w:bCs/>
          <w:kern w:val="22"/>
          <w:sz w:val="22"/>
          <w:szCs w:val="22"/>
          <w:lang w:val="fr-CA"/>
        </w:rPr>
        <w:t xml:space="preserve"> les orientations au </w:t>
      </w:r>
      <w:r w:rsidR="003454C7">
        <w:rPr>
          <w:bCs/>
          <w:kern w:val="22"/>
          <w:sz w:val="22"/>
          <w:szCs w:val="22"/>
          <w:lang w:val="fr-CA"/>
        </w:rPr>
        <w:t>FEM</w:t>
      </w:r>
      <w:r w:rsidR="009B1CE9">
        <w:rPr>
          <w:bCs/>
          <w:kern w:val="22"/>
          <w:sz w:val="22"/>
          <w:szCs w:val="22"/>
          <w:lang w:val="fr-CA"/>
        </w:rPr>
        <w:t xml:space="preserve"> et </w:t>
      </w:r>
      <w:r w:rsidR="003454C7">
        <w:rPr>
          <w:bCs/>
          <w:kern w:val="22"/>
          <w:sz w:val="22"/>
          <w:szCs w:val="22"/>
          <w:lang w:val="fr-CA"/>
        </w:rPr>
        <w:t xml:space="preserve">en dernier lieu </w:t>
      </w:r>
      <w:r w:rsidR="009B1CE9">
        <w:rPr>
          <w:bCs/>
          <w:kern w:val="22"/>
          <w:sz w:val="22"/>
          <w:szCs w:val="22"/>
          <w:lang w:val="fr-CA"/>
        </w:rPr>
        <w:t>une recommandation sur les moyens d’aller de l’avant</w:t>
      </w:r>
      <w:r w:rsidR="0076595F" w:rsidRPr="00750297">
        <w:rPr>
          <w:bCs/>
          <w:kern w:val="22"/>
          <w:sz w:val="22"/>
          <w:szCs w:val="22"/>
          <w:lang w:val="fr-CA"/>
        </w:rPr>
        <w:t>.</w:t>
      </w:r>
    </w:p>
    <w:p w14:paraId="2039E08B" w14:textId="5ADF0AEA" w:rsidR="00777651" w:rsidRPr="00750297" w:rsidRDefault="003A7EAE" w:rsidP="0011729F">
      <w:pPr>
        <w:pStyle w:val="Titre1"/>
        <w:suppressLineNumbers/>
        <w:tabs>
          <w:tab w:val="clear" w:pos="720"/>
        </w:tabs>
        <w:suppressAutoHyphens/>
        <w:spacing w:before="120" w:line="235" w:lineRule="auto"/>
        <w:ind w:left="1135" w:hanging="568"/>
        <w:jc w:val="left"/>
        <w:rPr>
          <w:iCs/>
          <w:snapToGrid w:val="0"/>
          <w:kern w:val="22"/>
          <w:sz w:val="22"/>
          <w:szCs w:val="22"/>
          <w:lang w:val="fr-CA"/>
        </w:rPr>
      </w:pPr>
      <w:r w:rsidRPr="00750297">
        <w:rPr>
          <w:iCs/>
          <w:snapToGrid w:val="0"/>
          <w:kern w:val="22"/>
          <w:sz w:val="22"/>
          <w:szCs w:val="22"/>
          <w:lang w:val="fr-CA"/>
        </w:rPr>
        <w:t>II</w:t>
      </w:r>
      <w:r w:rsidR="00DD18CB" w:rsidRPr="00750297">
        <w:rPr>
          <w:iCs/>
          <w:snapToGrid w:val="0"/>
          <w:kern w:val="22"/>
          <w:sz w:val="22"/>
          <w:szCs w:val="22"/>
          <w:lang w:val="fr-CA"/>
        </w:rPr>
        <w:t>.</w:t>
      </w:r>
      <w:r w:rsidR="002E006D" w:rsidRPr="00750297">
        <w:rPr>
          <w:iCs/>
          <w:snapToGrid w:val="0"/>
          <w:kern w:val="22"/>
          <w:sz w:val="22"/>
          <w:szCs w:val="22"/>
          <w:lang w:val="fr-CA"/>
        </w:rPr>
        <w:tab/>
      </w:r>
      <w:r w:rsidR="00187622">
        <w:rPr>
          <w:kern w:val="22"/>
          <w:sz w:val="22"/>
          <w:szCs w:val="22"/>
          <w:lang w:val="fr-CA"/>
        </w:rPr>
        <w:t>mandat du sixième examen de l’efficacité du mécanisme de financement</w:t>
      </w:r>
    </w:p>
    <w:p w14:paraId="13DDE4EA" w14:textId="277A091B" w:rsidR="007D0851" w:rsidRPr="00187622" w:rsidRDefault="00187622" w:rsidP="00516B43">
      <w:pPr>
        <w:pStyle w:val="Para1"/>
        <w:numPr>
          <w:ilvl w:val="0"/>
          <w:numId w:val="13"/>
        </w:numPr>
        <w:suppressLineNumbers/>
        <w:tabs>
          <w:tab w:val="num" w:pos="720"/>
        </w:tabs>
        <w:suppressAutoHyphens/>
        <w:spacing w:before="120"/>
        <w:ind w:left="0" w:firstLine="0"/>
        <w:jc w:val="both"/>
        <w:rPr>
          <w:bCs/>
          <w:kern w:val="22"/>
          <w:sz w:val="22"/>
          <w:szCs w:val="22"/>
          <w:lang w:val="fr-CA"/>
        </w:rPr>
      </w:pPr>
      <w:r>
        <w:rPr>
          <w:bCs/>
          <w:kern w:val="22"/>
          <w:sz w:val="22"/>
          <w:szCs w:val="22"/>
          <w:lang w:val="fr-CA"/>
        </w:rPr>
        <w:t>A</w:t>
      </w:r>
      <w:r w:rsidR="003454C7">
        <w:rPr>
          <w:bCs/>
          <w:kern w:val="22"/>
          <w:sz w:val="22"/>
          <w:szCs w:val="22"/>
          <w:lang w:val="fr-CA"/>
        </w:rPr>
        <w:t>u</w:t>
      </w:r>
      <w:r>
        <w:rPr>
          <w:bCs/>
          <w:kern w:val="22"/>
          <w:sz w:val="22"/>
          <w:szCs w:val="22"/>
          <w:lang w:val="fr-CA"/>
        </w:rPr>
        <w:t xml:space="preserve"> paragraphe 13 de la décision 14/23, la Conférence des Parties prie </w:t>
      </w:r>
      <w:r w:rsidRPr="00187622">
        <w:rPr>
          <w:sz w:val="22"/>
          <w:szCs w:val="22"/>
          <w:lang w:val="fr-CA"/>
        </w:rPr>
        <w:t xml:space="preserve">la Secrétaire exécutive de tenir compte de l’expérience acquise lors des examens de l’efficacité du mécanisme de financement </w:t>
      </w:r>
      <w:r w:rsidR="00B21C07">
        <w:rPr>
          <w:sz w:val="22"/>
          <w:szCs w:val="22"/>
          <w:lang w:val="fr-CA"/>
        </w:rPr>
        <w:t xml:space="preserve">précédents </w:t>
      </w:r>
      <w:r w:rsidRPr="00187622">
        <w:rPr>
          <w:sz w:val="22"/>
          <w:szCs w:val="22"/>
          <w:lang w:val="fr-CA"/>
        </w:rPr>
        <w:t>dans la préparation des mandats pour le sixième examen de l’efficacité du mécanisme de financement, pour examen par la Conférence des Parties à sa quinzième réunion</w:t>
      </w:r>
      <w:r w:rsidR="003F563E" w:rsidRPr="00187622">
        <w:rPr>
          <w:bCs/>
          <w:kern w:val="22"/>
          <w:sz w:val="22"/>
          <w:szCs w:val="22"/>
          <w:lang w:val="fr-CA"/>
        </w:rPr>
        <w:t>.</w:t>
      </w:r>
      <w:r>
        <w:rPr>
          <w:bCs/>
          <w:kern w:val="22"/>
          <w:sz w:val="22"/>
          <w:szCs w:val="22"/>
          <w:lang w:val="fr-CA"/>
        </w:rPr>
        <w:t xml:space="preserve"> Les mandats des cinq derniers examens de l’efficacité du mécanisme de financement </w:t>
      </w:r>
      <w:r w:rsidR="00D34E9D">
        <w:rPr>
          <w:bCs/>
          <w:kern w:val="22"/>
          <w:sz w:val="22"/>
          <w:szCs w:val="22"/>
          <w:lang w:val="fr-CA"/>
        </w:rPr>
        <w:t>étaient divisés en quatre parties qui portaient sur</w:t>
      </w:r>
      <w:r w:rsidR="00285C0F">
        <w:rPr>
          <w:bCs/>
          <w:kern w:val="22"/>
          <w:sz w:val="22"/>
          <w:szCs w:val="22"/>
          <w:lang w:val="fr-CA"/>
        </w:rPr>
        <w:t xml:space="preserve"> : les objectifs, la </w:t>
      </w:r>
      <w:r w:rsidR="007A3DF8">
        <w:rPr>
          <w:bCs/>
          <w:kern w:val="22"/>
          <w:sz w:val="22"/>
          <w:szCs w:val="22"/>
          <w:lang w:val="fr-CA"/>
        </w:rPr>
        <w:t>méthodologie, les critères et la</w:t>
      </w:r>
      <w:r w:rsidR="00285C0F">
        <w:rPr>
          <w:bCs/>
          <w:kern w:val="22"/>
          <w:sz w:val="22"/>
          <w:szCs w:val="22"/>
          <w:lang w:val="fr-CA"/>
        </w:rPr>
        <w:t xml:space="preserve"> procédure d’application.</w:t>
      </w:r>
    </w:p>
    <w:p w14:paraId="5B50A1C2" w14:textId="762BDBA0" w:rsidR="004955A4" w:rsidRPr="00187622" w:rsidRDefault="003A7EAE" w:rsidP="0011729F">
      <w:pPr>
        <w:pStyle w:val="Titre2"/>
        <w:suppressLineNumbers/>
        <w:tabs>
          <w:tab w:val="clear" w:pos="720"/>
          <w:tab w:val="left" w:pos="426"/>
        </w:tabs>
        <w:suppressAutoHyphens/>
        <w:ind w:left="357"/>
        <w:rPr>
          <w:i w:val="0"/>
          <w:kern w:val="22"/>
          <w:sz w:val="22"/>
          <w:szCs w:val="22"/>
          <w:lang w:val="fr-CA"/>
        </w:rPr>
      </w:pPr>
      <w:r w:rsidRPr="00187622">
        <w:rPr>
          <w:i w:val="0"/>
          <w:kern w:val="22"/>
          <w:sz w:val="22"/>
          <w:szCs w:val="22"/>
          <w:lang w:val="fr-CA"/>
        </w:rPr>
        <w:t>A.</w:t>
      </w:r>
      <w:r w:rsidRPr="00187622">
        <w:rPr>
          <w:i w:val="0"/>
          <w:kern w:val="22"/>
          <w:sz w:val="22"/>
          <w:szCs w:val="22"/>
          <w:lang w:val="fr-CA"/>
        </w:rPr>
        <w:tab/>
      </w:r>
      <w:r w:rsidR="007A3DF8">
        <w:rPr>
          <w:i w:val="0"/>
          <w:kern w:val="22"/>
          <w:sz w:val="22"/>
          <w:szCs w:val="22"/>
          <w:lang w:val="fr-CA"/>
        </w:rPr>
        <w:t>Objectif</w:t>
      </w:r>
      <w:r w:rsidR="004955A4" w:rsidRPr="00187622">
        <w:rPr>
          <w:i w:val="0"/>
          <w:kern w:val="22"/>
          <w:sz w:val="22"/>
          <w:szCs w:val="22"/>
          <w:lang w:val="fr-CA"/>
        </w:rPr>
        <w:t>s</w:t>
      </w:r>
    </w:p>
    <w:p w14:paraId="69CFA7EF" w14:textId="1AC07CBB" w:rsidR="00BB6EA4" w:rsidRPr="00750297" w:rsidRDefault="00285C0F" w:rsidP="00516B43">
      <w:pPr>
        <w:pStyle w:val="Para1"/>
        <w:numPr>
          <w:ilvl w:val="0"/>
          <w:numId w:val="13"/>
        </w:numPr>
        <w:suppressLineNumbers/>
        <w:tabs>
          <w:tab w:val="num" w:pos="720"/>
        </w:tabs>
        <w:suppressAutoHyphens/>
        <w:spacing w:before="120"/>
        <w:ind w:left="0" w:firstLine="0"/>
        <w:jc w:val="both"/>
        <w:rPr>
          <w:kern w:val="22"/>
          <w:sz w:val="22"/>
          <w:szCs w:val="22"/>
          <w:lang w:val="fr-CA" w:eastAsia="zh-CN"/>
        </w:rPr>
      </w:pPr>
      <w:r>
        <w:rPr>
          <w:kern w:val="22"/>
          <w:sz w:val="22"/>
          <w:szCs w:val="22"/>
          <w:lang w:val="fr-CA" w:eastAsia="zh-CN"/>
        </w:rPr>
        <w:t xml:space="preserve">Les lignes directrices du premier examen de l’efficacité du mécanisme de financement présentées dans la décision </w:t>
      </w:r>
      <w:hyperlink r:id="rId18" w:history="1">
        <w:r w:rsidR="00731254" w:rsidRPr="00750297">
          <w:rPr>
            <w:rStyle w:val="Lienhypertexte"/>
            <w:lang w:val="fr-CA"/>
          </w:rPr>
          <w:t>III/7</w:t>
        </w:r>
      </w:hyperlink>
      <w:r w:rsidR="00731254" w:rsidRPr="00750297">
        <w:rPr>
          <w:kern w:val="22"/>
          <w:sz w:val="22"/>
          <w:szCs w:val="22"/>
          <w:lang w:val="fr-CA" w:eastAsia="zh-CN"/>
        </w:rPr>
        <w:t xml:space="preserve"> </w:t>
      </w:r>
      <w:r>
        <w:rPr>
          <w:kern w:val="22"/>
          <w:sz w:val="22"/>
          <w:szCs w:val="22"/>
          <w:lang w:val="fr-CA" w:eastAsia="zh-CN"/>
        </w:rPr>
        <w:t>propos</w:t>
      </w:r>
      <w:r w:rsidR="00036584">
        <w:rPr>
          <w:kern w:val="22"/>
          <w:sz w:val="22"/>
          <w:szCs w:val="22"/>
          <w:lang w:val="fr-CA" w:eastAsia="zh-CN"/>
        </w:rPr>
        <w:t>ai</w:t>
      </w:r>
      <w:r>
        <w:rPr>
          <w:kern w:val="22"/>
          <w:sz w:val="22"/>
          <w:szCs w:val="22"/>
          <w:lang w:val="fr-CA" w:eastAsia="zh-CN"/>
        </w:rPr>
        <w:t>ent trois objectifs : la conformité à l’orientation de la Conférence des Parties</w:t>
      </w:r>
      <w:r w:rsidR="00B21C07">
        <w:rPr>
          <w:kern w:val="22"/>
          <w:sz w:val="22"/>
          <w:szCs w:val="22"/>
          <w:lang w:val="fr-CA" w:eastAsia="zh-CN"/>
        </w:rPr>
        <w:t>, l</w:t>
      </w:r>
      <w:r w:rsidRPr="00285C0F">
        <w:rPr>
          <w:kern w:val="22"/>
          <w:sz w:val="22"/>
          <w:szCs w:val="22"/>
          <w:lang w:val="fr-CA" w:eastAsia="zh-CN"/>
        </w:rPr>
        <w:t xml:space="preserve">’efficacité </w:t>
      </w:r>
      <w:r>
        <w:rPr>
          <w:kern w:val="22"/>
          <w:sz w:val="22"/>
          <w:szCs w:val="22"/>
          <w:lang w:val="fr-CA" w:eastAsia="zh-CN"/>
        </w:rPr>
        <w:t>à fournir</w:t>
      </w:r>
      <w:r w:rsidRPr="00285C0F">
        <w:rPr>
          <w:kern w:val="22"/>
          <w:sz w:val="22"/>
          <w:szCs w:val="22"/>
          <w:lang w:val="fr-CA" w:eastAsia="zh-CN"/>
        </w:rPr>
        <w:t xml:space="preserve"> des ressou</w:t>
      </w:r>
      <w:r w:rsidR="00F6054A">
        <w:rPr>
          <w:kern w:val="22"/>
          <w:sz w:val="22"/>
          <w:szCs w:val="22"/>
          <w:lang w:val="fr-CA" w:eastAsia="zh-CN"/>
        </w:rPr>
        <w:t>rces financières et les incidence</w:t>
      </w:r>
      <w:r w:rsidRPr="00285C0F">
        <w:rPr>
          <w:kern w:val="22"/>
          <w:sz w:val="22"/>
          <w:szCs w:val="22"/>
          <w:lang w:val="fr-CA" w:eastAsia="zh-CN"/>
        </w:rPr>
        <w:t>s de l’application</w:t>
      </w:r>
      <w:r w:rsidR="00F6054A">
        <w:rPr>
          <w:kern w:val="22"/>
          <w:sz w:val="22"/>
          <w:szCs w:val="22"/>
          <w:lang w:val="fr-CA" w:eastAsia="zh-CN"/>
        </w:rPr>
        <w:t xml:space="preserve">. </w:t>
      </w:r>
      <w:r w:rsidR="00F6054A" w:rsidRPr="00F6054A">
        <w:rPr>
          <w:kern w:val="22"/>
          <w:sz w:val="22"/>
          <w:szCs w:val="22"/>
          <w:lang w:val="fr-CA" w:eastAsia="zh-CN"/>
        </w:rPr>
        <w:t>En ce qui concerne l’orientation, la décision</w:t>
      </w:r>
      <w:r w:rsidR="00F6054A">
        <w:rPr>
          <w:kern w:val="22"/>
          <w:sz w:val="22"/>
          <w:szCs w:val="22"/>
          <w:lang w:val="fr-CA" w:eastAsia="zh-CN"/>
        </w:rPr>
        <w:t xml:space="preserve"> VII/22 a</w:t>
      </w:r>
      <w:r w:rsidR="00F6054A" w:rsidRPr="00F6054A">
        <w:rPr>
          <w:kern w:val="22"/>
          <w:sz w:val="22"/>
          <w:szCs w:val="22"/>
          <w:lang w:val="fr-CA" w:eastAsia="zh-CN"/>
        </w:rPr>
        <w:t>jout</w:t>
      </w:r>
      <w:r w:rsidR="00036584">
        <w:rPr>
          <w:kern w:val="22"/>
          <w:sz w:val="22"/>
          <w:szCs w:val="22"/>
          <w:lang w:val="fr-CA" w:eastAsia="zh-CN"/>
        </w:rPr>
        <w:t>ait</w:t>
      </w:r>
      <w:r w:rsidR="00F6054A" w:rsidRPr="00F6054A">
        <w:rPr>
          <w:kern w:val="22"/>
          <w:sz w:val="22"/>
          <w:szCs w:val="22"/>
          <w:lang w:val="fr-CA" w:eastAsia="zh-CN"/>
        </w:rPr>
        <w:t xml:space="preserve"> une nouvelle dimension pour le troisi</w:t>
      </w:r>
      <w:r w:rsidR="00F6054A">
        <w:rPr>
          <w:kern w:val="22"/>
          <w:sz w:val="22"/>
          <w:szCs w:val="22"/>
          <w:lang w:val="fr-CA" w:eastAsia="zh-CN"/>
        </w:rPr>
        <w:t xml:space="preserve">ème examen : l’examen de l’efficacité et de la pertinence de l’orientation de la Conférence des Parties, qui sous-entend une couverture complète du processus, </w:t>
      </w:r>
      <w:r w:rsidR="007A3DF8">
        <w:rPr>
          <w:kern w:val="22"/>
          <w:sz w:val="22"/>
          <w:szCs w:val="22"/>
          <w:lang w:val="fr-CA" w:eastAsia="zh-CN"/>
        </w:rPr>
        <w:t>de l’offre de l’</w:t>
      </w:r>
      <w:r w:rsidR="00F6054A">
        <w:rPr>
          <w:kern w:val="22"/>
          <w:sz w:val="22"/>
          <w:szCs w:val="22"/>
          <w:lang w:val="fr-CA" w:eastAsia="zh-CN"/>
        </w:rPr>
        <w:t>orientation jusqu’à l’</w:t>
      </w:r>
      <w:r w:rsidR="00B57CAD">
        <w:rPr>
          <w:kern w:val="22"/>
          <w:sz w:val="22"/>
          <w:szCs w:val="22"/>
          <w:lang w:val="fr-CA" w:eastAsia="zh-CN"/>
        </w:rPr>
        <w:t>applicati</w:t>
      </w:r>
      <w:r w:rsidR="00F6054A">
        <w:rPr>
          <w:kern w:val="22"/>
          <w:sz w:val="22"/>
          <w:szCs w:val="22"/>
          <w:lang w:val="fr-CA" w:eastAsia="zh-CN"/>
        </w:rPr>
        <w:t xml:space="preserve">on. </w:t>
      </w:r>
      <w:r w:rsidR="00B57CAD">
        <w:rPr>
          <w:kern w:val="22"/>
          <w:sz w:val="22"/>
          <w:szCs w:val="22"/>
          <w:lang w:val="fr-CA" w:eastAsia="zh-CN"/>
        </w:rPr>
        <w:t>Co</w:t>
      </w:r>
      <w:r w:rsidR="00F6054A">
        <w:rPr>
          <w:kern w:val="22"/>
          <w:sz w:val="22"/>
          <w:szCs w:val="22"/>
          <w:lang w:val="fr-CA" w:eastAsia="zh-CN"/>
        </w:rPr>
        <w:t>mme l’</w:t>
      </w:r>
      <w:r w:rsidR="00B57CAD">
        <w:rPr>
          <w:kern w:val="22"/>
          <w:sz w:val="22"/>
          <w:szCs w:val="22"/>
          <w:lang w:val="fr-CA" w:eastAsia="zh-CN"/>
        </w:rPr>
        <w:t>orientati</w:t>
      </w:r>
      <w:r w:rsidR="00F6054A">
        <w:rPr>
          <w:kern w:val="22"/>
          <w:sz w:val="22"/>
          <w:szCs w:val="22"/>
          <w:lang w:val="fr-CA" w:eastAsia="zh-CN"/>
        </w:rPr>
        <w:t>on a été adoptée de mani</w:t>
      </w:r>
      <w:r w:rsidR="00B57CAD">
        <w:rPr>
          <w:kern w:val="22"/>
          <w:sz w:val="22"/>
          <w:szCs w:val="22"/>
          <w:lang w:val="fr-CA" w:eastAsia="zh-CN"/>
        </w:rPr>
        <w:t>ère consensuelle et inclu</w:t>
      </w:r>
      <w:r w:rsidR="00F6054A">
        <w:rPr>
          <w:kern w:val="22"/>
          <w:sz w:val="22"/>
          <w:szCs w:val="22"/>
          <w:lang w:val="fr-CA" w:eastAsia="zh-CN"/>
        </w:rPr>
        <w:t xml:space="preserve">sive par la Conférence des Parties, il est suggéré de reformuler l’ajout </w:t>
      </w:r>
      <w:r w:rsidR="00B57CAD">
        <w:rPr>
          <w:kern w:val="22"/>
          <w:sz w:val="22"/>
          <w:szCs w:val="22"/>
          <w:lang w:val="fr-CA" w:eastAsia="zh-CN"/>
        </w:rPr>
        <w:t xml:space="preserve">afin </w:t>
      </w:r>
      <w:r w:rsidR="00276F2E">
        <w:rPr>
          <w:kern w:val="22"/>
          <w:sz w:val="22"/>
          <w:szCs w:val="22"/>
          <w:lang w:val="fr-CA" w:eastAsia="zh-CN"/>
        </w:rPr>
        <w:t>qu’il se lise</w:t>
      </w:r>
      <w:r w:rsidR="00B57CAD">
        <w:rPr>
          <w:kern w:val="22"/>
          <w:sz w:val="22"/>
          <w:szCs w:val="22"/>
          <w:lang w:val="fr-CA" w:eastAsia="zh-CN"/>
        </w:rPr>
        <w:t xml:space="preserve"> « l’efficacité </w:t>
      </w:r>
      <w:r w:rsidR="00036584">
        <w:rPr>
          <w:kern w:val="22"/>
          <w:sz w:val="22"/>
          <w:szCs w:val="22"/>
          <w:lang w:val="fr-CA" w:eastAsia="zh-CN"/>
        </w:rPr>
        <w:t>à</w:t>
      </w:r>
      <w:r w:rsidR="00B57CAD">
        <w:rPr>
          <w:kern w:val="22"/>
          <w:sz w:val="22"/>
          <w:szCs w:val="22"/>
          <w:lang w:val="fr-CA" w:eastAsia="zh-CN"/>
        </w:rPr>
        <w:t xml:space="preserve"> contribuer </w:t>
      </w:r>
      <w:r w:rsidR="00276F2E">
        <w:rPr>
          <w:kern w:val="22"/>
          <w:sz w:val="22"/>
          <w:szCs w:val="22"/>
          <w:lang w:val="fr-CA" w:eastAsia="zh-CN"/>
        </w:rPr>
        <w:t>au développement</w:t>
      </w:r>
      <w:r w:rsidR="00B57CAD">
        <w:rPr>
          <w:kern w:val="22"/>
          <w:sz w:val="22"/>
          <w:szCs w:val="22"/>
          <w:lang w:val="fr-CA" w:eastAsia="zh-CN"/>
        </w:rPr>
        <w:t xml:space="preserve"> des politiques </w:t>
      </w:r>
      <w:r w:rsidR="00276F2E">
        <w:rPr>
          <w:kern w:val="22"/>
          <w:sz w:val="22"/>
          <w:szCs w:val="22"/>
          <w:lang w:val="fr-CA" w:eastAsia="zh-CN"/>
        </w:rPr>
        <w:t>générales, de stratégies et de programmes mondiaux et régionaux pour la diversité biologique</w:t>
      </w:r>
      <w:r w:rsidR="006E2CFC">
        <w:rPr>
          <w:kern w:val="22"/>
          <w:sz w:val="22"/>
          <w:szCs w:val="22"/>
          <w:lang w:val="fr-CA" w:eastAsia="zh-CN"/>
        </w:rPr>
        <w:t> </w:t>
      </w:r>
      <w:r w:rsidR="00B57CAD">
        <w:rPr>
          <w:kern w:val="22"/>
          <w:sz w:val="22"/>
          <w:szCs w:val="22"/>
          <w:lang w:val="fr-CA" w:eastAsia="zh-CN"/>
        </w:rPr>
        <w:t>».</w:t>
      </w:r>
    </w:p>
    <w:p w14:paraId="3FE228CB" w14:textId="5D20AE7E" w:rsidR="00DE01F7" w:rsidRPr="00750297" w:rsidRDefault="00B57CAD" w:rsidP="00516B43">
      <w:pPr>
        <w:pStyle w:val="Para1"/>
        <w:numPr>
          <w:ilvl w:val="0"/>
          <w:numId w:val="13"/>
        </w:numPr>
        <w:suppressLineNumbers/>
        <w:tabs>
          <w:tab w:val="num" w:pos="720"/>
        </w:tabs>
        <w:suppressAutoHyphens/>
        <w:spacing w:before="120"/>
        <w:ind w:left="0" w:firstLine="0"/>
        <w:jc w:val="both"/>
        <w:rPr>
          <w:kern w:val="22"/>
          <w:sz w:val="22"/>
          <w:szCs w:val="22"/>
          <w:lang w:val="fr-CA" w:eastAsia="zh-CN"/>
        </w:rPr>
      </w:pPr>
      <w:r>
        <w:rPr>
          <w:kern w:val="22"/>
          <w:sz w:val="22"/>
          <w:szCs w:val="22"/>
          <w:lang w:val="fr-CA" w:eastAsia="zh-CN"/>
        </w:rPr>
        <w:t>Le deuxième objectif initial de l’examen port</w:t>
      </w:r>
      <w:r w:rsidR="00036584">
        <w:rPr>
          <w:kern w:val="22"/>
          <w:sz w:val="22"/>
          <w:szCs w:val="22"/>
          <w:lang w:val="fr-CA" w:eastAsia="zh-CN"/>
        </w:rPr>
        <w:t>ait</w:t>
      </w:r>
      <w:r>
        <w:rPr>
          <w:kern w:val="22"/>
          <w:sz w:val="22"/>
          <w:szCs w:val="22"/>
          <w:lang w:val="fr-CA" w:eastAsia="zh-CN"/>
        </w:rPr>
        <w:t xml:space="preserve"> sur l’efficacité à fournir des ressources financières</w:t>
      </w:r>
      <w:r w:rsidR="001E2BB2">
        <w:rPr>
          <w:kern w:val="22"/>
          <w:sz w:val="22"/>
          <w:szCs w:val="22"/>
          <w:lang w:val="fr-CA" w:eastAsia="zh-CN"/>
        </w:rPr>
        <w:t>. Cet objectif a été élargi afin d’y inclure l’</w:t>
      </w:r>
      <w:r w:rsidR="003D044F">
        <w:rPr>
          <w:kern w:val="22"/>
          <w:sz w:val="22"/>
          <w:szCs w:val="22"/>
          <w:lang w:val="fr-CA" w:eastAsia="zh-CN"/>
        </w:rPr>
        <w:t>offre, la surveillance, le suiv</w:t>
      </w:r>
      <w:r w:rsidR="001E2BB2">
        <w:rPr>
          <w:kern w:val="22"/>
          <w:sz w:val="22"/>
          <w:szCs w:val="22"/>
          <w:lang w:val="fr-CA" w:eastAsia="zh-CN"/>
        </w:rPr>
        <w:t>i et l’é</w:t>
      </w:r>
      <w:r w:rsidR="006E2CFC">
        <w:rPr>
          <w:kern w:val="22"/>
          <w:sz w:val="22"/>
          <w:szCs w:val="22"/>
          <w:lang w:val="fr-CA" w:eastAsia="zh-CN"/>
        </w:rPr>
        <w:t>valuation des ressources lors des</w:t>
      </w:r>
      <w:r w:rsidR="001E2BB2">
        <w:rPr>
          <w:kern w:val="22"/>
          <w:sz w:val="22"/>
          <w:szCs w:val="22"/>
          <w:lang w:val="fr-CA" w:eastAsia="zh-CN"/>
        </w:rPr>
        <w:t xml:space="preserve"> deuxième et troisième examens, et divisé en deux objectifs lors du quatrième et cinquième exam</w:t>
      </w:r>
      <w:r w:rsidR="00276F2E">
        <w:rPr>
          <w:kern w:val="22"/>
          <w:sz w:val="22"/>
          <w:szCs w:val="22"/>
          <w:lang w:val="fr-CA" w:eastAsia="zh-CN"/>
        </w:rPr>
        <w:t>ens :</w:t>
      </w:r>
      <w:r w:rsidR="001E2BB2">
        <w:rPr>
          <w:kern w:val="22"/>
          <w:sz w:val="22"/>
          <w:szCs w:val="22"/>
          <w:lang w:val="fr-CA" w:eastAsia="zh-CN"/>
        </w:rPr>
        <w:t xml:space="preserve"> fournir et mobiliser de nouvelles ressources supplémentaires</w:t>
      </w:r>
      <w:r w:rsidR="003D044F">
        <w:rPr>
          <w:kern w:val="22"/>
          <w:sz w:val="22"/>
          <w:szCs w:val="22"/>
          <w:lang w:val="fr-CA" w:eastAsia="zh-CN"/>
        </w:rPr>
        <w:t>,</w:t>
      </w:r>
      <w:r w:rsidR="001E2BB2">
        <w:rPr>
          <w:kern w:val="22"/>
          <w:sz w:val="22"/>
          <w:szCs w:val="22"/>
          <w:lang w:val="fr-CA" w:eastAsia="zh-CN"/>
        </w:rPr>
        <w:t xml:space="preserve"> et </w:t>
      </w:r>
      <w:r w:rsidR="003D044F">
        <w:rPr>
          <w:kern w:val="22"/>
          <w:sz w:val="22"/>
          <w:szCs w:val="22"/>
          <w:lang w:val="fr-CA" w:eastAsia="zh-CN"/>
        </w:rPr>
        <w:t>distribuer</w:t>
      </w:r>
      <w:r w:rsidR="001E2BB2">
        <w:rPr>
          <w:kern w:val="22"/>
          <w:sz w:val="22"/>
          <w:szCs w:val="22"/>
          <w:lang w:val="fr-CA" w:eastAsia="zh-CN"/>
        </w:rPr>
        <w:t xml:space="preserve"> </w:t>
      </w:r>
      <w:r w:rsidR="003D044F">
        <w:rPr>
          <w:kern w:val="22"/>
          <w:sz w:val="22"/>
          <w:szCs w:val="22"/>
          <w:lang w:val="fr-CA" w:eastAsia="zh-CN"/>
        </w:rPr>
        <w:t>et gérer les ressources financi</w:t>
      </w:r>
      <w:r w:rsidR="001E2BB2">
        <w:rPr>
          <w:kern w:val="22"/>
          <w:sz w:val="22"/>
          <w:szCs w:val="22"/>
          <w:lang w:val="fr-CA" w:eastAsia="zh-CN"/>
        </w:rPr>
        <w:t>ères</w:t>
      </w:r>
      <w:r w:rsidR="009C67B0" w:rsidRPr="00750297">
        <w:rPr>
          <w:kern w:val="22"/>
          <w:sz w:val="22"/>
          <w:szCs w:val="22"/>
          <w:lang w:val="fr-CA" w:eastAsia="zh-CN"/>
        </w:rPr>
        <w:t>.</w:t>
      </w:r>
      <w:r w:rsidR="00276F2E">
        <w:rPr>
          <w:kern w:val="22"/>
          <w:sz w:val="22"/>
          <w:szCs w:val="22"/>
          <w:lang w:val="fr-CA" w:eastAsia="zh-CN"/>
        </w:rPr>
        <w:t xml:space="preserve"> Le</w:t>
      </w:r>
      <w:r w:rsidR="003D044F">
        <w:rPr>
          <w:kern w:val="22"/>
          <w:sz w:val="22"/>
          <w:szCs w:val="22"/>
          <w:lang w:val="fr-CA" w:eastAsia="zh-CN"/>
        </w:rPr>
        <w:t xml:space="preserve"> cinquième examen a révélé que les résultats de l’évaluation du Bureau indépendant d’évaluation du </w:t>
      </w:r>
      <w:r w:rsidR="00276F2E">
        <w:rPr>
          <w:kern w:val="22"/>
          <w:sz w:val="22"/>
          <w:szCs w:val="22"/>
          <w:lang w:val="fr-CA" w:eastAsia="zh-CN"/>
        </w:rPr>
        <w:t>FEM</w:t>
      </w:r>
      <w:r w:rsidR="003D044F">
        <w:rPr>
          <w:kern w:val="22"/>
          <w:sz w:val="22"/>
          <w:szCs w:val="22"/>
          <w:lang w:val="fr-CA" w:eastAsia="zh-CN"/>
        </w:rPr>
        <w:t xml:space="preserve"> offre</w:t>
      </w:r>
      <w:r w:rsidR="007D6D34">
        <w:rPr>
          <w:kern w:val="22"/>
          <w:sz w:val="22"/>
          <w:szCs w:val="22"/>
          <w:lang w:val="fr-CA" w:eastAsia="zh-CN"/>
        </w:rPr>
        <w:t>nt</w:t>
      </w:r>
      <w:r w:rsidR="003D044F">
        <w:rPr>
          <w:kern w:val="22"/>
          <w:sz w:val="22"/>
          <w:szCs w:val="22"/>
          <w:lang w:val="fr-CA" w:eastAsia="zh-CN"/>
        </w:rPr>
        <w:t xml:space="preserve"> une bonne base pour étudier le cycle de gestion des </w:t>
      </w:r>
      <w:r w:rsidR="00D74ACE">
        <w:rPr>
          <w:kern w:val="22"/>
          <w:sz w:val="22"/>
          <w:szCs w:val="22"/>
          <w:lang w:val="fr-CA" w:eastAsia="zh-CN"/>
        </w:rPr>
        <w:t>projets</w:t>
      </w:r>
      <w:r w:rsidR="003D044F">
        <w:rPr>
          <w:kern w:val="22"/>
          <w:sz w:val="22"/>
          <w:szCs w:val="22"/>
          <w:lang w:val="fr-CA" w:eastAsia="zh-CN"/>
        </w:rPr>
        <w:t xml:space="preserve"> depuis l’approbation jusqu’à </w:t>
      </w:r>
      <w:r w:rsidR="00D74ACE">
        <w:rPr>
          <w:kern w:val="22"/>
          <w:sz w:val="22"/>
          <w:szCs w:val="22"/>
          <w:lang w:val="fr-CA" w:eastAsia="zh-CN"/>
        </w:rPr>
        <w:t>la mise en œuvre et l’achèvement. Il a été suggéré d’axer le sixième examen sur la mobilisation des ressources financières et le rôle catalyseur de la réponse des pays aux objectifs et cibles mondiaux</w:t>
      </w:r>
      <w:r w:rsidR="00276F2E">
        <w:rPr>
          <w:kern w:val="22"/>
          <w:sz w:val="22"/>
          <w:szCs w:val="22"/>
          <w:lang w:val="fr-CA" w:eastAsia="zh-CN"/>
        </w:rPr>
        <w:t>,</w:t>
      </w:r>
      <w:r w:rsidR="00D74ACE">
        <w:rPr>
          <w:kern w:val="22"/>
          <w:sz w:val="22"/>
          <w:szCs w:val="22"/>
          <w:lang w:val="fr-CA" w:eastAsia="zh-CN"/>
        </w:rPr>
        <w:t xml:space="preserve"> afin d’éviter le dédoublement d’efforts</w:t>
      </w:r>
      <w:r w:rsidR="00073DCF">
        <w:rPr>
          <w:kern w:val="22"/>
          <w:sz w:val="22"/>
          <w:szCs w:val="22"/>
          <w:lang w:val="fr-CA" w:eastAsia="zh-CN"/>
        </w:rPr>
        <w:t xml:space="preserve">, ce qui est </w:t>
      </w:r>
      <w:r w:rsidR="00D74ACE">
        <w:rPr>
          <w:kern w:val="22"/>
          <w:sz w:val="22"/>
          <w:szCs w:val="22"/>
          <w:lang w:val="fr-CA" w:eastAsia="zh-CN"/>
        </w:rPr>
        <w:t>particulièrement important afin d’aborder les aspect</w:t>
      </w:r>
      <w:r w:rsidR="00073DCF">
        <w:rPr>
          <w:kern w:val="22"/>
          <w:sz w:val="22"/>
          <w:szCs w:val="22"/>
          <w:lang w:val="fr-CA" w:eastAsia="zh-CN"/>
        </w:rPr>
        <w:t>s</w:t>
      </w:r>
      <w:r w:rsidR="00D74ACE">
        <w:rPr>
          <w:kern w:val="22"/>
          <w:sz w:val="22"/>
          <w:szCs w:val="22"/>
          <w:lang w:val="fr-CA" w:eastAsia="zh-CN"/>
        </w:rPr>
        <w:t xml:space="preserve"> sous-jacents des Protocoles.</w:t>
      </w:r>
    </w:p>
    <w:p w14:paraId="03222D05" w14:textId="497486B4" w:rsidR="00DE01F7" w:rsidRPr="00750297" w:rsidRDefault="00D74ACE" w:rsidP="00516B43">
      <w:pPr>
        <w:pStyle w:val="Para1"/>
        <w:numPr>
          <w:ilvl w:val="0"/>
          <w:numId w:val="13"/>
        </w:numPr>
        <w:suppressLineNumbers/>
        <w:tabs>
          <w:tab w:val="num" w:pos="720"/>
        </w:tabs>
        <w:suppressAutoHyphens/>
        <w:spacing w:before="120"/>
        <w:ind w:left="0" w:firstLine="0"/>
        <w:jc w:val="both"/>
        <w:rPr>
          <w:kern w:val="22"/>
          <w:sz w:val="22"/>
          <w:szCs w:val="22"/>
          <w:lang w:val="fr-CA" w:eastAsia="zh-CN"/>
        </w:rPr>
      </w:pPr>
      <w:r>
        <w:rPr>
          <w:kern w:val="22"/>
          <w:sz w:val="22"/>
          <w:szCs w:val="22"/>
          <w:lang w:val="fr-CA" w:eastAsia="zh-CN"/>
        </w:rPr>
        <w:lastRenderedPageBreak/>
        <w:t>Le troisième objectif initial de l’examen s’intéress</w:t>
      </w:r>
      <w:r w:rsidR="00D34E9D">
        <w:rPr>
          <w:kern w:val="22"/>
          <w:sz w:val="22"/>
          <w:szCs w:val="22"/>
          <w:lang w:val="fr-CA" w:eastAsia="zh-CN"/>
        </w:rPr>
        <w:t>ait</w:t>
      </w:r>
      <w:r>
        <w:rPr>
          <w:kern w:val="22"/>
          <w:sz w:val="22"/>
          <w:szCs w:val="22"/>
          <w:lang w:val="fr-CA" w:eastAsia="zh-CN"/>
        </w:rPr>
        <w:t xml:space="preserve"> à l’efficacité des activités financées </w:t>
      </w:r>
      <w:r w:rsidR="00073DCF">
        <w:rPr>
          <w:kern w:val="22"/>
          <w:sz w:val="22"/>
          <w:szCs w:val="22"/>
          <w:lang w:val="fr-CA" w:eastAsia="zh-CN"/>
        </w:rPr>
        <w:t>pour</w:t>
      </w:r>
      <w:r>
        <w:rPr>
          <w:kern w:val="22"/>
          <w:sz w:val="22"/>
          <w:szCs w:val="22"/>
          <w:lang w:val="fr-CA" w:eastAsia="zh-CN"/>
        </w:rPr>
        <w:t xml:space="preserve"> l’</w:t>
      </w:r>
      <w:r w:rsidR="002857A2">
        <w:rPr>
          <w:kern w:val="22"/>
          <w:sz w:val="22"/>
          <w:szCs w:val="22"/>
          <w:lang w:val="fr-CA" w:eastAsia="zh-CN"/>
        </w:rPr>
        <w:t>application de la Co</w:t>
      </w:r>
      <w:r>
        <w:rPr>
          <w:kern w:val="22"/>
          <w:sz w:val="22"/>
          <w:szCs w:val="22"/>
          <w:lang w:val="fr-CA" w:eastAsia="zh-CN"/>
        </w:rPr>
        <w:t>nvention</w:t>
      </w:r>
      <w:r w:rsidR="002857A2">
        <w:rPr>
          <w:kern w:val="22"/>
          <w:sz w:val="22"/>
          <w:szCs w:val="22"/>
          <w:lang w:val="fr-CA" w:eastAsia="zh-CN"/>
        </w:rPr>
        <w:t xml:space="preserve"> e</w:t>
      </w:r>
      <w:r>
        <w:rPr>
          <w:kern w:val="22"/>
          <w:sz w:val="22"/>
          <w:szCs w:val="22"/>
          <w:lang w:val="fr-CA" w:eastAsia="zh-CN"/>
        </w:rPr>
        <w:t>t de ses Protocoles. Un objectif portant sur la cohérence avec les autres conventions de Rio a été ajouté lors des quatri</w:t>
      </w:r>
      <w:r w:rsidR="002857A2">
        <w:rPr>
          <w:kern w:val="22"/>
          <w:sz w:val="22"/>
          <w:szCs w:val="22"/>
          <w:lang w:val="fr-CA" w:eastAsia="zh-CN"/>
        </w:rPr>
        <w:t>ème et cinquiè</w:t>
      </w:r>
      <w:r>
        <w:rPr>
          <w:kern w:val="22"/>
          <w:sz w:val="22"/>
          <w:szCs w:val="22"/>
          <w:lang w:val="fr-CA" w:eastAsia="zh-CN"/>
        </w:rPr>
        <w:t xml:space="preserve">me examens. Ces deux objectifs ont aussi été </w:t>
      </w:r>
      <w:r w:rsidR="00D64920">
        <w:rPr>
          <w:kern w:val="22"/>
          <w:sz w:val="22"/>
          <w:szCs w:val="22"/>
          <w:lang w:val="fr-CA" w:eastAsia="zh-CN"/>
        </w:rPr>
        <w:t>ciblés de façon significative</w:t>
      </w:r>
      <w:r>
        <w:rPr>
          <w:kern w:val="22"/>
          <w:sz w:val="22"/>
          <w:szCs w:val="22"/>
          <w:lang w:val="fr-CA" w:eastAsia="zh-CN"/>
        </w:rPr>
        <w:t xml:space="preserve"> par le Bureau indépendant d’évaluation du </w:t>
      </w:r>
      <w:r w:rsidR="00073DCF">
        <w:rPr>
          <w:kern w:val="22"/>
          <w:sz w:val="22"/>
          <w:szCs w:val="22"/>
          <w:lang w:val="fr-CA" w:eastAsia="zh-CN"/>
        </w:rPr>
        <w:t>FEM</w:t>
      </w:r>
      <w:r>
        <w:rPr>
          <w:kern w:val="22"/>
          <w:sz w:val="22"/>
          <w:szCs w:val="22"/>
          <w:lang w:val="fr-CA" w:eastAsia="zh-CN"/>
        </w:rPr>
        <w:t>. La phrase « cohérence avec les autres Conventions de Rio » semble être de portée limitée car p</w:t>
      </w:r>
      <w:r w:rsidR="002857A2">
        <w:rPr>
          <w:kern w:val="22"/>
          <w:sz w:val="22"/>
          <w:szCs w:val="22"/>
          <w:lang w:val="fr-CA" w:eastAsia="zh-CN"/>
        </w:rPr>
        <w:t>lusieurs autres accords multilatér</w:t>
      </w:r>
      <w:r>
        <w:rPr>
          <w:kern w:val="22"/>
          <w:sz w:val="22"/>
          <w:szCs w:val="22"/>
          <w:lang w:val="fr-CA" w:eastAsia="zh-CN"/>
        </w:rPr>
        <w:t>aux sur l’environnement contribuent également aux objectifs de la Convention et de ses Protocoles. Se fondant sur les évaluations d</w:t>
      </w:r>
      <w:r w:rsidR="00073DCF">
        <w:rPr>
          <w:kern w:val="22"/>
          <w:sz w:val="22"/>
          <w:szCs w:val="22"/>
          <w:lang w:val="fr-CA" w:eastAsia="zh-CN"/>
        </w:rPr>
        <w:t>u</w:t>
      </w:r>
      <w:r>
        <w:rPr>
          <w:kern w:val="22"/>
          <w:sz w:val="22"/>
          <w:szCs w:val="22"/>
          <w:lang w:val="fr-CA" w:eastAsia="zh-CN"/>
        </w:rPr>
        <w:t xml:space="preserve"> </w:t>
      </w:r>
      <w:r w:rsidR="00073DCF">
        <w:rPr>
          <w:kern w:val="22"/>
          <w:sz w:val="22"/>
          <w:szCs w:val="22"/>
          <w:lang w:val="fr-CA" w:eastAsia="zh-CN"/>
        </w:rPr>
        <w:t>FEM</w:t>
      </w:r>
      <w:r w:rsidR="002857A2">
        <w:rPr>
          <w:kern w:val="22"/>
          <w:sz w:val="22"/>
          <w:szCs w:val="22"/>
          <w:lang w:val="fr-CA" w:eastAsia="zh-CN"/>
        </w:rPr>
        <w:t xml:space="preserve">, il est suggéré de cibler le rôle général qu’a joué le </w:t>
      </w:r>
      <w:r w:rsidR="00073DCF">
        <w:rPr>
          <w:kern w:val="22"/>
          <w:sz w:val="22"/>
          <w:szCs w:val="22"/>
          <w:lang w:val="fr-CA" w:eastAsia="zh-CN"/>
        </w:rPr>
        <w:t>FEM</w:t>
      </w:r>
      <w:r w:rsidR="002857A2">
        <w:rPr>
          <w:kern w:val="22"/>
          <w:sz w:val="22"/>
          <w:szCs w:val="22"/>
          <w:lang w:val="fr-CA" w:eastAsia="zh-CN"/>
        </w:rPr>
        <w:t xml:space="preserve"> dans l’application de la Convention et de ses Protocoles, et d’inclure la cohérence avec les objectifs de développement durable et tous les accords multilatéraux sur l’environnement pertinents. Cet objectif portera également sur les éléments précis de l’utilisation des ressources mises de côté pour l’application des Protocoles. Il comprendra l’analyse de l’efficacité des activités soutenues au titre des activités de facilitation et les éléments de soutien à l’application.</w:t>
      </w:r>
    </w:p>
    <w:p w14:paraId="3F5A71B5" w14:textId="4C67EFDD" w:rsidR="004955A4" w:rsidRPr="00750297" w:rsidRDefault="003A7EAE" w:rsidP="0011729F">
      <w:pPr>
        <w:pStyle w:val="Para1"/>
        <w:suppressLineNumbers/>
        <w:suppressAutoHyphens/>
        <w:spacing w:before="120"/>
        <w:jc w:val="center"/>
        <w:outlineLvl w:val="1"/>
        <w:rPr>
          <w:b/>
          <w:kern w:val="22"/>
          <w:sz w:val="22"/>
          <w:szCs w:val="22"/>
          <w:lang w:val="fr-CA" w:eastAsia="zh-CN"/>
        </w:rPr>
      </w:pPr>
      <w:r w:rsidRPr="00750297">
        <w:rPr>
          <w:b/>
          <w:kern w:val="22"/>
          <w:sz w:val="22"/>
          <w:szCs w:val="22"/>
          <w:lang w:val="fr-CA" w:eastAsia="zh-CN"/>
        </w:rPr>
        <w:t>B.</w:t>
      </w:r>
      <w:r w:rsidRPr="00750297">
        <w:rPr>
          <w:b/>
          <w:kern w:val="22"/>
          <w:sz w:val="22"/>
          <w:szCs w:val="22"/>
          <w:lang w:val="fr-CA" w:eastAsia="zh-CN"/>
        </w:rPr>
        <w:tab/>
      </w:r>
      <w:r w:rsidR="00285C0F" w:rsidRPr="00024430">
        <w:rPr>
          <w:b/>
          <w:kern w:val="22"/>
          <w:sz w:val="22"/>
          <w:szCs w:val="22"/>
          <w:lang w:val="fr-CA" w:eastAsia="zh-CN"/>
        </w:rPr>
        <w:t>Méthodologie</w:t>
      </w:r>
    </w:p>
    <w:p w14:paraId="17CC56F3" w14:textId="109DB6D9" w:rsidR="00FA1560" w:rsidRPr="00750297" w:rsidRDefault="00024430" w:rsidP="00516B43">
      <w:pPr>
        <w:pStyle w:val="Para1"/>
        <w:numPr>
          <w:ilvl w:val="0"/>
          <w:numId w:val="13"/>
        </w:numPr>
        <w:suppressLineNumbers/>
        <w:tabs>
          <w:tab w:val="num" w:pos="720"/>
        </w:tabs>
        <w:suppressAutoHyphens/>
        <w:spacing w:before="120"/>
        <w:ind w:left="0" w:firstLine="0"/>
        <w:jc w:val="both"/>
        <w:rPr>
          <w:kern w:val="22"/>
          <w:sz w:val="22"/>
          <w:szCs w:val="22"/>
          <w:lang w:val="fr-CA" w:eastAsia="zh-CN"/>
        </w:rPr>
      </w:pPr>
      <w:r>
        <w:rPr>
          <w:kern w:val="22"/>
          <w:sz w:val="22"/>
          <w:szCs w:val="22"/>
          <w:lang w:val="fr-CA" w:eastAsia="zh-CN"/>
        </w:rPr>
        <w:t>La pa</w:t>
      </w:r>
      <w:r w:rsidR="00D34E9D">
        <w:rPr>
          <w:kern w:val="22"/>
          <w:sz w:val="22"/>
          <w:szCs w:val="22"/>
          <w:lang w:val="fr-CA" w:eastAsia="zh-CN"/>
        </w:rPr>
        <w:t>rtie sur la méthodologie précisait</w:t>
      </w:r>
      <w:r>
        <w:rPr>
          <w:kern w:val="22"/>
          <w:sz w:val="22"/>
          <w:szCs w:val="22"/>
          <w:lang w:val="fr-CA" w:eastAsia="zh-CN"/>
        </w:rPr>
        <w:t xml:space="preserve"> la période à l’étude et les sources d’information à utiliser. Selon la décision XII/21, le mandat du cinquième examen s’appliquait à toutes les activités</w:t>
      </w:r>
      <w:r w:rsidR="00543DE2">
        <w:rPr>
          <w:kern w:val="22"/>
          <w:sz w:val="22"/>
          <w:szCs w:val="22"/>
          <w:lang w:val="fr-CA" w:eastAsia="zh-CN"/>
        </w:rPr>
        <w:t xml:space="preserve"> de la structure institutionnelle servant de mécanisme de financement, surtout au cours de la période de six ans de juillet 2011 à juin 2017. Le sixième examen s’appliquerait aux cinq années suivantes, c’est-à-dire du 1</w:t>
      </w:r>
      <w:r w:rsidR="00543DE2" w:rsidRPr="00543DE2">
        <w:rPr>
          <w:kern w:val="22"/>
          <w:sz w:val="22"/>
          <w:szCs w:val="22"/>
          <w:vertAlign w:val="superscript"/>
          <w:lang w:val="fr-CA" w:eastAsia="zh-CN"/>
        </w:rPr>
        <w:t>er</w:t>
      </w:r>
      <w:r w:rsidR="00DE10C1">
        <w:rPr>
          <w:kern w:val="22"/>
          <w:sz w:val="22"/>
          <w:szCs w:val="22"/>
          <w:lang w:val="fr-CA" w:eastAsia="zh-CN"/>
        </w:rPr>
        <w:t> </w:t>
      </w:r>
      <w:r w:rsidR="00543DE2">
        <w:rPr>
          <w:kern w:val="22"/>
          <w:sz w:val="22"/>
          <w:szCs w:val="22"/>
          <w:lang w:val="fr-CA" w:eastAsia="zh-CN"/>
        </w:rPr>
        <w:t xml:space="preserve">juillet 2017 au 30 juin 2022 (exercices financiers de 2018 à 2022 du FEM), </w:t>
      </w:r>
      <w:r w:rsidR="00427E78">
        <w:rPr>
          <w:kern w:val="22"/>
          <w:sz w:val="22"/>
          <w:szCs w:val="22"/>
          <w:lang w:val="fr-CA" w:eastAsia="zh-CN"/>
        </w:rPr>
        <w:t>et</w:t>
      </w:r>
      <w:r w:rsidR="00543DE2">
        <w:rPr>
          <w:kern w:val="22"/>
          <w:sz w:val="22"/>
          <w:szCs w:val="22"/>
          <w:lang w:val="fr-CA" w:eastAsia="zh-CN"/>
        </w:rPr>
        <w:t xml:space="preserve"> coïnciderait avec l’achèvement du septième cycle de reconstitution du </w:t>
      </w:r>
      <w:r w:rsidR="00427E78">
        <w:rPr>
          <w:kern w:val="22"/>
          <w:sz w:val="22"/>
          <w:szCs w:val="22"/>
          <w:lang w:val="fr-CA" w:eastAsia="zh-CN"/>
        </w:rPr>
        <w:t>FEM</w:t>
      </w:r>
      <w:r w:rsidR="00543DE2">
        <w:rPr>
          <w:kern w:val="22"/>
          <w:sz w:val="22"/>
          <w:szCs w:val="22"/>
          <w:lang w:val="fr-CA" w:eastAsia="zh-CN"/>
        </w:rPr>
        <w:t xml:space="preserve">. La finalisation de la décision sur cette période devrait tenir compte des décisions de la Conférence des Parties à sa quinzième réunion concernant la périodicité de ses réunions et la date de sa seizième réunion, </w:t>
      </w:r>
      <w:r w:rsidR="00B91575">
        <w:rPr>
          <w:kern w:val="22"/>
          <w:sz w:val="22"/>
          <w:szCs w:val="22"/>
          <w:lang w:val="fr-CA" w:eastAsia="zh-CN"/>
        </w:rPr>
        <w:t xml:space="preserve">et </w:t>
      </w:r>
      <w:r w:rsidR="00427E78">
        <w:rPr>
          <w:kern w:val="22"/>
          <w:sz w:val="22"/>
          <w:szCs w:val="22"/>
          <w:lang w:val="fr-CA" w:eastAsia="zh-CN"/>
        </w:rPr>
        <w:t>commencer à faire correspondre</w:t>
      </w:r>
      <w:r w:rsidR="00B91575">
        <w:rPr>
          <w:kern w:val="22"/>
          <w:sz w:val="22"/>
          <w:szCs w:val="22"/>
          <w:lang w:val="fr-CA" w:eastAsia="zh-CN"/>
        </w:rPr>
        <w:t xml:space="preserve"> le présent examen et suivants au cycle </w:t>
      </w:r>
      <w:r w:rsidR="0045431C">
        <w:rPr>
          <w:kern w:val="22"/>
          <w:sz w:val="22"/>
          <w:szCs w:val="22"/>
          <w:lang w:val="fr-CA" w:eastAsia="zh-CN"/>
        </w:rPr>
        <w:t>quadriennal</w:t>
      </w:r>
      <w:r w:rsidR="00B91575">
        <w:rPr>
          <w:kern w:val="22"/>
          <w:sz w:val="22"/>
          <w:szCs w:val="22"/>
          <w:lang w:val="fr-CA" w:eastAsia="zh-CN"/>
        </w:rPr>
        <w:t xml:space="preserve"> de reconstitution du FEM, afin que les conclusions des examens puissent contribuer le plus efficacement possible à la préparation de l’orientation de la Conférence des Parties pour la prochaine période de reconstitution</w:t>
      </w:r>
      <w:r w:rsidR="00E6519C" w:rsidRPr="00750297">
        <w:rPr>
          <w:kern w:val="22"/>
          <w:sz w:val="22"/>
          <w:szCs w:val="22"/>
          <w:lang w:val="fr-CA" w:eastAsia="zh-CN"/>
        </w:rPr>
        <w:t>.</w:t>
      </w:r>
    </w:p>
    <w:p w14:paraId="4E3830C8" w14:textId="3C4CFCA5" w:rsidR="0067451D" w:rsidRPr="0045431C" w:rsidRDefault="0045431C" w:rsidP="00516B43">
      <w:pPr>
        <w:pStyle w:val="Para1"/>
        <w:numPr>
          <w:ilvl w:val="0"/>
          <w:numId w:val="13"/>
        </w:numPr>
        <w:suppressLineNumbers/>
        <w:tabs>
          <w:tab w:val="num" w:pos="720"/>
        </w:tabs>
        <w:suppressAutoHyphens/>
        <w:spacing w:before="120"/>
        <w:ind w:left="0" w:firstLine="0"/>
        <w:jc w:val="both"/>
        <w:rPr>
          <w:kern w:val="22"/>
          <w:sz w:val="22"/>
          <w:szCs w:val="22"/>
          <w:lang w:val="fr-CA" w:eastAsia="zh-CN"/>
        </w:rPr>
      </w:pPr>
      <w:r>
        <w:rPr>
          <w:kern w:val="22"/>
          <w:sz w:val="22"/>
          <w:szCs w:val="22"/>
          <w:lang w:val="fr-CA" w:eastAsia="zh-CN"/>
        </w:rPr>
        <w:t>Les so</w:t>
      </w:r>
      <w:r w:rsidR="00DE10C1">
        <w:rPr>
          <w:kern w:val="22"/>
          <w:sz w:val="22"/>
          <w:szCs w:val="22"/>
          <w:lang w:val="fr-CA" w:eastAsia="zh-CN"/>
        </w:rPr>
        <w:t>u</w:t>
      </w:r>
      <w:r>
        <w:rPr>
          <w:kern w:val="22"/>
          <w:sz w:val="22"/>
          <w:szCs w:val="22"/>
          <w:lang w:val="fr-CA" w:eastAsia="zh-CN"/>
        </w:rPr>
        <w:t xml:space="preserve">rces d’information sont demeurées les mêmes pour tous les examens et comprennent les rapports du Conseil du </w:t>
      </w:r>
      <w:r w:rsidR="00427E78">
        <w:rPr>
          <w:kern w:val="22"/>
          <w:sz w:val="22"/>
          <w:szCs w:val="22"/>
          <w:lang w:val="fr-CA" w:eastAsia="zh-CN"/>
        </w:rPr>
        <w:t>FEM</w:t>
      </w:r>
      <w:r w:rsidR="00DE10C1">
        <w:rPr>
          <w:kern w:val="22"/>
          <w:sz w:val="22"/>
          <w:szCs w:val="22"/>
          <w:lang w:val="fr-CA" w:eastAsia="zh-CN"/>
        </w:rPr>
        <w:t>, les évaluati</w:t>
      </w:r>
      <w:r>
        <w:rPr>
          <w:kern w:val="22"/>
          <w:sz w:val="22"/>
          <w:szCs w:val="22"/>
          <w:lang w:val="fr-CA" w:eastAsia="zh-CN"/>
        </w:rPr>
        <w:t xml:space="preserve">ons du Bureau indépendant d’évaluation du </w:t>
      </w:r>
      <w:r w:rsidR="00427E78">
        <w:rPr>
          <w:kern w:val="22"/>
          <w:sz w:val="22"/>
          <w:szCs w:val="22"/>
          <w:lang w:val="fr-CA" w:eastAsia="zh-CN"/>
        </w:rPr>
        <w:t>FEM</w:t>
      </w:r>
      <w:r>
        <w:rPr>
          <w:kern w:val="22"/>
          <w:sz w:val="22"/>
          <w:szCs w:val="22"/>
          <w:lang w:val="fr-CA" w:eastAsia="zh-CN"/>
        </w:rPr>
        <w:t xml:space="preserve">, les communications nationales et autres parties prenantes. </w:t>
      </w:r>
      <w:r w:rsidRPr="0045431C">
        <w:rPr>
          <w:kern w:val="22"/>
          <w:sz w:val="22"/>
          <w:szCs w:val="22"/>
          <w:lang w:val="fr-CA" w:eastAsia="zh-CN"/>
        </w:rPr>
        <w:t>Conformément au programme de trav</w:t>
      </w:r>
      <w:r w:rsidR="00427E78">
        <w:rPr>
          <w:kern w:val="22"/>
          <w:sz w:val="22"/>
          <w:szCs w:val="22"/>
          <w:lang w:val="fr-CA" w:eastAsia="zh-CN"/>
        </w:rPr>
        <w:t xml:space="preserve">ail quadriennal et au budget des exercices de 2019 à </w:t>
      </w:r>
      <w:r w:rsidR="00DE10C1">
        <w:rPr>
          <w:kern w:val="22"/>
          <w:sz w:val="22"/>
          <w:szCs w:val="22"/>
          <w:lang w:val="fr-CA" w:eastAsia="zh-CN"/>
        </w:rPr>
        <w:t>2022</w:t>
      </w:r>
      <w:r w:rsidRPr="0045431C">
        <w:rPr>
          <w:kern w:val="22"/>
          <w:sz w:val="22"/>
          <w:szCs w:val="22"/>
          <w:lang w:val="fr-CA" w:eastAsia="zh-CN"/>
        </w:rPr>
        <w:t xml:space="preserve"> du Bureau indépendant d’</w:t>
      </w:r>
      <w:r w:rsidR="00D64F50">
        <w:rPr>
          <w:kern w:val="22"/>
          <w:sz w:val="22"/>
          <w:szCs w:val="22"/>
          <w:lang w:val="fr-CA" w:eastAsia="zh-CN"/>
        </w:rPr>
        <w:t>év</w:t>
      </w:r>
      <w:r w:rsidR="00DE10C1">
        <w:rPr>
          <w:kern w:val="22"/>
          <w:sz w:val="22"/>
          <w:szCs w:val="22"/>
          <w:lang w:val="fr-CA" w:eastAsia="zh-CN"/>
        </w:rPr>
        <w:t>aluati</w:t>
      </w:r>
      <w:r w:rsidRPr="0045431C">
        <w:rPr>
          <w:kern w:val="22"/>
          <w:sz w:val="22"/>
          <w:szCs w:val="22"/>
          <w:lang w:val="fr-CA" w:eastAsia="zh-CN"/>
        </w:rPr>
        <w:t>on du FEM</w:t>
      </w:r>
      <w:r w:rsidR="0067451D" w:rsidRPr="0045431C">
        <w:rPr>
          <w:kern w:val="22"/>
          <w:sz w:val="22"/>
          <w:szCs w:val="22"/>
          <w:lang w:val="fr-CA"/>
        </w:rPr>
        <w:t xml:space="preserve"> (GEF/ME/C.56/03/Rev.01, 4 </w:t>
      </w:r>
      <w:r w:rsidR="003C124D">
        <w:rPr>
          <w:kern w:val="22"/>
          <w:sz w:val="22"/>
          <w:szCs w:val="22"/>
          <w:lang w:val="fr-CA"/>
        </w:rPr>
        <w:t>juin</w:t>
      </w:r>
      <w:r w:rsidR="0067451D" w:rsidRPr="0045431C">
        <w:rPr>
          <w:kern w:val="22"/>
          <w:sz w:val="22"/>
          <w:szCs w:val="22"/>
          <w:lang w:val="fr-CA"/>
        </w:rPr>
        <w:t xml:space="preserve"> 2019), </w:t>
      </w:r>
      <w:r w:rsidRPr="0045431C">
        <w:rPr>
          <w:kern w:val="22"/>
          <w:sz w:val="22"/>
          <w:szCs w:val="22"/>
          <w:lang w:val="fr-CA"/>
        </w:rPr>
        <w:t xml:space="preserve">les produits d’information suivants seront disponibles de juillet 2018 </w:t>
      </w:r>
      <w:r>
        <w:rPr>
          <w:kern w:val="22"/>
          <w:sz w:val="22"/>
          <w:szCs w:val="22"/>
          <w:lang w:val="fr-CA"/>
        </w:rPr>
        <w:t xml:space="preserve">à </w:t>
      </w:r>
      <w:r w:rsidR="003C124D">
        <w:rPr>
          <w:kern w:val="22"/>
          <w:sz w:val="22"/>
          <w:szCs w:val="22"/>
          <w:lang w:val="fr-CA"/>
        </w:rPr>
        <w:t xml:space="preserve">juin 2022 (exercice financier </w:t>
      </w:r>
      <w:r>
        <w:rPr>
          <w:kern w:val="22"/>
          <w:sz w:val="22"/>
          <w:szCs w:val="22"/>
          <w:lang w:val="fr-CA"/>
        </w:rPr>
        <w:t>2019-2022 du FEM), ce qui co</w:t>
      </w:r>
      <w:r w:rsidR="00D64F50">
        <w:rPr>
          <w:kern w:val="22"/>
          <w:sz w:val="22"/>
          <w:szCs w:val="22"/>
          <w:lang w:val="fr-CA"/>
        </w:rPr>
        <w:t>ï</w:t>
      </w:r>
      <w:r>
        <w:rPr>
          <w:kern w:val="22"/>
          <w:sz w:val="22"/>
          <w:szCs w:val="22"/>
          <w:lang w:val="fr-CA"/>
        </w:rPr>
        <w:t xml:space="preserve">nciderait avec </w:t>
      </w:r>
      <w:r w:rsidR="00D64F50">
        <w:rPr>
          <w:kern w:val="22"/>
          <w:sz w:val="22"/>
          <w:szCs w:val="22"/>
          <w:lang w:val="fr-CA"/>
        </w:rPr>
        <w:t>la majorité</w:t>
      </w:r>
      <w:r w:rsidR="003C124D">
        <w:rPr>
          <w:kern w:val="22"/>
          <w:sz w:val="22"/>
          <w:szCs w:val="22"/>
          <w:lang w:val="fr-CA"/>
        </w:rPr>
        <w:t xml:space="preserve"> de la période suggérée ci-</w:t>
      </w:r>
      <w:r w:rsidR="00D64F50">
        <w:rPr>
          <w:kern w:val="22"/>
          <w:sz w:val="22"/>
          <w:szCs w:val="22"/>
          <w:lang w:val="fr-CA"/>
        </w:rPr>
        <w:t>dessus pour le sixième examen</w:t>
      </w:r>
      <w:r w:rsidR="007D6D34">
        <w:rPr>
          <w:kern w:val="22"/>
          <w:sz w:val="22"/>
          <w:szCs w:val="22"/>
          <w:lang w:val="fr-CA"/>
        </w:rPr>
        <w:t> </w:t>
      </w:r>
      <w:r w:rsidR="009A1202" w:rsidRPr="0045431C">
        <w:rPr>
          <w:kern w:val="22"/>
          <w:sz w:val="22"/>
          <w:szCs w:val="22"/>
          <w:lang w:val="fr-CA" w:eastAsia="zh-CN"/>
        </w:rPr>
        <w:t>:</w:t>
      </w:r>
    </w:p>
    <w:tbl>
      <w:tblPr>
        <w:tblStyle w:val="Grilledutableau"/>
        <w:tblW w:w="0" w:type="auto"/>
        <w:tblLook w:val="04A0" w:firstRow="1" w:lastRow="0" w:firstColumn="1" w:lastColumn="0" w:noHBand="0" w:noVBand="1"/>
      </w:tblPr>
      <w:tblGrid>
        <w:gridCol w:w="1179"/>
        <w:gridCol w:w="8171"/>
      </w:tblGrid>
      <w:tr w:rsidR="009A1202" w:rsidRPr="00D42DB9" w14:paraId="6CF942ED" w14:textId="77777777" w:rsidTr="009A1202">
        <w:tc>
          <w:tcPr>
            <w:tcW w:w="1188" w:type="dxa"/>
          </w:tcPr>
          <w:p w14:paraId="07FEEF93" w14:textId="31D8922B" w:rsidR="009A1202" w:rsidRPr="003C124D" w:rsidRDefault="003C124D" w:rsidP="003D3020">
            <w:pPr>
              <w:tabs>
                <w:tab w:val="left" w:pos="2516"/>
                <w:tab w:val="left" w:pos="4786"/>
                <w:tab w:val="left" w:pos="7180"/>
              </w:tabs>
              <w:autoSpaceDE w:val="0"/>
              <w:autoSpaceDN w:val="0"/>
              <w:adjustRightInd w:val="0"/>
              <w:jc w:val="both"/>
              <w:rPr>
                <w:rFonts w:eastAsia="MS Mincho"/>
                <w:b/>
                <w:bCs/>
                <w:color w:val="000000"/>
                <w:kern w:val="22"/>
                <w:sz w:val="20"/>
                <w:szCs w:val="20"/>
                <w:lang w:val="fr-CA"/>
              </w:rPr>
            </w:pPr>
            <w:r w:rsidRPr="003C124D">
              <w:rPr>
                <w:rFonts w:eastAsia="MS Mincho"/>
                <w:b/>
                <w:bCs/>
                <w:color w:val="000000"/>
                <w:kern w:val="22"/>
                <w:sz w:val="20"/>
                <w:szCs w:val="20"/>
                <w:lang w:val="fr-CA"/>
              </w:rPr>
              <w:t>Exercice</w:t>
            </w:r>
          </w:p>
        </w:tc>
        <w:tc>
          <w:tcPr>
            <w:tcW w:w="8388" w:type="dxa"/>
          </w:tcPr>
          <w:p w14:paraId="5A398D94" w14:textId="1BE8EF48" w:rsidR="009A1202" w:rsidRPr="003C124D" w:rsidRDefault="003C124D" w:rsidP="003D3020">
            <w:pPr>
              <w:tabs>
                <w:tab w:val="left" w:pos="2516"/>
                <w:tab w:val="left" w:pos="4786"/>
                <w:tab w:val="left" w:pos="7180"/>
              </w:tabs>
              <w:autoSpaceDE w:val="0"/>
              <w:autoSpaceDN w:val="0"/>
              <w:adjustRightInd w:val="0"/>
              <w:jc w:val="both"/>
              <w:rPr>
                <w:rFonts w:eastAsia="MS Mincho"/>
                <w:b/>
                <w:bCs/>
                <w:color w:val="000000"/>
                <w:kern w:val="22"/>
                <w:sz w:val="20"/>
                <w:szCs w:val="20"/>
                <w:lang w:val="fr-CA"/>
              </w:rPr>
            </w:pPr>
            <w:r w:rsidRPr="003C124D">
              <w:rPr>
                <w:rFonts w:eastAsia="MS Mincho"/>
                <w:b/>
                <w:bCs/>
                <w:color w:val="000000"/>
                <w:kern w:val="22"/>
                <w:sz w:val="20"/>
                <w:szCs w:val="20"/>
                <w:lang w:val="fr-CA"/>
              </w:rPr>
              <w:t>Produits d’évaluation du Bureau indépendant d’évaluation du FEM</w:t>
            </w:r>
          </w:p>
        </w:tc>
      </w:tr>
      <w:tr w:rsidR="009A1202" w:rsidRPr="00D42DB9" w14:paraId="1B862CC9" w14:textId="77777777" w:rsidTr="009A1202">
        <w:tc>
          <w:tcPr>
            <w:tcW w:w="1188" w:type="dxa"/>
          </w:tcPr>
          <w:p w14:paraId="318967F9" w14:textId="2A20A09F" w:rsidR="00F35F2D" w:rsidRPr="003C124D" w:rsidRDefault="003C124D" w:rsidP="003D3020">
            <w:pPr>
              <w:tabs>
                <w:tab w:val="left" w:pos="2516"/>
                <w:tab w:val="left" w:pos="4786"/>
                <w:tab w:val="left" w:pos="7180"/>
              </w:tabs>
              <w:autoSpaceDE w:val="0"/>
              <w:autoSpaceDN w:val="0"/>
              <w:adjustRightInd w:val="0"/>
              <w:jc w:val="both"/>
              <w:rPr>
                <w:rFonts w:eastAsia="MS Mincho"/>
                <w:bCs/>
                <w:color w:val="000000"/>
                <w:kern w:val="22"/>
                <w:sz w:val="20"/>
                <w:szCs w:val="20"/>
                <w:lang w:val="fr-CA"/>
              </w:rPr>
            </w:pPr>
            <w:r w:rsidRPr="003C124D">
              <w:rPr>
                <w:rFonts w:eastAsia="MS Mincho"/>
                <w:bCs/>
                <w:color w:val="000000"/>
                <w:kern w:val="22"/>
                <w:sz w:val="20"/>
                <w:szCs w:val="20"/>
                <w:lang w:val="fr-CA"/>
              </w:rPr>
              <w:t>2019</w:t>
            </w:r>
          </w:p>
        </w:tc>
        <w:tc>
          <w:tcPr>
            <w:tcW w:w="8388" w:type="dxa"/>
          </w:tcPr>
          <w:p w14:paraId="4782F5B3" w14:textId="6C31EFFC" w:rsidR="009A1202" w:rsidRPr="003C124D" w:rsidRDefault="003C124D" w:rsidP="00516B43">
            <w:pPr>
              <w:pStyle w:val="Paragraphedeliste"/>
              <w:numPr>
                <w:ilvl w:val="0"/>
                <w:numId w:val="16"/>
              </w:numPr>
              <w:autoSpaceDE w:val="0"/>
              <w:autoSpaceDN w:val="0"/>
              <w:adjustRightInd w:val="0"/>
              <w:ind w:left="522"/>
              <w:jc w:val="both"/>
              <w:rPr>
                <w:rFonts w:eastAsia="MS Mincho"/>
                <w:color w:val="000000"/>
                <w:kern w:val="22"/>
                <w:sz w:val="20"/>
                <w:szCs w:val="20"/>
                <w:lang w:val="fr-CA"/>
              </w:rPr>
            </w:pPr>
            <w:r w:rsidRPr="003C124D">
              <w:rPr>
                <w:rFonts w:eastAsia="MS Mincho"/>
                <w:color w:val="000000"/>
                <w:kern w:val="22"/>
                <w:sz w:val="20"/>
                <w:szCs w:val="20"/>
                <w:lang w:val="fr-CA"/>
              </w:rPr>
              <w:t>Évaluation des interventions du FEM dans l’intégration de la diversité biologique</w:t>
            </w:r>
          </w:p>
          <w:p w14:paraId="0618AE65" w14:textId="7A156A2E" w:rsidR="009A1202" w:rsidRPr="003C124D" w:rsidRDefault="003C124D" w:rsidP="00516B43">
            <w:pPr>
              <w:pStyle w:val="Paragraphedeliste"/>
              <w:numPr>
                <w:ilvl w:val="0"/>
                <w:numId w:val="16"/>
              </w:numPr>
              <w:autoSpaceDE w:val="0"/>
              <w:autoSpaceDN w:val="0"/>
              <w:adjustRightInd w:val="0"/>
              <w:ind w:left="522"/>
              <w:jc w:val="both"/>
              <w:rPr>
                <w:rFonts w:eastAsia="MS Mincho"/>
                <w:color w:val="000000"/>
                <w:kern w:val="22"/>
                <w:sz w:val="20"/>
                <w:szCs w:val="20"/>
                <w:lang w:val="fr-CA"/>
              </w:rPr>
            </w:pPr>
            <w:r>
              <w:rPr>
                <w:rFonts w:eastAsia="MS Mincho"/>
                <w:color w:val="000000"/>
                <w:kern w:val="22"/>
                <w:sz w:val="20"/>
                <w:szCs w:val="20"/>
                <w:lang w:val="fr-CA"/>
              </w:rPr>
              <w:t>Évaluation d</w:t>
            </w:r>
            <w:r w:rsidR="00475DA4">
              <w:rPr>
                <w:rFonts w:eastAsia="MS Mincho"/>
                <w:color w:val="000000"/>
                <w:kern w:val="22"/>
                <w:sz w:val="20"/>
                <w:szCs w:val="20"/>
                <w:lang w:val="fr-CA"/>
              </w:rPr>
              <w:t>u programme mondial Cleantech du</w:t>
            </w:r>
            <w:r>
              <w:rPr>
                <w:rFonts w:eastAsia="MS Mincho"/>
                <w:color w:val="000000"/>
                <w:kern w:val="22"/>
                <w:sz w:val="20"/>
                <w:szCs w:val="20"/>
                <w:lang w:val="fr-CA"/>
              </w:rPr>
              <w:t xml:space="preserve"> FEM-ONUDI</w:t>
            </w:r>
          </w:p>
          <w:p w14:paraId="7BE70E69" w14:textId="61DE7F13" w:rsidR="009A1202" w:rsidRPr="003C124D" w:rsidRDefault="003C124D" w:rsidP="00516B43">
            <w:pPr>
              <w:pStyle w:val="Paragraphedeliste"/>
              <w:numPr>
                <w:ilvl w:val="0"/>
                <w:numId w:val="16"/>
              </w:numPr>
              <w:autoSpaceDE w:val="0"/>
              <w:autoSpaceDN w:val="0"/>
              <w:adjustRightInd w:val="0"/>
              <w:ind w:left="522"/>
              <w:jc w:val="both"/>
              <w:rPr>
                <w:rFonts w:eastAsia="MS Mincho"/>
                <w:color w:val="000000"/>
                <w:kern w:val="22"/>
                <w:sz w:val="20"/>
                <w:szCs w:val="20"/>
                <w:lang w:val="fr-CA"/>
              </w:rPr>
            </w:pPr>
            <w:r>
              <w:rPr>
                <w:rFonts w:eastAsia="MS Mincho"/>
                <w:color w:val="000000"/>
                <w:kern w:val="22"/>
                <w:sz w:val="20"/>
                <w:szCs w:val="20"/>
                <w:lang w:val="fr-CA"/>
              </w:rPr>
              <w:t>Valeur en argent des interventions de gestion durable des forêts</w:t>
            </w:r>
          </w:p>
          <w:p w14:paraId="7F668841" w14:textId="6E8C9A54" w:rsidR="009A1202" w:rsidRPr="003C124D" w:rsidRDefault="003C124D" w:rsidP="00E14AAE">
            <w:pPr>
              <w:pStyle w:val="Paragraphedeliste"/>
              <w:numPr>
                <w:ilvl w:val="0"/>
                <w:numId w:val="16"/>
              </w:numPr>
              <w:autoSpaceDE w:val="0"/>
              <w:autoSpaceDN w:val="0"/>
              <w:adjustRightInd w:val="0"/>
              <w:ind w:left="522"/>
              <w:jc w:val="both"/>
              <w:rPr>
                <w:rFonts w:eastAsia="MS Mincho"/>
                <w:bCs/>
                <w:color w:val="000000"/>
                <w:kern w:val="22"/>
                <w:sz w:val="20"/>
                <w:szCs w:val="20"/>
                <w:lang w:val="fr-CA"/>
              </w:rPr>
            </w:pPr>
            <w:r>
              <w:rPr>
                <w:rFonts w:eastAsia="MS Mincho"/>
                <w:color w:val="000000"/>
                <w:kern w:val="22"/>
                <w:sz w:val="20"/>
                <w:szCs w:val="20"/>
                <w:lang w:val="fr-CA"/>
              </w:rPr>
              <w:t>É</w:t>
            </w:r>
            <w:r w:rsidR="00E14AAE">
              <w:rPr>
                <w:rFonts w:eastAsia="MS Mincho"/>
                <w:color w:val="000000"/>
                <w:kern w:val="22"/>
                <w:sz w:val="20"/>
                <w:szCs w:val="20"/>
                <w:lang w:val="fr-CA"/>
              </w:rPr>
              <w:t>léments probants de l</w:t>
            </w:r>
            <w:r>
              <w:rPr>
                <w:rFonts w:eastAsia="MS Mincho"/>
                <w:color w:val="000000"/>
                <w:kern w:val="22"/>
                <w:sz w:val="20"/>
                <w:szCs w:val="20"/>
                <w:lang w:val="fr-CA"/>
              </w:rPr>
              <w:t xml:space="preserve">’expérience d’amélioration et de </w:t>
            </w:r>
            <w:r w:rsidR="00E14AAE">
              <w:rPr>
                <w:rFonts w:eastAsia="MS Mincho"/>
                <w:color w:val="000000"/>
                <w:kern w:val="22"/>
                <w:sz w:val="20"/>
                <w:szCs w:val="20"/>
                <w:lang w:val="fr-CA"/>
              </w:rPr>
              <w:t>reproduction du FEM</w:t>
            </w:r>
          </w:p>
        </w:tc>
      </w:tr>
      <w:tr w:rsidR="009A1202" w:rsidRPr="00D42DB9" w14:paraId="5753638A" w14:textId="77777777" w:rsidTr="009A1202">
        <w:tc>
          <w:tcPr>
            <w:tcW w:w="1188" w:type="dxa"/>
          </w:tcPr>
          <w:p w14:paraId="0570E893" w14:textId="585CDDBE" w:rsidR="009A1202" w:rsidRPr="003C124D" w:rsidRDefault="003C124D" w:rsidP="003D3020">
            <w:pPr>
              <w:tabs>
                <w:tab w:val="left" w:pos="2516"/>
                <w:tab w:val="left" w:pos="4786"/>
                <w:tab w:val="left" w:pos="7180"/>
              </w:tabs>
              <w:autoSpaceDE w:val="0"/>
              <w:autoSpaceDN w:val="0"/>
              <w:adjustRightInd w:val="0"/>
              <w:jc w:val="both"/>
              <w:rPr>
                <w:rFonts w:eastAsia="MS Mincho"/>
                <w:bCs/>
                <w:color w:val="000000"/>
                <w:kern w:val="22"/>
                <w:sz w:val="20"/>
                <w:szCs w:val="20"/>
                <w:lang w:val="fr-CA"/>
              </w:rPr>
            </w:pPr>
            <w:r w:rsidRPr="003C124D">
              <w:rPr>
                <w:rFonts w:eastAsia="MS Mincho"/>
                <w:bCs/>
                <w:color w:val="000000"/>
                <w:kern w:val="22"/>
                <w:sz w:val="20"/>
                <w:szCs w:val="20"/>
                <w:lang w:val="fr-CA"/>
              </w:rPr>
              <w:t>202</w:t>
            </w:r>
            <w:r w:rsidR="009A1202" w:rsidRPr="003C124D">
              <w:rPr>
                <w:rFonts w:eastAsia="MS Mincho"/>
                <w:bCs/>
                <w:color w:val="000000"/>
                <w:kern w:val="22"/>
                <w:sz w:val="20"/>
                <w:szCs w:val="20"/>
                <w:lang w:val="fr-CA"/>
              </w:rPr>
              <w:t>0</w:t>
            </w:r>
          </w:p>
        </w:tc>
        <w:tc>
          <w:tcPr>
            <w:tcW w:w="8388" w:type="dxa"/>
          </w:tcPr>
          <w:p w14:paraId="68013857" w14:textId="648C72CB" w:rsidR="009A1202" w:rsidRPr="003C124D" w:rsidRDefault="00E14AAE" w:rsidP="00516B43">
            <w:pPr>
              <w:pStyle w:val="Paragraphedeliste"/>
              <w:numPr>
                <w:ilvl w:val="0"/>
                <w:numId w:val="16"/>
              </w:numPr>
              <w:autoSpaceDE w:val="0"/>
              <w:autoSpaceDN w:val="0"/>
              <w:adjustRightInd w:val="0"/>
              <w:ind w:left="522"/>
              <w:jc w:val="both"/>
              <w:rPr>
                <w:rFonts w:eastAsia="MS Mincho"/>
                <w:color w:val="000000"/>
                <w:kern w:val="22"/>
                <w:sz w:val="20"/>
                <w:szCs w:val="20"/>
                <w:lang w:val="fr-CA"/>
              </w:rPr>
            </w:pPr>
            <w:r>
              <w:rPr>
                <w:rFonts w:eastAsia="MS Mincho"/>
                <w:color w:val="000000"/>
                <w:kern w:val="22"/>
                <w:sz w:val="20"/>
                <w:szCs w:val="20"/>
                <w:lang w:val="fr-CA"/>
              </w:rPr>
              <w:t>Évaluation du regroupement de pays stratégiques : biomes soudano-sahéliens</w:t>
            </w:r>
          </w:p>
          <w:p w14:paraId="11DB5779" w14:textId="70850FE5" w:rsidR="009A1202" w:rsidRPr="003C124D" w:rsidRDefault="00E14AAE" w:rsidP="00516B43">
            <w:pPr>
              <w:pStyle w:val="Paragraphedeliste"/>
              <w:numPr>
                <w:ilvl w:val="0"/>
                <w:numId w:val="16"/>
              </w:numPr>
              <w:autoSpaceDE w:val="0"/>
              <w:autoSpaceDN w:val="0"/>
              <w:adjustRightInd w:val="0"/>
              <w:ind w:left="522"/>
              <w:jc w:val="both"/>
              <w:rPr>
                <w:rFonts w:eastAsia="MS Mincho"/>
                <w:color w:val="000000"/>
                <w:kern w:val="22"/>
                <w:sz w:val="20"/>
                <w:szCs w:val="20"/>
                <w:lang w:val="fr-CA"/>
              </w:rPr>
            </w:pPr>
            <w:r>
              <w:rPr>
                <w:rFonts w:eastAsia="MS Mincho"/>
                <w:color w:val="000000"/>
                <w:kern w:val="22"/>
                <w:sz w:val="20"/>
                <w:szCs w:val="20"/>
                <w:lang w:val="fr-CA"/>
              </w:rPr>
              <w:t>Examen des systèmes d’autoévaluation des agences</w:t>
            </w:r>
          </w:p>
          <w:p w14:paraId="26B77CB9" w14:textId="1B15B430" w:rsidR="009A1202" w:rsidRPr="003C124D" w:rsidRDefault="00E14AAE" w:rsidP="00516B43">
            <w:pPr>
              <w:pStyle w:val="Paragraphedeliste"/>
              <w:numPr>
                <w:ilvl w:val="0"/>
                <w:numId w:val="16"/>
              </w:numPr>
              <w:autoSpaceDE w:val="0"/>
              <w:autoSpaceDN w:val="0"/>
              <w:adjustRightInd w:val="0"/>
              <w:ind w:left="522"/>
              <w:jc w:val="both"/>
              <w:rPr>
                <w:rFonts w:eastAsia="MS Mincho"/>
                <w:color w:val="000000"/>
                <w:kern w:val="22"/>
                <w:sz w:val="20"/>
                <w:szCs w:val="20"/>
                <w:lang w:val="fr-CA"/>
              </w:rPr>
            </w:pPr>
            <w:r>
              <w:rPr>
                <w:rFonts w:eastAsia="MS Mincho"/>
                <w:color w:val="000000"/>
                <w:kern w:val="22"/>
                <w:sz w:val="20"/>
                <w:szCs w:val="20"/>
                <w:lang w:val="fr-CA"/>
              </w:rPr>
              <w:t>Étude sur la gestion durable des forêts</w:t>
            </w:r>
          </w:p>
          <w:p w14:paraId="68388EC9" w14:textId="233D48D0" w:rsidR="009A1202" w:rsidRPr="003C124D" w:rsidRDefault="00E14AAE" w:rsidP="00516B43">
            <w:pPr>
              <w:pStyle w:val="Paragraphedeliste"/>
              <w:numPr>
                <w:ilvl w:val="0"/>
                <w:numId w:val="16"/>
              </w:numPr>
              <w:autoSpaceDE w:val="0"/>
              <w:autoSpaceDN w:val="0"/>
              <w:adjustRightInd w:val="0"/>
              <w:ind w:left="522"/>
              <w:jc w:val="both"/>
              <w:rPr>
                <w:rFonts w:eastAsia="MS Mincho"/>
                <w:color w:val="000000"/>
                <w:kern w:val="22"/>
                <w:sz w:val="20"/>
                <w:szCs w:val="20"/>
                <w:lang w:val="fr-CA"/>
              </w:rPr>
            </w:pPr>
            <w:r>
              <w:rPr>
                <w:rFonts w:eastAsia="MS Mincho"/>
                <w:color w:val="000000"/>
                <w:kern w:val="22"/>
                <w:sz w:val="20"/>
                <w:szCs w:val="20"/>
                <w:lang w:val="fr-CA"/>
              </w:rPr>
              <w:t>É</w:t>
            </w:r>
            <w:r w:rsidR="00DD7EBC">
              <w:rPr>
                <w:rFonts w:eastAsia="MS Mincho"/>
                <w:color w:val="000000"/>
                <w:kern w:val="22"/>
                <w:sz w:val="20"/>
                <w:szCs w:val="20"/>
                <w:lang w:val="fr-CA"/>
              </w:rPr>
              <w:t>valuati</w:t>
            </w:r>
            <w:r>
              <w:rPr>
                <w:rFonts w:eastAsia="MS Mincho"/>
                <w:color w:val="000000"/>
                <w:kern w:val="22"/>
                <w:sz w:val="20"/>
                <w:szCs w:val="20"/>
                <w:lang w:val="fr-CA"/>
              </w:rPr>
              <w:t xml:space="preserve">on du regroupement de </w:t>
            </w:r>
            <w:r w:rsidR="00475DA4">
              <w:rPr>
                <w:rFonts w:eastAsia="MS Mincho"/>
                <w:color w:val="000000"/>
                <w:kern w:val="22"/>
                <w:sz w:val="20"/>
                <w:szCs w:val="20"/>
                <w:lang w:val="fr-CA"/>
              </w:rPr>
              <w:t>pays stratégiques : p</w:t>
            </w:r>
            <w:r w:rsidR="00DD7EBC">
              <w:rPr>
                <w:rFonts w:eastAsia="MS Mincho"/>
                <w:color w:val="000000"/>
                <w:kern w:val="22"/>
                <w:sz w:val="20"/>
                <w:szCs w:val="20"/>
                <w:lang w:val="fr-CA"/>
              </w:rPr>
              <w:t>ays les moins développés</w:t>
            </w:r>
          </w:p>
          <w:p w14:paraId="5CCA9D18" w14:textId="1F3B3259" w:rsidR="009A1202" w:rsidRPr="003C124D" w:rsidRDefault="00DD7EBC" w:rsidP="00516B43">
            <w:pPr>
              <w:pStyle w:val="Paragraphedeliste"/>
              <w:numPr>
                <w:ilvl w:val="0"/>
                <w:numId w:val="16"/>
              </w:numPr>
              <w:autoSpaceDE w:val="0"/>
              <w:autoSpaceDN w:val="0"/>
              <w:adjustRightInd w:val="0"/>
              <w:ind w:left="522"/>
              <w:jc w:val="both"/>
              <w:rPr>
                <w:rFonts w:eastAsia="MS Mincho"/>
                <w:color w:val="000000"/>
                <w:kern w:val="22"/>
                <w:sz w:val="20"/>
                <w:szCs w:val="20"/>
                <w:lang w:val="fr-CA"/>
              </w:rPr>
            </w:pPr>
            <w:r>
              <w:rPr>
                <w:rFonts w:eastAsia="MS Mincho"/>
                <w:color w:val="000000"/>
                <w:kern w:val="22"/>
                <w:sz w:val="20"/>
                <w:szCs w:val="20"/>
                <w:lang w:val="fr-CA"/>
              </w:rPr>
              <w:t>Évaluation du regro</w:t>
            </w:r>
            <w:r w:rsidR="00475DA4">
              <w:rPr>
                <w:rFonts w:eastAsia="MS Mincho"/>
                <w:color w:val="000000"/>
                <w:kern w:val="22"/>
                <w:sz w:val="20"/>
                <w:szCs w:val="20"/>
                <w:lang w:val="fr-CA"/>
              </w:rPr>
              <w:t>upement de pays stratégiques : p</w:t>
            </w:r>
            <w:r>
              <w:rPr>
                <w:rFonts w:eastAsia="MS Mincho"/>
                <w:color w:val="000000"/>
                <w:kern w:val="22"/>
                <w:sz w:val="20"/>
                <w:szCs w:val="20"/>
                <w:lang w:val="fr-CA"/>
              </w:rPr>
              <w:t>etits pays insulaires</w:t>
            </w:r>
          </w:p>
          <w:p w14:paraId="579702CD" w14:textId="5CD81776" w:rsidR="009A1202" w:rsidRPr="003C124D" w:rsidRDefault="00DD7EBC" w:rsidP="00DD7EBC">
            <w:pPr>
              <w:pStyle w:val="Paragraphedeliste"/>
              <w:numPr>
                <w:ilvl w:val="0"/>
                <w:numId w:val="16"/>
              </w:numPr>
              <w:tabs>
                <w:tab w:val="left" w:pos="2516"/>
                <w:tab w:val="left" w:pos="4786"/>
                <w:tab w:val="left" w:pos="7180"/>
              </w:tabs>
              <w:autoSpaceDE w:val="0"/>
              <w:autoSpaceDN w:val="0"/>
              <w:adjustRightInd w:val="0"/>
              <w:ind w:left="522"/>
              <w:jc w:val="both"/>
              <w:rPr>
                <w:rFonts w:eastAsia="MS Mincho"/>
                <w:bCs/>
                <w:color w:val="000000"/>
                <w:kern w:val="22"/>
                <w:sz w:val="20"/>
                <w:szCs w:val="20"/>
                <w:lang w:val="fr-CA"/>
              </w:rPr>
            </w:pPr>
            <w:r>
              <w:rPr>
                <w:rFonts w:eastAsia="MS Mincho"/>
                <w:color w:val="000000"/>
                <w:kern w:val="22"/>
                <w:sz w:val="20"/>
                <w:szCs w:val="20"/>
                <w:lang w:val="fr-CA"/>
              </w:rPr>
              <w:t>Évaluation du programme de microfinancement (thèmes st</w:t>
            </w:r>
            <w:r w:rsidR="00475DA4">
              <w:rPr>
                <w:rFonts w:eastAsia="MS Mincho"/>
                <w:color w:val="000000"/>
                <w:kern w:val="22"/>
                <w:sz w:val="20"/>
                <w:szCs w:val="20"/>
                <w:lang w:val="fr-CA"/>
              </w:rPr>
              <w:t>ratégiques, tels que la mise à</w:t>
            </w:r>
            <w:r>
              <w:rPr>
                <w:rFonts w:eastAsia="MS Mincho"/>
                <w:color w:val="000000"/>
                <w:kern w:val="22"/>
                <w:sz w:val="20"/>
                <w:szCs w:val="20"/>
                <w:lang w:val="fr-CA"/>
              </w:rPr>
              <w:t xml:space="preserve"> niveau des politiques</w:t>
            </w:r>
            <w:r w:rsidR="009A1202" w:rsidRPr="003C124D">
              <w:rPr>
                <w:rFonts w:eastAsia="MS Mincho"/>
                <w:color w:val="000000"/>
                <w:kern w:val="22"/>
                <w:sz w:val="20"/>
                <w:szCs w:val="20"/>
                <w:lang w:val="fr-CA"/>
              </w:rPr>
              <w:t>)</w:t>
            </w:r>
          </w:p>
        </w:tc>
      </w:tr>
      <w:tr w:rsidR="009A1202" w:rsidRPr="00D42DB9" w14:paraId="42C55805" w14:textId="77777777" w:rsidTr="009A1202">
        <w:tc>
          <w:tcPr>
            <w:tcW w:w="1188" w:type="dxa"/>
          </w:tcPr>
          <w:p w14:paraId="351E82A5" w14:textId="1CEB783E" w:rsidR="009A1202" w:rsidRPr="003C124D" w:rsidRDefault="003C124D" w:rsidP="003D3020">
            <w:pPr>
              <w:tabs>
                <w:tab w:val="left" w:pos="2516"/>
                <w:tab w:val="left" w:pos="4786"/>
                <w:tab w:val="left" w:pos="7180"/>
              </w:tabs>
              <w:autoSpaceDE w:val="0"/>
              <w:autoSpaceDN w:val="0"/>
              <w:adjustRightInd w:val="0"/>
              <w:jc w:val="both"/>
              <w:rPr>
                <w:rFonts w:eastAsia="MS Mincho"/>
                <w:bCs/>
                <w:color w:val="000000"/>
                <w:kern w:val="22"/>
                <w:sz w:val="20"/>
                <w:szCs w:val="20"/>
                <w:lang w:val="fr-CA"/>
              </w:rPr>
            </w:pPr>
            <w:r w:rsidRPr="003C124D">
              <w:rPr>
                <w:rFonts w:eastAsia="MS Mincho"/>
                <w:bCs/>
                <w:color w:val="000000"/>
                <w:kern w:val="22"/>
                <w:sz w:val="20"/>
                <w:szCs w:val="20"/>
                <w:lang w:val="fr-CA"/>
              </w:rPr>
              <w:t>20</w:t>
            </w:r>
            <w:r w:rsidR="009A1202" w:rsidRPr="003C124D">
              <w:rPr>
                <w:rFonts w:eastAsia="MS Mincho"/>
                <w:bCs/>
                <w:color w:val="000000"/>
                <w:kern w:val="22"/>
                <w:sz w:val="20"/>
                <w:szCs w:val="20"/>
                <w:lang w:val="fr-CA"/>
              </w:rPr>
              <w:t>21</w:t>
            </w:r>
          </w:p>
        </w:tc>
        <w:tc>
          <w:tcPr>
            <w:tcW w:w="8388" w:type="dxa"/>
          </w:tcPr>
          <w:p w14:paraId="7689367E" w14:textId="1F2F2A89" w:rsidR="009A1202" w:rsidRPr="003C124D" w:rsidRDefault="00DD7EBC" w:rsidP="00516B43">
            <w:pPr>
              <w:pStyle w:val="Paragraphedeliste"/>
              <w:numPr>
                <w:ilvl w:val="0"/>
                <w:numId w:val="16"/>
              </w:numPr>
              <w:autoSpaceDE w:val="0"/>
              <w:autoSpaceDN w:val="0"/>
              <w:adjustRightInd w:val="0"/>
              <w:ind w:left="522"/>
              <w:jc w:val="both"/>
              <w:rPr>
                <w:rFonts w:eastAsia="MS Mincho"/>
                <w:color w:val="000000"/>
                <w:kern w:val="22"/>
                <w:sz w:val="20"/>
                <w:szCs w:val="20"/>
                <w:lang w:val="fr-CA"/>
              </w:rPr>
            </w:pPr>
            <w:r>
              <w:rPr>
                <w:rFonts w:eastAsia="MS Mincho"/>
                <w:color w:val="000000"/>
                <w:kern w:val="22"/>
                <w:sz w:val="20"/>
                <w:szCs w:val="20"/>
                <w:lang w:val="fr-CA"/>
              </w:rPr>
              <w:t>Évaluation des programmes pilotes/d’impact d’approche intégrée</w:t>
            </w:r>
          </w:p>
          <w:p w14:paraId="08FC6D66" w14:textId="3182030D" w:rsidR="009A1202" w:rsidRPr="003C124D" w:rsidRDefault="00DD7EBC" w:rsidP="00516B43">
            <w:pPr>
              <w:pStyle w:val="Paragraphedeliste"/>
              <w:numPr>
                <w:ilvl w:val="0"/>
                <w:numId w:val="16"/>
              </w:numPr>
              <w:autoSpaceDE w:val="0"/>
              <w:autoSpaceDN w:val="0"/>
              <w:adjustRightInd w:val="0"/>
              <w:ind w:left="522"/>
              <w:jc w:val="both"/>
              <w:rPr>
                <w:rFonts w:eastAsia="MS Mincho"/>
                <w:color w:val="000000"/>
                <w:kern w:val="22"/>
                <w:sz w:val="20"/>
                <w:szCs w:val="20"/>
                <w:lang w:val="fr-CA"/>
              </w:rPr>
            </w:pPr>
            <w:r>
              <w:rPr>
                <w:rFonts w:eastAsia="MS Mincho"/>
                <w:color w:val="000000"/>
                <w:kern w:val="22"/>
                <w:sz w:val="20"/>
                <w:szCs w:val="20"/>
                <w:lang w:val="fr-CA"/>
              </w:rPr>
              <w:t>Évaluation de la mise en œuvre des politiques du FEM sur : l’égalité des sexes, les mesures de sauvegarde et l’engagement des parties prenantes</w:t>
            </w:r>
          </w:p>
          <w:p w14:paraId="56FD8BA4" w14:textId="3BBFA8BF" w:rsidR="009A1202" w:rsidRPr="003C124D" w:rsidRDefault="00DD7EBC" w:rsidP="00516B43">
            <w:pPr>
              <w:pStyle w:val="Paragraphedeliste"/>
              <w:numPr>
                <w:ilvl w:val="0"/>
                <w:numId w:val="16"/>
              </w:numPr>
              <w:autoSpaceDE w:val="0"/>
              <w:autoSpaceDN w:val="0"/>
              <w:adjustRightInd w:val="0"/>
              <w:ind w:left="522"/>
              <w:jc w:val="both"/>
              <w:rPr>
                <w:rFonts w:eastAsia="MS Mincho"/>
                <w:color w:val="000000"/>
                <w:kern w:val="22"/>
                <w:sz w:val="20"/>
                <w:szCs w:val="20"/>
                <w:lang w:val="fr-CA"/>
              </w:rPr>
            </w:pPr>
            <w:r>
              <w:rPr>
                <w:rFonts w:eastAsia="MS Mincho"/>
                <w:color w:val="000000"/>
                <w:kern w:val="22"/>
                <w:sz w:val="20"/>
                <w:szCs w:val="20"/>
                <w:lang w:val="fr-CA"/>
              </w:rPr>
              <w:t>Évaluation des interventions du FEM</w:t>
            </w:r>
            <w:r w:rsidR="00D84ACC">
              <w:rPr>
                <w:rFonts w:eastAsia="MS Mincho"/>
                <w:color w:val="000000"/>
                <w:kern w:val="22"/>
                <w:sz w:val="20"/>
                <w:szCs w:val="20"/>
                <w:lang w:val="fr-CA"/>
              </w:rPr>
              <w:t xml:space="preserve"> dans les</w:t>
            </w:r>
            <w:r w:rsidR="00475DA4">
              <w:rPr>
                <w:rFonts w:eastAsia="MS Mincho"/>
                <w:color w:val="000000"/>
                <w:kern w:val="22"/>
                <w:sz w:val="20"/>
                <w:szCs w:val="20"/>
                <w:lang w:val="fr-CA"/>
              </w:rPr>
              <w:t xml:space="preserve"> chaî</w:t>
            </w:r>
            <w:r w:rsidR="00D84ACC">
              <w:rPr>
                <w:rFonts w:eastAsia="MS Mincho"/>
                <w:color w:val="000000"/>
                <w:kern w:val="22"/>
                <w:sz w:val="20"/>
                <w:szCs w:val="20"/>
                <w:lang w:val="fr-CA"/>
              </w:rPr>
              <w:t>nes d’approvisionnement du secteur privé (produits agricoles, or, pêche</w:t>
            </w:r>
            <w:r w:rsidR="009A1202" w:rsidRPr="003C124D">
              <w:rPr>
                <w:rFonts w:eastAsia="MS Mincho"/>
                <w:color w:val="000000"/>
                <w:kern w:val="22"/>
                <w:sz w:val="20"/>
                <w:szCs w:val="20"/>
                <w:lang w:val="fr-CA"/>
              </w:rPr>
              <w:t>)</w:t>
            </w:r>
          </w:p>
          <w:p w14:paraId="57E2E526" w14:textId="368C7683" w:rsidR="009A1202" w:rsidRPr="003C124D" w:rsidRDefault="00D84ACC" w:rsidP="00516B43">
            <w:pPr>
              <w:pStyle w:val="Paragraphedeliste"/>
              <w:numPr>
                <w:ilvl w:val="0"/>
                <w:numId w:val="16"/>
              </w:numPr>
              <w:autoSpaceDE w:val="0"/>
              <w:autoSpaceDN w:val="0"/>
              <w:adjustRightInd w:val="0"/>
              <w:ind w:left="522"/>
              <w:jc w:val="both"/>
              <w:rPr>
                <w:rFonts w:eastAsia="MS Mincho"/>
                <w:color w:val="000000"/>
                <w:kern w:val="22"/>
                <w:sz w:val="20"/>
                <w:szCs w:val="20"/>
                <w:lang w:val="fr-CA"/>
              </w:rPr>
            </w:pPr>
            <w:r>
              <w:rPr>
                <w:rFonts w:eastAsia="MS Mincho"/>
                <w:color w:val="000000"/>
                <w:kern w:val="22"/>
                <w:sz w:val="20"/>
                <w:szCs w:val="20"/>
                <w:lang w:val="fr-CA"/>
              </w:rPr>
              <w:t>Évaluation du programme de soutien aux pays</w:t>
            </w:r>
          </w:p>
          <w:p w14:paraId="367DC317" w14:textId="56E04BA7" w:rsidR="009A1202" w:rsidRPr="003C124D" w:rsidRDefault="00D84ACC" w:rsidP="00516B43">
            <w:pPr>
              <w:pStyle w:val="Paragraphedeliste"/>
              <w:numPr>
                <w:ilvl w:val="0"/>
                <w:numId w:val="16"/>
              </w:numPr>
              <w:autoSpaceDE w:val="0"/>
              <w:autoSpaceDN w:val="0"/>
              <w:adjustRightInd w:val="0"/>
              <w:ind w:left="522"/>
              <w:jc w:val="both"/>
              <w:rPr>
                <w:rFonts w:eastAsia="MS Mincho"/>
                <w:color w:val="000000"/>
                <w:kern w:val="22"/>
                <w:sz w:val="20"/>
                <w:szCs w:val="20"/>
                <w:lang w:val="fr-CA"/>
              </w:rPr>
            </w:pPr>
            <w:r>
              <w:rPr>
                <w:rFonts w:eastAsia="MS Mincho"/>
                <w:color w:val="000000"/>
                <w:kern w:val="22"/>
                <w:sz w:val="20"/>
                <w:szCs w:val="20"/>
                <w:lang w:val="fr-CA"/>
              </w:rPr>
              <w:t>Évaluation du regroupement de pays stratégiques</w:t>
            </w:r>
            <w:r w:rsidR="00475DA4">
              <w:rPr>
                <w:rFonts w:eastAsia="MS Mincho"/>
                <w:color w:val="000000"/>
                <w:kern w:val="22"/>
                <w:sz w:val="20"/>
                <w:szCs w:val="20"/>
                <w:lang w:val="fr-CA"/>
              </w:rPr>
              <w:t>, en</w:t>
            </w:r>
            <w:r>
              <w:rPr>
                <w:rFonts w:eastAsia="MS Mincho"/>
                <w:color w:val="000000"/>
                <w:kern w:val="22"/>
                <w:sz w:val="20"/>
                <w:szCs w:val="20"/>
                <w:lang w:val="fr-CA"/>
              </w:rPr>
              <w:t xml:space="preserve"> mettant l’accent sur </w:t>
            </w:r>
            <w:r w:rsidR="00475DA4">
              <w:rPr>
                <w:rFonts w:eastAsia="MS Mincho"/>
                <w:color w:val="000000"/>
                <w:kern w:val="22"/>
                <w:sz w:val="20"/>
                <w:szCs w:val="20"/>
                <w:lang w:val="fr-CA"/>
              </w:rPr>
              <w:t xml:space="preserve">la région de </w:t>
            </w:r>
            <w:r>
              <w:rPr>
                <w:rFonts w:eastAsia="MS Mincho"/>
                <w:color w:val="000000"/>
                <w:kern w:val="22"/>
                <w:sz w:val="20"/>
                <w:szCs w:val="20"/>
                <w:lang w:val="fr-CA"/>
              </w:rPr>
              <w:t>l’Amérique latine</w:t>
            </w:r>
          </w:p>
          <w:p w14:paraId="11B20C7F" w14:textId="63CC8A95" w:rsidR="009A1202" w:rsidRPr="003C124D" w:rsidRDefault="00D84ACC" w:rsidP="00516B43">
            <w:pPr>
              <w:pStyle w:val="Paragraphedeliste"/>
              <w:numPr>
                <w:ilvl w:val="0"/>
                <w:numId w:val="16"/>
              </w:numPr>
              <w:autoSpaceDE w:val="0"/>
              <w:autoSpaceDN w:val="0"/>
              <w:adjustRightInd w:val="0"/>
              <w:ind w:left="522"/>
              <w:jc w:val="both"/>
              <w:rPr>
                <w:rFonts w:eastAsia="MS Mincho"/>
                <w:color w:val="000000"/>
                <w:kern w:val="22"/>
                <w:sz w:val="20"/>
                <w:szCs w:val="20"/>
                <w:lang w:val="fr-CA"/>
              </w:rPr>
            </w:pPr>
            <w:r>
              <w:rPr>
                <w:rFonts w:eastAsia="MS Mincho"/>
                <w:color w:val="000000"/>
                <w:kern w:val="22"/>
                <w:sz w:val="20"/>
                <w:szCs w:val="20"/>
                <w:lang w:val="fr-CA"/>
              </w:rPr>
              <w:lastRenderedPageBreak/>
              <w:t>Études de suivi sur l’évaluation des systèmes transparents d’attribution des ressources, la gestion fondée sur les résultats et la gestion des connaissances</w:t>
            </w:r>
          </w:p>
          <w:p w14:paraId="76960E05" w14:textId="6862655F" w:rsidR="009A1202" w:rsidRPr="003C124D" w:rsidRDefault="00D84ACC" w:rsidP="00516B43">
            <w:pPr>
              <w:pStyle w:val="Paragraphedeliste"/>
              <w:numPr>
                <w:ilvl w:val="0"/>
                <w:numId w:val="16"/>
              </w:numPr>
              <w:autoSpaceDE w:val="0"/>
              <w:autoSpaceDN w:val="0"/>
              <w:adjustRightInd w:val="0"/>
              <w:ind w:left="522"/>
              <w:jc w:val="both"/>
              <w:rPr>
                <w:rFonts w:eastAsia="MS Mincho"/>
                <w:color w:val="000000"/>
                <w:kern w:val="22"/>
                <w:sz w:val="20"/>
                <w:szCs w:val="20"/>
                <w:lang w:val="fr-CA"/>
              </w:rPr>
            </w:pPr>
            <w:r>
              <w:rPr>
                <w:rFonts w:eastAsia="MS Mincho"/>
                <w:color w:val="000000"/>
                <w:kern w:val="22"/>
                <w:sz w:val="20"/>
                <w:szCs w:val="20"/>
                <w:lang w:val="fr-CA"/>
              </w:rPr>
              <w:t>Mises à jour des études sur des domaines d’intervention</w:t>
            </w:r>
            <w:r w:rsidR="00963D25">
              <w:rPr>
                <w:rFonts w:eastAsia="MS Mincho"/>
                <w:color w:val="000000"/>
                <w:kern w:val="22"/>
                <w:sz w:val="20"/>
                <w:szCs w:val="20"/>
                <w:lang w:val="fr-CA"/>
              </w:rPr>
              <w:t xml:space="preserve"> (thèmes spéciaux mettant l’accent sur l’innovation, l’amélioration et le changement transformationnel)</w:t>
            </w:r>
          </w:p>
          <w:p w14:paraId="6E86C1CA" w14:textId="7FF36E38" w:rsidR="009A1202" w:rsidRPr="003C124D" w:rsidRDefault="00963D25" w:rsidP="00516B43">
            <w:pPr>
              <w:pStyle w:val="Paragraphedeliste"/>
              <w:numPr>
                <w:ilvl w:val="0"/>
                <w:numId w:val="16"/>
              </w:numPr>
              <w:autoSpaceDE w:val="0"/>
              <w:autoSpaceDN w:val="0"/>
              <w:adjustRightInd w:val="0"/>
              <w:ind w:left="522"/>
              <w:jc w:val="both"/>
              <w:rPr>
                <w:rFonts w:eastAsia="MS Mincho"/>
                <w:bCs/>
                <w:color w:val="000000"/>
                <w:kern w:val="22"/>
                <w:sz w:val="20"/>
                <w:szCs w:val="20"/>
                <w:lang w:val="fr-CA"/>
              </w:rPr>
            </w:pPr>
            <w:r>
              <w:rPr>
                <w:rFonts w:eastAsia="MS Mincho"/>
                <w:color w:val="000000"/>
                <w:kern w:val="22"/>
                <w:sz w:val="20"/>
                <w:szCs w:val="20"/>
                <w:lang w:val="fr-CA"/>
              </w:rPr>
              <w:t>Instruments hors subventions mettant l’accent sur des projets précis</w:t>
            </w:r>
          </w:p>
        </w:tc>
      </w:tr>
      <w:tr w:rsidR="009A1202" w:rsidRPr="00D42DB9" w14:paraId="2E33FFB9" w14:textId="77777777" w:rsidTr="009A1202">
        <w:tc>
          <w:tcPr>
            <w:tcW w:w="1188" w:type="dxa"/>
          </w:tcPr>
          <w:p w14:paraId="27CE988D" w14:textId="4A87CC0D" w:rsidR="009A1202" w:rsidRPr="003C124D" w:rsidRDefault="003C124D" w:rsidP="003D3020">
            <w:pPr>
              <w:tabs>
                <w:tab w:val="left" w:pos="2516"/>
                <w:tab w:val="left" w:pos="4786"/>
                <w:tab w:val="left" w:pos="7180"/>
              </w:tabs>
              <w:autoSpaceDE w:val="0"/>
              <w:autoSpaceDN w:val="0"/>
              <w:adjustRightInd w:val="0"/>
              <w:jc w:val="both"/>
              <w:rPr>
                <w:rFonts w:eastAsia="MS Mincho"/>
                <w:bCs/>
                <w:color w:val="000000"/>
                <w:kern w:val="22"/>
                <w:sz w:val="20"/>
                <w:szCs w:val="20"/>
                <w:lang w:val="fr-CA"/>
              </w:rPr>
            </w:pPr>
            <w:r w:rsidRPr="003C124D">
              <w:rPr>
                <w:rFonts w:eastAsia="MS Mincho"/>
                <w:bCs/>
                <w:color w:val="000000"/>
                <w:kern w:val="22"/>
                <w:sz w:val="20"/>
                <w:szCs w:val="20"/>
                <w:lang w:val="fr-CA"/>
              </w:rPr>
              <w:lastRenderedPageBreak/>
              <w:t>20</w:t>
            </w:r>
            <w:r w:rsidR="009A1202" w:rsidRPr="003C124D">
              <w:rPr>
                <w:rFonts w:eastAsia="MS Mincho"/>
                <w:bCs/>
                <w:color w:val="000000"/>
                <w:kern w:val="22"/>
                <w:sz w:val="20"/>
                <w:szCs w:val="20"/>
                <w:lang w:val="fr-CA"/>
              </w:rPr>
              <w:t>22</w:t>
            </w:r>
          </w:p>
        </w:tc>
        <w:tc>
          <w:tcPr>
            <w:tcW w:w="8388" w:type="dxa"/>
          </w:tcPr>
          <w:p w14:paraId="6F0DF341" w14:textId="60466F42" w:rsidR="009A1202" w:rsidRPr="003C124D" w:rsidRDefault="00963D25" w:rsidP="00516B43">
            <w:pPr>
              <w:pStyle w:val="Paragraphedeliste"/>
              <w:numPr>
                <w:ilvl w:val="0"/>
                <w:numId w:val="16"/>
              </w:numPr>
              <w:autoSpaceDE w:val="0"/>
              <w:autoSpaceDN w:val="0"/>
              <w:adjustRightInd w:val="0"/>
              <w:ind w:left="522"/>
              <w:jc w:val="both"/>
              <w:rPr>
                <w:rFonts w:eastAsia="MS Mincho"/>
                <w:color w:val="000000"/>
                <w:kern w:val="22"/>
                <w:sz w:val="20"/>
                <w:szCs w:val="20"/>
                <w:lang w:val="fr-CA"/>
              </w:rPr>
            </w:pPr>
            <w:r>
              <w:rPr>
                <w:rFonts w:eastAsia="MS Mincho"/>
                <w:bCs/>
                <w:color w:val="000000"/>
                <w:kern w:val="22"/>
                <w:sz w:val="20"/>
                <w:szCs w:val="20"/>
                <w:lang w:val="fr-CA"/>
              </w:rPr>
              <w:t>Septième évaluation complète du FEM</w:t>
            </w:r>
          </w:p>
          <w:p w14:paraId="3BBF1FCE" w14:textId="37167C74" w:rsidR="009A1202" w:rsidRPr="003C124D" w:rsidRDefault="00963D25" w:rsidP="00516B43">
            <w:pPr>
              <w:pStyle w:val="Paragraphedeliste"/>
              <w:numPr>
                <w:ilvl w:val="0"/>
                <w:numId w:val="16"/>
              </w:numPr>
              <w:autoSpaceDE w:val="0"/>
              <w:autoSpaceDN w:val="0"/>
              <w:adjustRightInd w:val="0"/>
              <w:ind w:left="522"/>
              <w:jc w:val="both"/>
              <w:rPr>
                <w:rFonts w:eastAsia="MS Mincho"/>
                <w:bCs/>
                <w:color w:val="000000"/>
                <w:kern w:val="22"/>
                <w:sz w:val="20"/>
                <w:szCs w:val="20"/>
                <w:lang w:val="fr-CA"/>
              </w:rPr>
            </w:pPr>
            <w:r>
              <w:rPr>
                <w:rFonts w:eastAsia="MS Mincho"/>
                <w:color w:val="000000"/>
                <w:kern w:val="22"/>
                <w:sz w:val="20"/>
                <w:szCs w:val="20"/>
                <w:lang w:val="fr-CA"/>
              </w:rPr>
              <w:t>Évaluation des activités habilitantes, dont les programmes de renforcement des capacités pour la transparence, la prévention des risques biotechnologiques</w:t>
            </w:r>
          </w:p>
        </w:tc>
      </w:tr>
    </w:tbl>
    <w:p w14:paraId="339C34B1" w14:textId="77777777" w:rsidR="009A1202" w:rsidRPr="00963D25" w:rsidRDefault="009A1202" w:rsidP="009A1202">
      <w:pPr>
        <w:tabs>
          <w:tab w:val="left" w:pos="2516"/>
          <w:tab w:val="left" w:pos="4786"/>
          <w:tab w:val="left" w:pos="7180"/>
        </w:tabs>
        <w:autoSpaceDE w:val="0"/>
        <w:autoSpaceDN w:val="0"/>
        <w:adjustRightInd w:val="0"/>
        <w:rPr>
          <w:rFonts w:eastAsia="MS Mincho"/>
          <w:bCs/>
          <w:color w:val="000000"/>
          <w:kern w:val="22"/>
          <w:sz w:val="22"/>
          <w:szCs w:val="22"/>
          <w:lang w:val="fr-CA"/>
        </w:rPr>
      </w:pPr>
    </w:p>
    <w:p w14:paraId="0BC90B9E" w14:textId="2CB727E9" w:rsidR="004955A4" w:rsidRPr="00963D25" w:rsidRDefault="003A7EAE" w:rsidP="0011729F">
      <w:pPr>
        <w:pStyle w:val="Para1"/>
        <w:suppressLineNumbers/>
        <w:suppressAutoHyphens/>
        <w:spacing w:before="120"/>
        <w:ind w:left="357"/>
        <w:jc w:val="center"/>
        <w:outlineLvl w:val="1"/>
        <w:rPr>
          <w:b/>
          <w:kern w:val="22"/>
          <w:sz w:val="22"/>
          <w:szCs w:val="22"/>
          <w:lang w:val="fr-CA" w:eastAsia="zh-CN"/>
        </w:rPr>
      </w:pPr>
      <w:r w:rsidRPr="00963D25">
        <w:rPr>
          <w:b/>
          <w:kern w:val="22"/>
          <w:sz w:val="22"/>
          <w:szCs w:val="22"/>
          <w:lang w:val="fr-CA" w:eastAsia="zh-CN"/>
        </w:rPr>
        <w:t>C.</w:t>
      </w:r>
      <w:r w:rsidRPr="00963D25">
        <w:rPr>
          <w:b/>
          <w:kern w:val="22"/>
          <w:sz w:val="22"/>
          <w:szCs w:val="22"/>
          <w:lang w:val="fr-CA" w:eastAsia="zh-CN"/>
        </w:rPr>
        <w:tab/>
      </w:r>
      <w:r w:rsidR="00285C0F" w:rsidRPr="00963D25">
        <w:rPr>
          <w:b/>
          <w:kern w:val="22"/>
          <w:sz w:val="22"/>
          <w:szCs w:val="22"/>
          <w:lang w:val="fr-CA" w:eastAsia="zh-CN"/>
        </w:rPr>
        <w:t>Critères</w:t>
      </w:r>
    </w:p>
    <w:p w14:paraId="3C323684" w14:textId="240DF12B" w:rsidR="004955A4" w:rsidRPr="00963D25" w:rsidRDefault="00963D25" w:rsidP="00516B43">
      <w:pPr>
        <w:pStyle w:val="Para1"/>
        <w:numPr>
          <w:ilvl w:val="0"/>
          <w:numId w:val="13"/>
        </w:numPr>
        <w:suppressLineNumbers/>
        <w:tabs>
          <w:tab w:val="num" w:pos="720"/>
        </w:tabs>
        <w:suppressAutoHyphens/>
        <w:spacing w:before="120"/>
        <w:ind w:left="0" w:firstLine="0"/>
        <w:jc w:val="both"/>
        <w:rPr>
          <w:kern w:val="22"/>
          <w:sz w:val="22"/>
          <w:szCs w:val="22"/>
          <w:lang w:val="fr-CA" w:eastAsia="zh-CN"/>
        </w:rPr>
      </w:pPr>
      <w:r w:rsidRPr="00475DA4">
        <w:rPr>
          <w:kern w:val="22"/>
          <w:sz w:val="22"/>
          <w:szCs w:val="22"/>
          <w:lang w:val="fr-CA" w:eastAsia="zh-CN"/>
        </w:rPr>
        <w:t xml:space="preserve">Les critères des trois premiers examens ont mis l’accent sur la réponse du </w:t>
      </w:r>
      <w:r w:rsidR="00475DA4" w:rsidRPr="00475DA4">
        <w:rPr>
          <w:kern w:val="22"/>
          <w:sz w:val="22"/>
          <w:szCs w:val="22"/>
          <w:lang w:val="fr-CA" w:eastAsia="zh-CN"/>
        </w:rPr>
        <w:t>FEM</w:t>
      </w:r>
      <w:r w:rsidRPr="00475DA4">
        <w:rPr>
          <w:kern w:val="22"/>
          <w:sz w:val="22"/>
          <w:szCs w:val="22"/>
          <w:lang w:val="fr-CA" w:eastAsia="zh-CN"/>
        </w:rPr>
        <w:t xml:space="preserve"> à l’or</w:t>
      </w:r>
      <w:r w:rsidR="00475DA4" w:rsidRPr="00475DA4">
        <w:rPr>
          <w:kern w:val="22"/>
          <w:sz w:val="22"/>
          <w:szCs w:val="22"/>
          <w:lang w:val="fr-CA" w:eastAsia="zh-CN"/>
        </w:rPr>
        <w:t>ientation de la Conférence des P</w:t>
      </w:r>
      <w:r w:rsidRPr="00475DA4">
        <w:rPr>
          <w:kern w:val="22"/>
          <w:sz w:val="22"/>
          <w:szCs w:val="22"/>
          <w:lang w:val="fr-CA" w:eastAsia="zh-CN"/>
        </w:rPr>
        <w:t xml:space="preserve">arties, dont les priorités de programme et les mesures pour améliorer l’efficacité. Les </w:t>
      </w:r>
      <w:r w:rsidR="00296260" w:rsidRPr="00475DA4">
        <w:rPr>
          <w:kern w:val="22"/>
          <w:sz w:val="22"/>
          <w:szCs w:val="22"/>
          <w:lang w:val="fr-CA" w:eastAsia="zh-CN"/>
        </w:rPr>
        <w:t>critères appliqués</w:t>
      </w:r>
      <w:r w:rsidRPr="00475DA4">
        <w:rPr>
          <w:kern w:val="22"/>
          <w:sz w:val="22"/>
          <w:szCs w:val="22"/>
          <w:lang w:val="fr-CA" w:eastAsia="zh-CN"/>
        </w:rPr>
        <w:t xml:space="preserve"> aux quatrième et cinquième examen</w:t>
      </w:r>
      <w:r w:rsidR="007D6D34">
        <w:rPr>
          <w:kern w:val="22"/>
          <w:sz w:val="22"/>
          <w:szCs w:val="22"/>
          <w:lang w:val="fr-CA" w:eastAsia="zh-CN"/>
        </w:rPr>
        <w:t>s</w:t>
      </w:r>
      <w:r w:rsidRPr="00475DA4">
        <w:rPr>
          <w:kern w:val="22"/>
          <w:sz w:val="22"/>
          <w:szCs w:val="22"/>
          <w:lang w:val="fr-CA" w:eastAsia="zh-CN"/>
        </w:rPr>
        <w:t xml:space="preserve"> o</w:t>
      </w:r>
      <w:r w:rsidR="00296260" w:rsidRPr="00475DA4">
        <w:rPr>
          <w:kern w:val="22"/>
          <w:sz w:val="22"/>
          <w:szCs w:val="22"/>
          <w:lang w:val="fr-CA" w:eastAsia="zh-CN"/>
        </w:rPr>
        <w:t>nt ajouté deux indicateurs supp</w:t>
      </w:r>
      <w:r w:rsidRPr="00475DA4">
        <w:rPr>
          <w:kern w:val="22"/>
          <w:sz w:val="22"/>
          <w:szCs w:val="22"/>
          <w:lang w:val="fr-CA" w:eastAsia="zh-CN"/>
        </w:rPr>
        <w:t xml:space="preserve">lémentaires pour mesurer </w:t>
      </w:r>
      <w:r w:rsidR="00475DA4">
        <w:rPr>
          <w:kern w:val="22"/>
          <w:sz w:val="22"/>
          <w:szCs w:val="22"/>
          <w:lang w:val="fr-CA" w:eastAsia="zh-CN"/>
        </w:rPr>
        <w:t>la fourniture</w:t>
      </w:r>
      <w:r w:rsidRPr="00475DA4">
        <w:rPr>
          <w:kern w:val="22"/>
          <w:sz w:val="22"/>
          <w:szCs w:val="22"/>
          <w:lang w:val="fr-CA" w:eastAsia="zh-CN"/>
        </w:rPr>
        <w:t xml:space="preserve"> de ressources financières et les points de vue des Parties sur l’</w:t>
      </w:r>
      <w:r w:rsidR="00296260" w:rsidRPr="00475DA4">
        <w:rPr>
          <w:kern w:val="22"/>
          <w:sz w:val="22"/>
          <w:szCs w:val="22"/>
          <w:lang w:val="fr-CA" w:eastAsia="zh-CN"/>
        </w:rPr>
        <w:t xml:space="preserve">efficacité et les conditions de </w:t>
      </w:r>
      <w:r w:rsidR="00646236">
        <w:rPr>
          <w:kern w:val="22"/>
          <w:sz w:val="22"/>
          <w:szCs w:val="22"/>
          <w:lang w:val="fr-CA" w:eastAsia="zh-CN"/>
        </w:rPr>
        <w:t>la fourniture</w:t>
      </w:r>
      <w:r w:rsidR="00296260" w:rsidRPr="00475DA4">
        <w:rPr>
          <w:kern w:val="22"/>
          <w:sz w:val="22"/>
          <w:szCs w:val="22"/>
          <w:lang w:val="fr-CA" w:eastAsia="zh-CN"/>
        </w:rPr>
        <w:t xml:space="preserve"> des ressources du FEM, y compris les modalités d’accès. Ces critères demeurent pertinents, et il est suggéré d’appliquer une série d’indicateurs fondés sur les objectifs de l’examen pour dresser le bilan de l’état et des tendances au sein du mécanisme de financement</w:t>
      </w:r>
      <w:r w:rsidR="00406F91" w:rsidRPr="00963D25">
        <w:rPr>
          <w:kern w:val="22"/>
          <w:sz w:val="22"/>
          <w:szCs w:val="22"/>
          <w:lang w:val="fr-CA"/>
        </w:rPr>
        <w:t>.</w:t>
      </w:r>
    </w:p>
    <w:p w14:paraId="3ACF5E3A" w14:textId="7520F661" w:rsidR="004955A4" w:rsidRPr="00963D25" w:rsidRDefault="003A7EAE" w:rsidP="0011729F">
      <w:pPr>
        <w:pStyle w:val="Para1"/>
        <w:suppressLineNumbers/>
        <w:suppressAutoHyphens/>
        <w:spacing w:before="120"/>
        <w:jc w:val="center"/>
        <w:outlineLvl w:val="1"/>
        <w:rPr>
          <w:b/>
          <w:kern w:val="22"/>
          <w:sz w:val="22"/>
          <w:szCs w:val="22"/>
          <w:lang w:val="fr-CA" w:eastAsia="zh-CN"/>
        </w:rPr>
      </w:pPr>
      <w:r w:rsidRPr="00963D25">
        <w:rPr>
          <w:b/>
          <w:kern w:val="22"/>
          <w:sz w:val="22"/>
          <w:szCs w:val="22"/>
          <w:lang w:val="fr-CA" w:eastAsia="zh-CN"/>
        </w:rPr>
        <w:t>D.</w:t>
      </w:r>
      <w:r w:rsidRPr="00963D25">
        <w:rPr>
          <w:b/>
          <w:kern w:val="22"/>
          <w:sz w:val="22"/>
          <w:szCs w:val="22"/>
          <w:lang w:val="fr-CA" w:eastAsia="zh-CN"/>
        </w:rPr>
        <w:tab/>
      </w:r>
      <w:r w:rsidR="00646236">
        <w:rPr>
          <w:b/>
          <w:kern w:val="22"/>
          <w:sz w:val="22"/>
          <w:szCs w:val="22"/>
          <w:lang w:val="fr-CA" w:eastAsia="zh-CN"/>
        </w:rPr>
        <w:t>Procédure</w:t>
      </w:r>
      <w:r w:rsidR="00285C0F" w:rsidRPr="00963D25">
        <w:rPr>
          <w:b/>
          <w:kern w:val="22"/>
          <w:sz w:val="22"/>
          <w:szCs w:val="22"/>
          <w:lang w:val="fr-CA" w:eastAsia="zh-CN"/>
        </w:rPr>
        <w:t xml:space="preserve"> d’application</w:t>
      </w:r>
    </w:p>
    <w:p w14:paraId="2C09C24B" w14:textId="003F1362" w:rsidR="001F52EE" w:rsidRPr="00963D25" w:rsidRDefault="002633CB" w:rsidP="00516B43">
      <w:pPr>
        <w:pStyle w:val="Para1"/>
        <w:numPr>
          <w:ilvl w:val="0"/>
          <w:numId w:val="13"/>
        </w:numPr>
        <w:suppressLineNumbers/>
        <w:tabs>
          <w:tab w:val="num" w:pos="720"/>
        </w:tabs>
        <w:suppressAutoHyphens/>
        <w:spacing w:before="120"/>
        <w:ind w:left="0" w:firstLine="0"/>
        <w:jc w:val="both"/>
        <w:rPr>
          <w:bCs/>
          <w:kern w:val="22"/>
          <w:sz w:val="22"/>
          <w:szCs w:val="22"/>
          <w:lang w:val="fr-CA"/>
        </w:rPr>
      </w:pPr>
      <w:r>
        <w:rPr>
          <w:bCs/>
          <w:kern w:val="22"/>
          <w:sz w:val="22"/>
          <w:szCs w:val="22"/>
          <w:lang w:val="fr-CA"/>
        </w:rPr>
        <w:t>La partie sur les pr</w:t>
      </w:r>
      <w:r w:rsidR="000A610E">
        <w:rPr>
          <w:bCs/>
          <w:kern w:val="22"/>
          <w:sz w:val="22"/>
          <w:szCs w:val="22"/>
          <w:lang w:val="fr-CA"/>
        </w:rPr>
        <w:t>océdures d’application déterminait</w:t>
      </w:r>
      <w:r>
        <w:rPr>
          <w:bCs/>
          <w:kern w:val="22"/>
          <w:sz w:val="22"/>
          <w:szCs w:val="22"/>
          <w:lang w:val="fr-CA"/>
        </w:rPr>
        <w:t xml:space="preserve"> les étapes : qui est responsable de préparer le rapport d’examen, les moyens de recueillir des renseignements, </w:t>
      </w:r>
      <w:r w:rsidR="00646236">
        <w:rPr>
          <w:bCs/>
          <w:kern w:val="22"/>
          <w:sz w:val="22"/>
          <w:szCs w:val="22"/>
          <w:lang w:val="fr-CA"/>
        </w:rPr>
        <w:t>par exemple</w:t>
      </w:r>
      <w:r>
        <w:rPr>
          <w:bCs/>
          <w:kern w:val="22"/>
          <w:sz w:val="22"/>
          <w:szCs w:val="22"/>
          <w:lang w:val="fr-CA"/>
        </w:rPr>
        <w:t xml:space="preserve"> un questionnaire et autres méthodes, la préparation du rapport, les occasions pour le </w:t>
      </w:r>
      <w:r w:rsidR="00646236">
        <w:rPr>
          <w:bCs/>
          <w:kern w:val="22"/>
          <w:sz w:val="22"/>
          <w:szCs w:val="22"/>
          <w:lang w:val="fr-CA"/>
        </w:rPr>
        <w:t>FEM d’</w:t>
      </w:r>
      <w:r>
        <w:rPr>
          <w:bCs/>
          <w:kern w:val="22"/>
          <w:sz w:val="22"/>
          <w:szCs w:val="22"/>
          <w:lang w:val="fr-CA"/>
        </w:rPr>
        <w:t>émettre ses commentaires sur les résultats et les conclusions, la préparation du rapport et le calendrier de mise en œuvre</w:t>
      </w:r>
      <w:r w:rsidR="001F52EE" w:rsidRPr="00963D25">
        <w:rPr>
          <w:bCs/>
          <w:kern w:val="22"/>
          <w:sz w:val="22"/>
          <w:szCs w:val="22"/>
          <w:lang w:val="fr-CA"/>
        </w:rPr>
        <w:t>.</w:t>
      </w:r>
    </w:p>
    <w:p w14:paraId="1990998C" w14:textId="724D8970" w:rsidR="007D0851" w:rsidRPr="001E3ECE" w:rsidRDefault="002633CB" w:rsidP="00516B43">
      <w:pPr>
        <w:pStyle w:val="Para1"/>
        <w:numPr>
          <w:ilvl w:val="0"/>
          <w:numId w:val="13"/>
        </w:numPr>
        <w:suppressLineNumbers/>
        <w:tabs>
          <w:tab w:val="num" w:pos="720"/>
        </w:tabs>
        <w:suppressAutoHyphens/>
        <w:spacing w:before="120"/>
        <w:ind w:left="0" w:firstLine="0"/>
        <w:jc w:val="both"/>
        <w:rPr>
          <w:bCs/>
          <w:kern w:val="22"/>
          <w:sz w:val="22"/>
          <w:szCs w:val="22"/>
          <w:lang w:val="fr-CA"/>
        </w:rPr>
      </w:pPr>
      <w:r w:rsidRPr="001E3ECE">
        <w:rPr>
          <w:bCs/>
          <w:kern w:val="22"/>
          <w:sz w:val="22"/>
          <w:szCs w:val="22"/>
          <w:lang w:val="fr-CA"/>
        </w:rPr>
        <w:t>Conformément à la décision</w:t>
      </w:r>
      <w:r w:rsidR="001E3ECE">
        <w:rPr>
          <w:bCs/>
          <w:kern w:val="22"/>
          <w:sz w:val="22"/>
          <w:szCs w:val="22"/>
          <w:lang w:val="fr-CA"/>
        </w:rPr>
        <w:t xml:space="preserve"> III/7 sur le premier examen de l’efficacité du mécanisme de financement, le Secrétariat préparera des informations générales pour ex</w:t>
      </w:r>
      <w:r w:rsidR="00F94310">
        <w:rPr>
          <w:bCs/>
          <w:kern w:val="22"/>
          <w:sz w:val="22"/>
          <w:szCs w:val="22"/>
          <w:lang w:val="fr-CA"/>
        </w:rPr>
        <w:t>a</w:t>
      </w:r>
      <w:r w:rsidR="001E3ECE">
        <w:rPr>
          <w:bCs/>
          <w:kern w:val="22"/>
          <w:sz w:val="22"/>
          <w:szCs w:val="22"/>
          <w:lang w:val="fr-CA"/>
        </w:rPr>
        <w:t>men par l</w:t>
      </w:r>
      <w:r w:rsidR="000A610E">
        <w:rPr>
          <w:bCs/>
          <w:kern w:val="22"/>
          <w:sz w:val="22"/>
          <w:szCs w:val="22"/>
          <w:lang w:val="fr-CA"/>
        </w:rPr>
        <w:t>a</w:t>
      </w:r>
      <w:r w:rsidR="001E3ECE">
        <w:rPr>
          <w:bCs/>
          <w:kern w:val="22"/>
          <w:sz w:val="22"/>
          <w:szCs w:val="22"/>
          <w:lang w:val="fr-CA"/>
        </w:rPr>
        <w:t xml:space="preserve"> Conférence des Parties et présentera cette documentation aux Parties au moins trois mois avant la quatrième réunion de la Conférence des Parties et, si nécessaire, confiera cette t</w:t>
      </w:r>
      <w:r w:rsidR="00F94310">
        <w:rPr>
          <w:bCs/>
          <w:kern w:val="22"/>
          <w:sz w:val="22"/>
          <w:szCs w:val="22"/>
          <w:lang w:val="fr-CA"/>
        </w:rPr>
        <w:t>â</w:t>
      </w:r>
      <w:r w:rsidR="001E3ECE">
        <w:rPr>
          <w:bCs/>
          <w:kern w:val="22"/>
          <w:sz w:val="22"/>
          <w:szCs w:val="22"/>
          <w:lang w:val="fr-CA"/>
        </w:rPr>
        <w:t xml:space="preserve">che à un consultant. </w:t>
      </w:r>
      <w:r w:rsidR="001E3ECE" w:rsidRPr="001E3ECE">
        <w:rPr>
          <w:bCs/>
          <w:kern w:val="22"/>
          <w:sz w:val="22"/>
          <w:szCs w:val="22"/>
          <w:lang w:val="fr-CA"/>
        </w:rPr>
        <w:t xml:space="preserve">Dans sa décision V/12 sur le deuxième </w:t>
      </w:r>
      <w:r w:rsidR="00F94310">
        <w:rPr>
          <w:bCs/>
          <w:kern w:val="22"/>
          <w:sz w:val="22"/>
          <w:szCs w:val="22"/>
          <w:lang w:val="fr-CA"/>
        </w:rPr>
        <w:t>e</w:t>
      </w:r>
      <w:r w:rsidR="001E3ECE" w:rsidRPr="001E3ECE">
        <w:rPr>
          <w:bCs/>
          <w:kern w:val="22"/>
          <w:sz w:val="22"/>
          <w:szCs w:val="22"/>
          <w:lang w:val="fr-CA"/>
        </w:rPr>
        <w:t>xamen du mécanisme de financement, la Conférenc</w:t>
      </w:r>
      <w:r w:rsidR="00F94310">
        <w:rPr>
          <w:bCs/>
          <w:kern w:val="22"/>
          <w:sz w:val="22"/>
          <w:szCs w:val="22"/>
          <w:lang w:val="fr-CA"/>
        </w:rPr>
        <w:t>e</w:t>
      </w:r>
      <w:r w:rsidR="00646236">
        <w:rPr>
          <w:bCs/>
          <w:kern w:val="22"/>
          <w:sz w:val="22"/>
          <w:szCs w:val="22"/>
          <w:lang w:val="fr-CA"/>
        </w:rPr>
        <w:t xml:space="preserve"> des Parties a décidé que le</w:t>
      </w:r>
      <w:r w:rsidR="001E3ECE" w:rsidRPr="001E3ECE">
        <w:rPr>
          <w:bCs/>
          <w:kern w:val="22"/>
          <w:sz w:val="22"/>
          <w:szCs w:val="22"/>
          <w:lang w:val="fr-CA"/>
        </w:rPr>
        <w:t xml:space="preserve"> Secrétaire </w:t>
      </w:r>
      <w:r w:rsidR="00F94310">
        <w:rPr>
          <w:bCs/>
          <w:kern w:val="22"/>
          <w:sz w:val="22"/>
          <w:szCs w:val="22"/>
          <w:lang w:val="fr-CA"/>
        </w:rPr>
        <w:t>exé</w:t>
      </w:r>
      <w:r w:rsidR="00646236">
        <w:rPr>
          <w:bCs/>
          <w:kern w:val="22"/>
          <w:sz w:val="22"/>
          <w:szCs w:val="22"/>
          <w:lang w:val="fr-CA"/>
        </w:rPr>
        <w:t>cutif</w:t>
      </w:r>
      <w:r w:rsidR="001E3ECE" w:rsidRPr="001E3ECE">
        <w:rPr>
          <w:bCs/>
          <w:kern w:val="22"/>
          <w:sz w:val="22"/>
          <w:szCs w:val="22"/>
          <w:lang w:val="fr-CA"/>
        </w:rPr>
        <w:t xml:space="preserve"> </w:t>
      </w:r>
      <w:r w:rsidR="00F94310">
        <w:rPr>
          <w:bCs/>
          <w:kern w:val="22"/>
          <w:sz w:val="22"/>
          <w:szCs w:val="22"/>
          <w:lang w:val="fr-CA"/>
        </w:rPr>
        <w:t>confiera le mandat de l’examen à un évaluateur indépendant. Cette disposition a été retenue dans la décision VII/22 sur le troisième examen du mécanisme de financement, la décision</w:t>
      </w:r>
      <w:r w:rsidR="00ED133A" w:rsidRPr="001E3ECE">
        <w:rPr>
          <w:bCs/>
          <w:kern w:val="22"/>
          <w:sz w:val="22"/>
          <w:szCs w:val="22"/>
          <w:lang w:val="fr-CA"/>
        </w:rPr>
        <w:t xml:space="preserve"> </w:t>
      </w:r>
      <w:hyperlink r:id="rId19" w:history="1">
        <w:r w:rsidR="00ED133A" w:rsidRPr="001E3ECE">
          <w:rPr>
            <w:rStyle w:val="Lienhypertexte"/>
            <w:szCs w:val="22"/>
            <w:lang w:val="fr-CA"/>
          </w:rPr>
          <w:t>X/27</w:t>
        </w:r>
      </w:hyperlink>
      <w:r w:rsidR="00ED133A" w:rsidRPr="001E3ECE">
        <w:rPr>
          <w:bCs/>
          <w:kern w:val="22"/>
          <w:sz w:val="22"/>
          <w:szCs w:val="22"/>
          <w:lang w:val="fr-CA"/>
        </w:rPr>
        <w:t xml:space="preserve"> </w:t>
      </w:r>
      <w:r w:rsidR="00F94310">
        <w:rPr>
          <w:bCs/>
          <w:kern w:val="22"/>
          <w:sz w:val="22"/>
          <w:szCs w:val="22"/>
          <w:lang w:val="fr-CA"/>
        </w:rPr>
        <w:t>sur le quatrième examen et la décision XIII/21 sur le cinquième examen.</w:t>
      </w:r>
    </w:p>
    <w:p w14:paraId="74A09E21" w14:textId="61236D27" w:rsidR="007D0851" w:rsidRPr="001A40CD" w:rsidRDefault="00F94310" w:rsidP="00516B43">
      <w:pPr>
        <w:pStyle w:val="Para1"/>
        <w:numPr>
          <w:ilvl w:val="0"/>
          <w:numId w:val="13"/>
        </w:numPr>
        <w:suppressLineNumbers/>
        <w:tabs>
          <w:tab w:val="num" w:pos="720"/>
        </w:tabs>
        <w:suppressAutoHyphens/>
        <w:spacing w:before="120"/>
        <w:ind w:left="0" w:firstLine="0"/>
        <w:jc w:val="both"/>
        <w:rPr>
          <w:bCs/>
          <w:kern w:val="22"/>
          <w:sz w:val="22"/>
          <w:szCs w:val="22"/>
          <w:lang w:val="fr-CA"/>
        </w:rPr>
      </w:pPr>
      <w:r w:rsidRPr="00CA78F3">
        <w:rPr>
          <w:bCs/>
          <w:kern w:val="22"/>
          <w:sz w:val="22"/>
          <w:szCs w:val="22"/>
          <w:lang w:val="fr-CA"/>
        </w:rPr>
        <w:t xml:space="preserve">Une évaluation indépendante peut accroître la crédibilité et la confiance des parties prenantes </w:t>
      </w:r>
      <w:r w:rsidR="00646236">
        <w:rPr>
          <w:bCs/>
          <w:kern w:val="22"/>
          <w:sz w:val="22"/>
          <w:szCs w:val="22"/>
          <w:lang w:val="fr-CA"/>
        </w:rPr>
        <w:t xml:space="preserve">concernant </w:t>
      </w:r>
      <w:r w:rsidR="00CA78F3" w:rsidRPr="00CA78F3">
        <w:rPr>
          <w:bCs/>
          <w:kern w:val="22"/>
          <w:sz w:val="22"/>
          <w:szCs w:val="22"/>
          <w:lang w:val="fr-CA"/>
        </w:rPr>
        <w:t xml:space="preserve">l’absence de tout lien de dépendance du processus </w:t>
      </w:r>
      <w:r w:rsidRPr="00CA78F3">
        <w:rPr>
          <w:bCs/>
          <w:kern w:val="22"/>
          <w:sz w:val="22"/>
          <w:szCs w:val="22"/>
          <w:lang w:val="fr-CA"/>
        </w:rPr>
        <w:t>d’examen</w:t>
      </w:r>
      <w:r w:rsidR="00CA78F3" w:rsidRPr="00CA78F3">
        <w:rPr>
          <w:bCs/>
          <w:kern w:val="22"/>
          <w:sz w:val="22"/>
          <w:szCs w:val="22"/>
          <w:lang w:val="fr-CA"/>
        </w:rPr>
        <w:t xml:space="preserve"> et créer une nouvelle vision d’une perspective différente.</w:t>
      </w:r>
      <w:r w:rsidR="00CA78F3">
        <w:rPr>
          <w:bCs/>
          <w:kern w:val="22"/>
          <w:sz w:val="22"/>
          <w:szCs w:val="22"/>
          <w:lang w:val="fr-CA"/>
        </w:rPr>
        <w:t xml:space="preserve"> </w:t>
      </w:r>
      <w:r w:rsidR="00CA78F3" w:rsidRPr="006E0861">
        <w:rPr>
          <w:bCs/>
          <w:kern w:val="22"/>
          <w:sz w:val="22"/>
          <w:szCs w:val="22"/>
          <w:lang w:val="fr-CA"/>
        </w:rPr>
        <w:t xml:space="preserve">La sous-traitance d’une évaluation indépendante </w:t>
      </w:r>
      <w:r w:rsidR="00656C31">
        <w:rPr>
          <w:bCs/>
          <w:kern w:val="22"/>
          <w:sz w:val="22"/>
          <w:szCs w:val="22"/>
          <w:lang w:val="fr-CA"/>
        </w:rPr>
        <w:t>dépend de</w:t>
      </w:r>
      <w:r w:rsidR="00CA78F3" w:rsidRPr="006E0861">
        <w:rPr>
          <w:bCs/>
          <w:kern w:val="22"/>
          <w:sz w:val="22"/>
          <w:szCs w:val="22"/>
          <w:lang w:val="fr-CA"/>
        </w:rPr>
        <w:t xml:space="preserve"> la disponibilité des fonds</w:t>
      </w:r>
      <w:r w:rsidR="006E0861" w:rsidRPr="006E0861">
        <w:rPr>
          <w:bCs/>
          <w:kern w:val="22"/>
          <w:sz w:val="22"/>
          <w:szCs w:val="22"/>
          <w:lang w:val="fr-CA"/>
        </w:rPr>
        <w:t xml:space="preserve">, ce qui peut avoir des </w:t>
      </w:r>
      <w:r w:rsidR="003D5B9A">
        <w:rPr>
          <w:bCs/>
          <w:kern w:val="22"/>
          <w:sz w:val="22"/>
          <w:szCs w:val="22"/>
          <w:lang w:val="fr-CA"/>
        </w:rPr>
        <w:t>consé</w:t>
      </w:r>
      <w:r w:rsidR="006E0861" w:rsidRPr="006E0861">
        <w:rPr>
          <w:bCs/>
          <w:kern w:val="22"/>
          <w:sz w:val="22"/>
          <w:szCs w:val="22"/>
          <w:lang w:val="fr-CA"/>
        </w:rPr>
        <w:t xml:space="preserve">quences </w:t>
      </w:r>
      <w:r w:rsidR="003D5B9A">
        <w:rPr>
          <w:bCs/>
          <w:kern w:val="22"/>
          <w:sz w:val="22"/>
          <w:szCs w:val="22"/>
          <w:lang w:val="fr-CA"/>
        </w:rPr>
        <w:t>né</w:t>
      </w:r>
      <w:r w:rsidR="006E0861" w:rsidRPr="006E0861">
        <w:rPr>
          <w:bCs/>
          <w:kern w:val="22"/>
          <w:sz w:val="22"/>
          <w:szCs w:val="22"/>
          <w:lang w:val="fr-CA"/>
        </w:rPr>
        <w:t xml:space="preserve">gatives sur la date de remise des résultats de l’évaluation. Par exemple, le troisième examen du mécanisme de financement n’avait pas été mené à terme lors de la tenue de la huitième </w:t>
      </w:r>
      <w:r w:rsidR="003D5B9A">
        <w:rPr>
          <w:bCs/>
          <w:kern w:val="22"/>
          <w:sz w:val="22"/>
          <w:szCs w:val="22"/>
          <w:lang w:val="fr-CA"/>
        </w:rPr>
        <w:t>ré</w:t>
      </w:r>
      <w:r w:rsidR="006E0861" w:rsidRPr="006E0861">
        <w:rPr>
          <w:bCs/>
          <w:kern w:val="22"/>
          <w:sz w:val="22"/>
          <w:szCs w:val="22"/>
          <w:lang w:val="fr-CA"/>
        </w:rPr>
        <w:t>union de la Conférence</w:t>
      </w:r>
      <w:r w:rsidR="00656C31">
        <w:rPr>
          <w:bCs/>
          <w:kern w:val="22"/>
          <w:sz w:val="22"/>
          <w:szCs w:val="22"/>
          <w:lang w:val="fr-CA"/>
        </w:rPr>
        <w:t xml:space="preserve"> des Parties à cause d’un manque</w:t>
      </w:r>
      <w:r w:rsidR="006E0861" w:rsidRPr="006E0861">
        <w:rPr>
          <w:bCs/>
          <w:kern w:val="22"/>
          <w:sz w:val="22"/>
          <w:szCs w:val="22"/>
          <w:lang w:val="fr-CA"/>
        </w:rPr>
        <w:t xml:space="preserve"> de contributions volontaires en appui aux activités approuvées.</w:t>
      </w:r>
      <w:r w:rsidR="006E0861">
        <w:rPr>
          <w:bCs/>
          <w:kern w:val="22"/>
          <w:sz w:val="22"/>
          <w:szCs w:val="22"/>
          <w:lang w:val="fr-CA"/>
        </w:rPr>
        <w:t xml:space="preserve"> </w:t>
      </w:r>
      <w:r w:rsidR="006E0861" w:rsidRPr="006E0861">
        <w:rPr>
          <w:bCs/>
          <w:kern w:val="22"/>
          <w:sz w:val="22"/>
          <w:szCs w:val="22"/>
          <w:lang w:val="fr-CA"/>
        </w:rPr>
        <w:t xml:space="preserve">Dans sa </w:t>
      </w:r>
      <w:r w:rsidR="003D5B9A">
        <w:rPr>
          <w:bCs/>
          <w:kern w:val="22"/>
          <w:sz w:val="22"/>
          <w:szCs w:val="22"/>
          <w:lang w:val="fr-CA"/>
        </w:rPr>
        <w:t>dé</w:t>
      </w:r>
      <w:r w:rsidR="006E0861" w:rsidRPr="006E0861">
        <w:rPr>
          <w:bCs/>
          <w:kern w:val="22"/>
          <w:sz w:val="22"/>
          <w:szCs w:val="22"/>
          <w:lang w:val="fr-CA"/>
        </w:rPr>
        <w:t>cision VIII/13, la C</w:t>
      </w:r>
      <w:r w:rsidR="003D5B9A" w:rsidRPr="006E0861">
        <w:rPr>
          <w:bCs/>
          <w:kern w:val="22"/>
          <w:sz w:val="22"/>
          <w:szCs w:val="22"/>
          <w:lang w:val="fr-CA"/>
        </w:rPr>
        <w:t>o</w:t>
      </w:r>
      <w:r w:rsidR="006E0861" w:rsidRPr="006E0861">
        <w:rPr>
          <w:bCs/>
          <w:kern w:val="22"/>
          <w:sz w:val="22"/>
          <w:szCs w:val="22"/>
          <w:lang w:val="fr-CA"/>
        </w:rPr>
        <w:t>nférence</w:t>
      </w:r>
      <w:r w:rsidR="003D5B9A">
        <w:rPr>
          <w:bCs/>
          <w:kern w:val="22"/>
          <w:sz w:val="22"/>
          <w:szCs w:val="22"/>
          <w:lang w:val="fr-CA"/>
        </w:rPr>
        <w:t xml:space="preserve"> </w:t>
      </w:r>
      <w:r w:rsidR="006E0861" w:rsidRPr="006E0861">
        <w:rPr>
          <w:bCs/>
          <w:kern w:val="22"/>
          <w:sz w:val="22"/>
          <w:szCs w:val="22"/>
          <w:lang w:val="fr-CA"/>
        </w:rPr>
        <w:t xml:space="preserve">des Parties a reporté l’échéance de l’examen en demandant </w:t>
      </w:r>
      <w:r w:rsidR="00656C31">
        <w:rPr>
          <w:bCs/>
          <w:kern w:val="22"/>
          <w:sz w:val="22"/>
          <w:szCs w:val="22"/>
          <w:lang w:val="fr-CA"/>
        </w:rPr>
        <w:t>au</w:t>
      </w:r>
      <w:r w:rsidR="006E0861" w:rsidRPr="006E0861">
        <w:rPr>
          <w:bCs/>
          <w:kern w:val="22"/>
          <w:sz w:val="22"/>
          <w:szCs w:val="22"/>
          <w:lang w:val="fr-CA"/>
        </w:rPr>
        <w:t xml:space="preserve"> Secrétaire </w:t>
      </w:r>
      <w:r w:rsidR="003D5B9A">
        <w:rPr>
          <w:bCs/>
          <w:kern w:val="22"/>
          <w:sz w:val="22"/>
          <w:szCs w:val="22"/>
          <w:lang w:val="fr-CA"/>
        </w:rPr>
        <w:t>exé</w:t>
      </w:r>
      <w:r w:rsidR="006E0861" w:rsidRPr="006E0861">
        <w:rPr>
          <w:bCs/>
          <w:kern w:val="22"/>
          <w:sz w:val="22"/>
          <w:szCs w:val="22"/>
          <w:lang w:val="fr-CA"/>
        </w:rPr>
        <w:t>cuti</w:t>
      </w:r>
      <w:r w:rsidR="00656C31">
        <w:rPr>
          <w:bCs/>
          <w:kern w:val="22"/>
          <w:sz w:val="22"/>
          <w:szCs w:val="22"/>
          <w:lang w:val="fr-CA"/>
        </w:rPr>
        <w:t>f</w:t>
      </w:r>
      <w:r w:rsidR="006E0861" w:rsidRPr="006E0861">
        <w:rPr>
          <w:bCs/>
          <w:kern w:val="22"/>
          <w:sz w:val="22"/>
          <w:szCs w:val="22"/>
          <w:lang w:val="fr-CA"/>
        </w:rPr>
        <w:t xml:space="preserve"> de tenir compte des commentaires émis au cours de la huitième r</w:t>
      </w:r>
      <w:r w:rsidR="003D5B9A">
        <w:rPr>
          <w:bCs/>
          <w:kern w:val="22"/>
          <w:sz w:val="22"/>
          <w:szCs w:val="22"/>
          <w:lang w:val="fr-CA"/>
        </w:rPr>
        <w:t>é</w:t>
      </w:r>
      <w:r w:rsidR="006E0861" w:rsidRPr="006E0861">
        <w:rPr>
          <w:bCs/>
          <w:kern w:val="22"/>
          <w:sz w:val="22"/>
          <w:szCs w:val="22"/>
          <w:lang w:val="fr-CA"/>
        </w:rPr>
        <w:t xml:space="preserve">union </w:t>
      </w:r>
      <w:r w:rsidR="003D5B9A">
        <w:rPr>
          <w:bCs/>
          <w:kern w:val="22"/>
          <w:sz w:val="22"/>
          <w:szCs w:val="22"/>
          <w:lang w:val="fr-CA"/>
        </w:rPr>
        <w:t>d</w:t>
      </w:r>
      <w:r w:rsidR="006E0861" w:rsidRPr="006E0861">
        <w:rPr>
          <w:bCs/>
          <w:kern w:val="22"/>
          <w:sz w:val="22"/>
          <w:szCs w:val="22"/>
          <w:lang w:val="fr-CA"/>
        </w:rPr>
        <w:t xml:space="preserve">e la </w:t>
      </w:r>
      <w:r w:rsidR="003D5B9A">
        <w:rPr>
          <w:bCs/>
          <w:kern w:val="22"/>
          <w:sz w:val="22"/>
          <w:szCs w:val="22"/>
          <w:lang w:val="fr-CA"/>
        </w:rPr>
        <w:t>Conférence</w:t>
      </w:r>
      <w:r w:rsidR="006E0861" w:rsidRPr="006E0861">
        <w:rPr>
          <w:bCs/>
          <w:kern w:val="22"/>
          <w:sz w:val="22"/>
          <w:szCs w:val="22"/>
          <w:lang w:val="fr-CA"/>
        </w:rPr>
        <w:t xml:space="preserve"> </w:t>
      </w:r>
      <w:r w:rsidR="003D5B9A">
        <w:rPr>
          <w:bCs/>
          <w:kern w:val="22"/>
          <w:sz w:val="22"/>
          <w:szCs w:val="22"/>
          <w:lang w:val="fr-CA"/>
        </w:rPr>
        <w:t>des Par</w:t>
      </w:r>
      <w:r w:rsidR="006E0861" w:rsidRPr="006E0861">
        <w:rPr>
          <w:bCs/>
          <w:kern w:val="22"/>
          <w:sz w:val="22"/>
          <w:szCs w:val="22"/>
          <w:lang w:val="fr-CA"/>
        </w:rPr>
        <w:t xml:space="preserve">ties, afin de </w:t>
      </w:r>
      <w:r w:rsidR="003D5B9A">
        <w:rPr>
          <w:bCs/>
          <w:kern w:val="22"/>
          <w:sz w:val="22"/>
          <w:szCs w:val="22"/>
          <w:lang w:val="fr-CA"/>
        </w:rPr>
        <w:t>prendre le</w:t>
      </w:r>
      <w:r w:rsidR="006E0861" w:rsidRPr="006E0861">
        <w:rPr>
          <w:bCs/>
          <w:kern w:val="22"/>
          <w:sz w:val="22"/>
          <w:szCs w:val="22"/>
          <w:lang w:val="fr-CA"/>
        </w:rPr>
        <w:t>s</w:t>
      </w:r>
      <w:r w:rsidR="003D5B9A">
        <w:rPr>
          <w:bCs/>
          <w:kern w:val="22"/>
          <w:sz w:val="22"/>
          <w:szCs w:val="22"/>
          <w:lang w:val="fr-CA"/>
        </w:rPr>
        <w:t xml:space="preserve"> </w:t>
      </w:r>
      <w:r w:rsidR="006E0861" w:rsidRPr="006E0861">
        <w:rPr>
          <w:bCs/>
          <w:kern w:val="22"/>
          <w:sz w:val="22"/>
          <w:szCs w:val="22"/>
          <w:lang w:val="fr-CA"/>
        </w:rPr>
        <w:t>dispo</w:t>
      </w:r>
      <w:r w:rsidR="003D5B9A">
        <w:rPr>
          <w:bCs/>
          <w:kern w:val="22"/>
          <w:sz w:val="22"/>
          <w:szCs w:val="22"/>
          <w:lang w:val="fr-CA"/>
        </w:rPr>
        <w:t>s</w:t>
      </w:r>
      <w:r w:rsidR="006E0861" w:rsidRPr="006E0861">
        <w:rPr>
          <w:bCs/>
          <w:kern w:val="22"/>
          <w:sz w:val="22"/>
          <w:szCs w:val="22"/>
          <w:lang w:val="fr-CA"/>
        </w:rPr>
        <w:t xml:space="preserve">itions nécessaires pour </w:t>
      </w:r>
      <w:r w:rsidR="000A610E">
        <w:rPr>
          <w:bCs/>
          <w:kern w:val="22"/>
          <w:sz w:val="22"/>
          <w:szCs w:val="22"/>
          <w:lang w:val="fr-CA"/>
        </w:rPr>
        <w:t>que</w:t>
      </w:r>
      <w:r w:rsidR="00656C31">
        <w:rPr>
          <w:bCs/>
          <w:kern w:val="22"/>
          <w:sz w:val="22"/>
          <w:szCs w:val="22"/>
          <w:lang w:val="fr-CA"/>
        </w:rPr>
        <w:t xml:space="preserve"> </w:t>
      </w:r>
      <w:r w:rsidR="006E0861" w:rsidRPr="006E0861">
        <w:rPr>
          <w:bCs/>
          <w:kern w:val="22"/>
          <w:sz w:val="22"/>
          <w:szCs w:val="22"/>
          <w:lang w:val="fr-CA"/>
        </w:rPr>
        <w:t>l’effi</w:t>
      </w:r>
      <w:r w:rsidR="003D5B9A">
        <w:rPr>
          <w:bCs/>
          <w:kern w:val="22"/>
          <w:sz w:val="22"/>
          <w:szCs w:val="22"/>
          <w:lang w:val="fr-CA"/>
        </w:rPr>
        <w:t>c</w:t>
      </w:r>
      <w:r w:rsidR="006E0861" w:rsidRPr="006E0861">
        <w:rPr>
          <w:bCs/>
          <w:kern w:val="22"/>
          <w:sz w:val="22"/>
          <w:szCs w:val="22"/>
          <w:lang w:val="fr-CA"/>
        </w:rPr>
        <w:t xml:space="preserve">acité du mécanisme de financement </w:t>
      </w:r>
      <w:r w:rsidR="000A610E">
        <w:rPr>
          <w:bCs/>
          <w:kern w:val="22"/>
          <w:sz w:val="22"/>
          <w:szCs w:val="22"/>
          <w:lang w:val="fr-CA"/>
        </w:rPr>
        <w:t xml:space="preserve">soit évaluée </w:t>
      </w:r>
      <w:r w:rsidR="006E0861" w:rsidRPr="006E0861">
        <w:rPr>
          <w:bCs/>
          <w:kern w:val="22"/>
          <w:sz w:val="22"/>
          <w:szCs w:val="22"/>
          <w:lang w:val="fr-CA"/>
        </w:rPr>
        <w:t>avant la neuvi</w:t>
      </w:r>
      <w:r w:rsidR="006E0861">
        <w:rPr>
          <w:bCs/>
          <w:kern w:val="22"/>
          <w:sz w:val="22"/>
          <w:szCs w:val="22"/>
          <w:lang w:val="fr-CA"/>
        </w:rPr>
        <w:t>èm</w:t>
      </w:r>
      <w:r w:rsidR="001A40CD">
        <w:rPr>
          <w:bCs/>
          <w:kern w:val="22"/>
          <w:sz w:val="22"/>
          <w:szCs w:val="22"/>
          <w:lang w:val="fr-CA"/>
        </w:rPr>
        <w:t>e réunion de la Conférence des P</w:t>
      </w:r>
      <w:r w:rsidR="006E0861">
        <w:rPr>
          <w:bCs/>
          <w:kern w:val="22"/>
          <w:sz w:val="22"/>
          <w:szCs w:val="22"/>
          <w:lang w:val="fr-CA"/>
        </w:rPr>
        <w:t xml:space="preserve">arties. </w:t>
      </w:r>
      <w:r w:rsidR="001A40CD" w:rsidRPr="001A40CD">
        <w:rPr>
          <w:bCs/>
          <w:kern w:val="22"/>
          <w:sz w:val="22"/>
          <w:szCs w:val="22"/>
          <w:lang w:val="fr-CA"/>
        </w:rPr>
        <w:t xml:space="preserve">Le quatrième examen de l’efficacité du mécanisme de financement, </w:t>
      </w:r>
      <w:r w:rsidR="00656C31">
        <w:rPr>
          <w:bCs/>
          <w:kern w:val="22"/>
          <w:sz w:val="22"/>
          <w:szCs w:val="22"/>
          <w:lang w:val="fr-CA"/>
        </w:rPr>
        <w:t>entrepris</w:t>
      </w:r>
      <w:r w:rsidR="001A40CD" w:rsidRPr="001A40CD">
        <w:rPr>
          <w:bCs/>
          <w:kern w:val="22"/>
          <w:sz w:val="22"/>
          <w:szCs w:val="22"/>
          <w:lang w:val="fr-CA"/>
        </w:rPr>
        <w:t xml:space="preserve"> dans la décision X/27, n’a pas été achevé à temps pour la onzième </w:t>
      </w:r>
      <w:r w:rsidR="003D5B9A">
        <w:rPr>
          <w:bCs/>
          <w:kern w:val="22"/>
          <w:sz w:val="22"/>
          <w:szCs w:val="22"/>
          <w:lang w:val="fr-CA"/>
        </w:rPr>
        <w:t>ré</w:t>
      </w:r>
      <w:r w:rsidR="001A40CD" w:rsidRPr="001A40CD">
        <w:rPr>
          <w:bCs/>
          <w:kern w:val="22"/>
          <w:sz w:val="22"/>
          <w:szCs w:val="22"/>
          <w:lang w:val="fr-CA"/>
        </w:rPr>
        <w:t xml:space="preserve">union de la Conférence des Parties, </w:t>
      </w:r>
      <w:r w:rsidR="001A40CD">
        <w:rPr>
          <w:bCs/>
          <w:kern w:val="22"/>
          <w:sz w:val="22"/>
          <w:szCs w:val="22"/>
          <w:lang w:val="fr-CA"/>
        </w:rPr>
        <w:t xml:space="preserve">encore une fois </w:t>
      </w:r>
      <w:r w:rsidR="001A40CD" w:rsidRPr="001A40CD">
        <w:rPr>
          <w:bCs/>
          <w:kern w:val="22"/>
          <w:sz w:val="22"/>
          <w:szCs w:val="22"/>
          <w:lang w:val="fr-CA"/>
        </w:rPr>
        <w:t xml:space="preserve">à cause du </w:t>
      </w:r>
      <w:r w:rsidR="001A40CD">
        <w:rPr>
          <w:bCs/>
          <w:kern w:val="22"/>
          <w:sz w:val="22"/>
          <w:szCs w:val="22"/>
          <w:lang w:val="fr-CA"/>
        </w:rPr>
        <w:t>manqu</w:t>
      </w:r>
      <w:r w:rsidR="003D5B9A">
        <w:rPr>
          <w:bCs/>
          <w:kern w:val="22"/>
          <w:sz w:val="22"/>
          <w:szCs w:val="22"/>
          <w:lang w:val="fr-CA"/>
        </w:rPr>
        <w:t>e</w:t>
      </w:r>
      <w:r w:rsidR="001A40CD" w:rsidRPr="001A40CD">
        <w:rPr>
          <w:bCs/>
          <w:kern w:val="22"/>
          <w:sz w:val="22"/>
          <w:szCs w:val="22"/>
          <w:lang w:val="fr-CA"/>
        </w:rPr>
        <w:t xml:space="preserve"> de contributions volontaires e</w:t>
      </w:r>
      <w:r w:rsidR="003D5B9A">
        <w:rPr>
          <w:bCs/>
          <w:kern w:val="22"/>
          <w:sz w:val="22"/>
          <w:szCs w:val="22"/>
          <w:lang w:val="fr-CA"/>
        </w:rPr>
        <w:t>n appui aux activités ap</w:t>
      </w:r>
      <w:r w:rsidR="001A40CD">
        <w:rPr>
          <w:bCs/>
          <w:kern w:val="22"/>
          <w:sz w:val="22"/>
          <w:szCs w:val="22"/>
          <w:lang w:val="fr-CA"/>
        </w:rPr>
        <w:t>prouvée</w:t>
      </w:r>
      <w:r w:rsidR="001A40CD" w:rsidRPr="001A40CD">
        <w:rPr>
          <w:bCs/>
          <w:kern w:val="22"/>
          <w:sz w:val="22"/>
          <w:szCs w:val="22"/>
          <w:lang w:val="fr-CA"/>
        </w:rPr>
        <w:t xml:space="preserve">s, </w:t>
      </w:r>
      <w:r w:rsidR="001A40CD">
        <w:rPr>
          <w:bCs/>
          <w:kern w:val="22"/>
          <w:sz w:val="22"/>
          <w:szCs w:val="22"/>
          <w:lang w:val="fr-CA"/>
        </w:rPr>
        <w:t>Dans sa décision</w:t>
      </w:r>
      <w:r w:rsidR="007D0851" w:rsidRPr="001A40CD">
        <w:rPr>
          <w:bCs/>
          <w:kern w:val="22"/>
          <w:sz w:val="22"/>
          <w:szCs w:val="22"/>
          <w:lang w:val="fr-CA"/>
        </w:rPr>
        <w:t xml:space="preserve"> </w:t>
      </w:r>
      <w:hyperlink r:id="rId20" w:history="1">
        <w:r w:rsidR="007D0851" w:rsidRPr="001A40CD">
          <w:rPr>
            <w:rStyle w:val="Lienhypertexte"/>
            <w:szCs w:val="22"/>
            <w:lang w:val="fr-CA"/>
          </w:rPr>
          <w:t>XI/5</w:t>
        </w:r>
      </w:hyperlink>
      <w:r w:rsidR="007D0851" w:rsidRPr="001A40CD">
        <w:rPr>
          <w:bCs/>
          <w:kern w:val="22"/>
          <w:sz w:val="22"/>
          <w:szCs w:val="22"/>
          <w:lang w:val="fr-CA"/>
        </w:rPr>
        <w:t xml:space="preserve">, </w:t>
      </w:r>
      <w:r w:rsidR="001A40CD">
        <w:rPr>
          <w:bCs/>
          <w:kern w:val="22"/>
          <w:sz w:val="22"/>
          <w:szCs w:val="22"/>
          <w:lang w:val="fr-CA"/>
        </w:rPr>
        <w:t>la Conférence des Parties</w:t>
      </w:r>
      <w:r w:rsidR="003D5B9A">
        <w:rPr>
          <w:bCs/>
          <w:kern w:val="22"/>
          <w:sz w:val="22"/>
          <w:szCs w:val="22"/>
          <w:lang w:val="fr-CA"/>
        </w:rPr>
        <w:t xml:space="preserve"> a de nouveau reporté l’examen à sa prochaine réunion en demandant </w:t>
      </w:r>
      <w:r w:rsidR="00656C31">
        <w:rPr>
          <w:bCs/>
          <w:kern w:val="22"/>
          <w:sz w:val="22"/>
          <w:szCs w:val="22"/>
          <w:lang w:val="fr-CA"/>
        </w:rPr>
        <w:t>au Secrétaire exécutif</w:t>
      </w:r>
      <w:r w:rsidR="003D5B9A">
        <w:rPr>
          <w:bCs/>
          <w:kern w:val="22"/>
          <w:sz w:val="22"/>
          <w:szCs w:val="22"/>
          <w:lang w:val="fr-CA"/>
        </w:rPr>
        <w:t xml:space="preserve"> de mettre le rapport du quatrième examen de l’efficacité du mécanisme de financement à la disposition des Parties.</w:t>
      </w:r>
    </w:p>
    <w:p w14:paraId="50DF56B1" w14:textId="55AD26EB" w:rsidR="007D0851" w:rsidRPr="00963D25" w:rsidRDefault="00812C6E" w:rsidP="00516B43">
      <w:pPr>
        <w:pStyle w:val="Para1"/>
        <w:numPr>
          <w:ilvl w:val="0"/>
          <w:numId w:val="13"/>
        </w:numPr>
        <w:suppressLineNumbers/>
        <w:tabs>
          <w:tab w:val="num" w:pos="720"/>
        </w:tabs>
        <w:suppressAutoHyphens/>
        <w:spacing w:before="120"/>
        <w:ind w:left="0" w:firstLine="0"/>
        <w:jc w:val="both"/>
        <w:rPr>
          <w:kern w:val="22"/>
          <w:sz w:val="22"/>
          <w:szCs w:val="22"/>
          <w:lang w:val="fr-CA"/>
        </w:rPr>
      </w:pPr>
      <w:r w:rsidRPr="00812C6E">
        <w:rPr>
          <w:bCs/>
          <w:kern w:val="22"/>
          <w:sz w:val="22"/>
          <w:szCs w:val="22"/>
          <w:lang w:val="fr-CA"/>
        </w:rPr>
        <w:t xml:space="preserve">La Conférence des Parties a entamé le cinquième examen de l’efficacité du mécanisme de financement dans sa décision XIII/21. L’application du mandat du cinquième examen était toujours en </w:t>
      </w:r>
      <w:r w:rsidRPr="00812C6E">
        <w:rPr>
          <w:bCs/>
          <w:kern w:val="22"/>
          <w:sz w:val="22"/>
          <w:szCs w:val="22"/>
          <w:lang w:val="fr-CA"/>
        </w:rPr>
        <w:lastRenderedPageBreak/>
        <w:t xml:space="preserve">instance lors de la deuxième </w:t>
      </w:r>
      <w:r w:rsidR="00B05B96">
        <w:rPr>
          <w:bCs/>
          <w:kern w:val="22"/>
          <w:sz w:val="22"/>
          <w:szCs w:val="22"/>
          <w:lang w:val="fr-CA"/>
        </w:rPr>
        <w:t>ré</w:t>
      </w:r>
      <w:r w:rsidRPr="00812C6E">
        <w:rPr>
          <w:bCs/>
          <w:kern w:val="22"/>
          <w:sz w:val="22"/>
          <w:szCs w:val="22"/>
          <w:lang w:val="fr-CA"/>
        </w:rPr>
        <w:t>union de l’Organe subsidiaire chargé de l</w:t>
      </w:r>
      <w:r w:rsidR="007D6D34">
        <w:rPr>
          <w:bCs/>
          <w:kern w:val="22"/>
          <w:sz w:val="22"/>
          <w:szCs w:val="22"/>
          <w:lang w:val="fr-CA"/>
        </w:rPr>
        <w:t>’</w:t>
      </w:r>
      <w:r w:rsidRPr="00812C6E">
        <w:rPr>
          <w:bCs/>
          <w:kern w:val="22"/>
          <w:sz w:val="22"/>
          <w:szCs w:val="22"/>
          <w:lang w:val="fr-CA"/>
        </w:rPr>
        <w:t xml:space="preserve">application. </w:t>
      </w:r>
      <w:r w:rsidRPr="00B05B96">
        <w:rPr>
          <w:bCs/>
          <w:kern w:val="22"/>
          <w:sz w:val="22"/>
          <w:szCs w:val="22"/>
          <w:lang w:val="fr-CA"/>
        </w:rPr>
        <w:t xml:space="preserve">Dans sa </w:t>
      </w:r>
      <w:r w:rsidR="00B05B96">
        <w:rPr>
          <w:bCs/>
          <w:kern w:val="22"/>
          <w:sz w:val="22"/>
          <w:szCs w:val="22"/>
          <w:lang w:val="fr-CA"/>
        </w:rPr>
        <w:t>recomma</w:t>
      </w:r>
      <w:r w:rsidRPr="00B05B96">
        <w:rPr>
          <w:bCs/>
          <w:kern w:val="22"/>
          <w:sz w:val="22"/>
          <w:szCs w:val="22"/>
          <w:lang w:val="fr-CA"/>
        </w:rPr>
        <w:t xml:space="preserve">ndation </w:t>
      </w:r>
      <w:hyperlink r:id="rId21" w:history="1">
        <w:r w:rsidR="007D0851" w:rsidRPr="00B05B96">
          <w:rPr>
            <w:rStyle w:val="Lienhypertexte"/>
            <w:lang w:val="fr-CA"/>
          </w:rPr>
          <w:t>2/7</w:t>
        </w:r>
      </w:hyperlink>
      <w:r w:rsidR="007D0851" w:rsidRPr="00B05B96">
        <w:rPr>
          <w:bCs/>
          <w:kern w:val="22"/>
          <w:sz w:val="22"/>
          <w:szCs w:val="22"/>
          <w:lang w:val="fr-CA"/>
        </w:rPr>
        <w:t xml:space="preserve">, </w:t>
      </w:r>
      <w:r w:rsidR="00B05B96" w:rsidRPr="00B05B96">
        <w:rPr>
          <w:bCs/>
          <w:kern w:val="22"/>
          <w:sz w:val="22"/>
          <w:szCs w:val="22"/>
          <w:lang w:val="fr-CA"/>
        </w:rPr>
        <w:t>l’Organe subsidiaire chargé de l</w:t>
      </w:r>
      <w:r w:rsidR="007D6D34">
        <w:rPr>
          <w:bCs/>
          <w:kern w:val="22"/>
          <w:sz w:val="22"/>
          <w:szCs w:val="22"/>
          <w:lang w:val="fr-CA"/>
        </w:rPr>
        <w:t>’</w:t>
      </w:r>
      <w:r w:rsidR="00B05B96" w:rsidRPr="00B05B96">
        <w:rPr>
          <w:bCs/>
          <w:kern w:val="22"/>
          <w:sz w:val="22"/>
          <w:szCs w:val="22"/>
          <w:lang w:val="fr-CA"/>
        </w:rPr>
        <w:t xml:space="preserve">application </w:t>
      </w:r>
      <w:r w:rsidR="00E5073B">
        <w:rPr>
          <w:bCs/>
          <w:kern w:val="22"/>
          <w:sz w:val="22"/>
          <w:szCs w:val="22"/>
          <w:lang w:val="fr-CA"/>
        </w:rPr>
        <w:t>s’est</w:t>
      </w:r>
      <w:r w:rsidR="00B05B96">
        <w:rPr>
          <w:bCs/>
          <w:kern w:val="22"/>
          <w:sz w:val="22"/>
          <w:szCs w:val="22"/>
          <w:lang w:val="fr-CA"/>
        </w:rPr>
        <w:t xml:space="preserve"> dit </w:t>
      </w:r>
      <w:r w:rsidR="00B5788C">
        <w:rPr>
          <w:bCs/>
          <w:kern w:val="22"/>
          <w:sz w:val="22"/>
          <w:szCs w:val="22"/>
          <w:lang w:val="fr-CA"/>
        </w:rPr>
        <w:t>déçu</w:t>
      </w:r>
      <w:r w:rsidR="00B05B96">
        <w:rPr>
          <w:bCs/>
          <w:kern w:val="22"/>
          <w:sz w:val="22"/>
          <w:szCs w:val="22"/>
          <w:lang w:val="fr-CA"/>
        </w:rPr>
        <w:t xml:space="preserve"> que le cinquième examen de l’efficacité du mécanisme de financement n’ait pas encore eu lieu à cause </w:t>
      </w:r>
      <w:r w:rsidR="00891373">
        <w:rPr>
          <w:bCs/>
          <w:kern w:val="22"/>
          <w:sz w:val="22"/>
          <w:szCs w:val="22"/>
          <w:lang w:val="fr-CA"/>
        </w:rPr>
        <w:t>du manque</w:t>
      </w:r>
      <w:r w:rsidR="00B05B96">
        <w:rPr>
          <w:bCs/>
          <w:kern w:val="22"/>
          <w:sz w:val="22"/>
          <w:szCs w:val="22"/>
          <w:lang w:val="fr-CA"/>
        </w:rPr>
        <w:t xml:space="preserve"> de financement et a invité les Parties et les autres gouvernements, ainsi que les parties prenantes, à exprimer leurs points de vue et à communiquer d’autres informations sur </w:t>
      </w:r>
      <w:r w:rsidR="00891373">
        <w:rPr>
          <w:bCs/>
          <w:kern w:val="22"/>
          <w:sz w:val="22"/>
          <w:szCs w:val="22"/>
          <w:lang w:val="fr-CA"/>
        </w:rPr>
        <w:t xml:space="preserve">le </w:t>
      </w:r>
      <w:r w:rsidR="00220EBF">
        <w:rPr>
          <w:bCs/>
          <w:kern w:val="22"/>
          <w:sz w:val="22"/>
          <w:szCs w:val="22"/>
          <w:lang w:val="fr-CA"/>
        </w:rPr>
        <w:t>sixième bilan général</w:t>
      </w:r>
      <w:r w:rsidR="00E5073B">
        <w:rPr>
          <w:bCs/>
          <w:kern w:val="22"/>
          <w:sz w:val="22"/>
          <w:szCs w:val="22"/>
          <w:lang w:val="fr-CA"/>
        </w:rPr>
        <w:t xml:space="preserve"> du </w:t>
      </w:r>
      <w:r w:rsidR="00891373">
        <w:rPr>
          <w:bCs/>
          <w:kern w:val="22"/>
          <w:sz w:val="22"/>
          <w:szCs w:val="22"/>
          <w:lang w:val="fr-CA"/>
        </w:rPr>
        <w:t>FEM</w:t>
      </w:r>
      <w:r w:rsidR="00E5073B">
        <w:rPr>
          <w:bCs/>
          <w:kern w:val="22"/>
          <w:sz w:val="22"/>
          <w:szCs w:val="22"/>
          <w:lang w:val="fr-CA"/>
        </w:rPr>
        <w:t xml:space="preserve"> réalisé par le Bureau indépendant d’évaluation du </w:t>
      </w:r>
      <w:r w:rsidR="00891373">
        <w:rPr>
          <w:bCs/>
          <w:kern w:val="22"/>
          <w:sz w:val="22"/>
          <w:szCs w:val="22"/>
          <w:lang w:val="fr-CA"/>
        </w:rPr>
        <w:t>FEM</w:t>
      </w:r>
      <w:r w:rsidR="00E5073B">
        <w:rPr>
          <w:bCs/>
          <w:kern w:val="22"/>
          <w:sz w:val="22"/>
          <w:szCs w:val="22"/>
          <w:lang w:val="fr-CA"/>
        </w:rPr>
        <w:t xml:space="preserve"> et un sommaire des résultats de l’évaluation du Bureau indépendant d’évaluation du </w:t>
      </w:r>
      <w:r w:rsidR="00656C31">
        <w:rPr>
          <w:bCs/>
          <w:kern w:val="22"/>
          <w:sz w:val="22"/>
          <w:szCs w:val="22"/>
          <w:lang w:val="fr-CA"/>
        </w:rPr>
        <w:t>FEM</w:t>
      </w:r>
      <w:r w:rsidR="00E5073B">
        <w:rPr>
          <w:bCs/>
          <w:kern w:val="22"/>
          <w:sz w:val="22"/>
          <w:szCs w:val="22"/>
          <w:lang w:val="fr-CA"/>
        </w:rPr>
        <w:t xml:space="preserve"> à la Secrétaire exécutive avant le 15 septembre 2018. </w:t>
      </w:r>
      <w:r w:rsidR="00DD538A">
        <w:rPr>
          <w:bCs/>
          <w:kern w:val="22"/>
          <w:sz w:val="22"/>
          <w:szCs w:val="22"/>
          <w:lang w:val="fr-CA"/>
        </w:rPr>
        <w:t>L’Organe subsidiaire chargé de l</w:t>
      </w:r>
      <w:r w:rsidR="007D6D34">
        <w:rPr>
          <w:bCs/>
          <w:kern w:val="22"/>
          <w:sz w:val="22"/>
          <w:szCs w:val="22"/>
          <w:lang w:val="fr-CA"/>
        </w:rPr>
        <w:t>’</w:t>
      </w:r>
      <w:r w:rsidR="00DD538A">
        <w:rPr>
          <w:bCs/>
          <w:kern w:val="22"/>
          <w:sz w:val="22"/>
          <w:szCs w:val="22"/>
          <w:lang w:val="fr-CA"/>
        </w:rPr>
        <w:t xml:space="preserve">application a demandé à la Secrétaire exécutive de préparer une compilation des </w:t>
      </w:r>
      <w:r w:rsidR="00510F01">
        <w:rPr>
          <w:bCs/>
          <w:kern w:val="22"/>
          <w:sz w:val="22"/>
          <w:szCs w:val="22"/>
          <w:lang w:val="fr-CA"/>
        </w:rPr>
        <w:t>informations reçues</w:t>
      </w:r>
      <w:r w:rsidR="00DD538A">
        <w:rPr>
          <w:bCs/>
          <w:kern w:val="22"/>
          <w:sz w:val="22"/>
          <w:szCs w:val="22"/>
          <w:lang w:val="fr-CA"/>
        </w:rPr>
        <w:t xml:space="preserve"> des Parties, des autres gouvernements et des parties prenantes concernées, ainsi que les informations découlant </w:t>
      </w:r>
      <w:r w:rsidR="00220EBF">
        <w:rPr>
          <w:bCs/>
          <w:kern w:val="22"/>
          <w:sz w:val="22"/>
          <w:szCs w:val="22"/>
          <w:lang w:val="fr-CA"/>
        </w:rPr>
        <w:t xml:space="preserve">du sixième bilan général du FEM </w:t>
      </w:r>
      <w:r w:rsidR="00510F01">
        <w:rPr>
          <w:bCs/>
          <w:kern w:val="22"/>
          <w:sz w:val="22"/>
          <w:szCs w:val="22"/>
          <w:lang w:val="fr-CA"/>
        </w:rPr>
        <w:t>réalisé</w:t>
      </w:r>
      <w:r w:rsidR="00DD538A">
        <w:rPr>
          <w:bCs/>
          <w:kern w:val="22"/>
          <w:sz w:val="22"/>
          <w:szCs w:val="22"/>
          <w:lang w:val="fr-CA"/>
        </w:rPr>
        <w:t xml:space="preserve"> par le Bureau indépendant d’</w:t>
      </w:r>
      <w:r w:rsidR="00510F01">
        <w:rPr>
          <w:bCs/>
          <w:kern w:val="22"/>
          <w:sz w:val="22"/>
          <w:szCs w:val="22"/>
          <w:lang w:val="fr-CA"/>
        </w:rPr>
        <w:t>évaluati</w:t>
      </w:r>
      <w:r w:rsidR="00DD538A">
        <w:rPr>
          <w:bCs/>
          <w:kern w:val="22"/>
          <w:sz w:val="22"/>
          <w:szCs w:val="22"/>
          <w:lang w:val="fr-CA"/>
        </w:rPr>
        <w:t xml:space="preserve">on du </w:t>
      </w:r>
      <w:r w:rsidR="00656C31">
        <w:rPr>
          <w:bCs/>
          <w:kern w:val="22"/>
          <w:sz w:val="22"/>
          <w:szCs w:val="22"/>
          <w:lang w:val="fr-CA"/>
        </w:rPr>
        <w:t>FEM</w:t>
      </w:r>
      <w:r w:rsidR="00DD538A">
        <w:rPr>
          <w:bCs/>
          <w:kern w:val="22"/>
          <w:sz w:val="22"/>
          <w:szCs w:val="22"/>
          <w:lang w:val="fr-CA"/>
        </w:rPr>
        <w:t>, qui constitue la base du cinquième examen de l’efficacité du mécanisme de financement qui se</w:t>
      </w:r>
      <w:r w:rsidR="00510F01">
        <w:rPr>
          <w:bCs/>
          <w:kern w:val="22"/>
          <w:sz w:val="22"/>
          <w:szCs w:val="22"/>
          <w:lang w:val="fr-CA"/>
        </w:rPr>
        <w:t>r</w:t>
      </w:r>
      <w:r w:rsidR="00DD538A">
        <w:rPr>
          <w:bCs/>
          <w:kern w:val="22"/>
          <w:sz w:val="22"/>
          <w:szCs w:val="22"/>
          <w:lang w:val="fr-CA"/>
        </w:rPr>
        <w:t xml:space="preserve">a réalisé par la Conférence des Parties à sa quatorzième réunion. </w:t>
      </w:r>
      <w:r w:rsidR="00510F01">
        <w:rPr>
          <w:bCs/>
          <w:kern w:val="22"/>
          <w:sz w:val="22"/>
          <w:szCs w:val="22"/>
          <w:lang w:val="fr-CA"/>
        </w:rPr>
        <w:t>Le c</w:t>
      </w:r>
      <w:r w:rsidR="00DD538A">
        <w:rPr>
          <w:bCs/>
          <w:kern w:val="22"/>
          <w:sz w:val="22"/>
          <w:szCs w:val="22"/>
          <w:lang w:val="fr-CA"/>
        </w:rPr>
        <w:t>inquième examen de l’efficacité du mécanisme de financement a été mené à terme</w:t>
      </w:r>
      <w:r w:rsidR="00510F01">
        <w:rPr>
          <w:bCs/>
          <w:kern w:val="22"/>
          <w:sz w:val="22"/>
          <w:szCs w:val="22"/>
          <w:lang w:val="fr-CA"/>
        </w:rPr>
        <w:t xml:space="preserve"> comme prévu à la décision 14/23.</w:t>
      </w:r>
    </w:p>
    <w:p w14:paraId="45BED3F5" w14:textId="7711FA3D" w:rsidR="002E006D" w:rsidRPr="00963D25" w:rsidRDefault="00510F01" w:rsidP="00516B43">
      <w:pPr>
        <w:pStyle w:val="Para1"/>
        <w:numPr>
          <w:ilvl w:val="0"/>
          <w:numId w:val="13"/>
        </w:numPr>
        <w:suppressLineNumbers/>
        <w:tabs>
          <w:tab w:val="num" w:pos="720"/>
        </w:tabs>
        <w:suppressAutoHyphens/>
        <w:spacing w:before="120"/>
        <w:ind w:left="0" w:firstLine="0"/>
        <w:jc w:val="both"/>
        <w:rPr>
          <w:kern w:val="22"/>
          <w:sz w:val="22"/>
          <w:szCs w:val="22"/>
          <w:lang w:val="fr-CA"/>
        </w:rPr>
      </w:pPr>
      <w:r>
        <w:rPr>
          <w:bCs/>
          <w:kern w:val="22"/>
          <w:sz w:val="22"/>
          <w:szCs w:val="22"/>
          <w:lang w:val="fr-CA"/>
        </w:rPr>
        <w:t>L’expérience a des incidences sur les arrangements optimaux pour l’exécution du sixième examen (voir la partie E, ci-dessous</w:t>
      </w:r>
      <w:r w:rsidR="002E006D" w:rsidRPr="00963D25">
        <w:rPr>
          <w:bCs/>
          <w:kern w:val="22"/>
          <w:sz w:val="22"/>
          <w:szCs w:val="22"/>
          <w:lang w:val="fr-CA"/>
        </w:rPr>
        <w:t>)</w:t>
      </w:r>
      <w:r>
        <w:rPr>
          <w:bCs/>
          <w:kern w:val="22"/>
          <w:sz w:val="22"/>
          <w:szCs w:val="22"/>
          <w:lang w:val="fr-CA"/>
        </w:rPr>
        <w:t>.</w:t>
      </w:r>
    </w:p>
    <w:p w14:paraId="3D8138FE" w14:textId="3AE32193" w:rsidR="00446745" w:rsidRPr="00963D25" w:rsidRDefault="003A7EAE" w:rsidP="0011729F">
      <w:pPr>
        <w:pStyle w:val="Para1"/>
        <w:suppressLineNumbers/>
        <w:suppressAutoHyphens/>
        <w:spacing w:before="120"/>
        <w:jc w:val="center"/>
        <w:outlineLvl w:val="1"/>
        <w:rPr>
          <w:b/>
          <w:kern w:val="22"/>
          <w:sz w:val="22"/>
          <w:szCs w:val="22"/>
          <w:lang w:val="fr-CA"/>
        </w:rPr>
      </w:pPr>
      <w:r w:rsidRPr="00963D25">
        <w:rPr>
          <w:b/>
          <w:kern w:val="22"/>
          <w:sz w:val="22"/>
          <w:szCs w:val="22"/>
          <w:lang w:val="fr-CA"/>
        </w:rPr>
        <w:t>E.</w:t>
      </w:r>
      <w:r w:rsidRPr="00963D25">
        <w:rPr>
          <w:b/>
          <w:kern w:val="22"/>
          <w:sz w:val="22"/>
          <w:szCs w:val="22"/>
          <w:lang w:val="fr-CA"/>
        </w:rPr>
        <w:tab/>
      </w:r>
      <w:r w:rsidR="00446745" w:rsidRPr="00963D25">
        <w:rPr>
          <w:b/>
          <w:kern w:val="22"/>
          <w:sz w:val="22"/>
          <w:szCs w:val="22"/>
          <w:lang w:val="fr-CA"/>
        </w:rPr>
        <w:t>Conclusions</w:t>
      </w:r>
    </w:p>
    <w:p w14:paraId="2174347A" w14:textId="4D01CD30" w:rsidR="00446745" w:rsidRPr="00963D25" w:rsidRDefault="00220EBF" w:rsidP="00516B43">
      <w:pPr>
        <w:pStyle w:val="Para1"/>
        <w:numPr>
          <w:ilvl w:val="0"/>
          <w:numId w:val="13"/>
        </w:numPr>
        <w:suppressLineNumbers/>
        <w:tabs>
          <w:tab w:val="num" w:pos="720"/>
        </w:tabs>
        <w:suppressAutoHyphens/>
        <w:spacing w:before="120"/>
        <w:ind w:left="0" w:firstLine="0"/>
        <w:jc w:val="both"/>
        <w:rPr>
          <w:kern w:val="22"/>
          <w:sz w:val="22"/>
          <w:szCs w:val="22"/>
          <w:lang w:val="fr-CA"/>
        </w:rPr>
      </w:pPr>
      <w:r>
        <w:rPr>
          <w:kern w:val="22"/>
          <w:sz w:val="22"/>
          <w:szCs w:val="22"/>
          <w:lang w:val="fr-CA"/>
        </w:rPr>
        <w:t>Le</w:t>
      </w:r>
      <w:r w:rsidR="00510F01">
        <w:rPr>
          <w:kern w:val="22"/>
          <w:sz w:val="22"/>
          <w:szCs w:val="22"/>
          <w:lang w:val="fr-CA"/>
        </w:rPr>
        <w:t xml:space="preserve"> projet de mandat du sixième examen de l’efficacité du mécanisme de financement</w:t>
      </w:r>
      <w:r>
        <w:rPr>
          <w:kern w:val="22"/>
          <w:sz w:val="22"/>
          <w:szCs w:val="22"/>
          <w:lang w:val="fr-CA"/>
        </w:rPr>
        <w:t>, qui tient compte de ce qui précède et des suggestions qui y sont faites,</w:t>
      </w:r>
      <w:r w:rsidR="00510F01">
        <w:rPr>
          <w:kern w:val="22"/>
          <w:sz w:val="22"/>
          <w:szCs w:val="22"/>
          <w:lang w:val="fr-CA"/>
        </w:rPr>
        <w:t xml:space="preserve"> est joint en annexe au présent document</w:t>
      </w:r>
      <w:r w:rsidR="00446745" w:rsidRPr="00963D25">
        <w:rPr>
          <w:bCs/>
          <w:kern w:val="22"/>
          <w:sz w:val="22"/>
          <w:szCs w:val="22"/>
          <w:lang w:val="fr-CA"/>
        </w:rPr>
        <w:t>.</w:t>
      </w:r>
    </w:p>
    <w:p w14:paraId="7D4248BB" w14:textId="69A96ED6" w:rsidR="002C5D98" w:rsidRPr="00963D25" w:rsidRDefault="00510F01" w:rsidP="00516B43">
      <w:pPr>
        <w:pStyle w:val="Para1"/>
        <w:numPr>
          <w:ilvl w:val="0"/>
          <w:numId w:val="13"/>
        </w:numPr>
        <w:suppressLineNumbers/>
        <w:tabs>
          <w:tab w:val="num" w:pos="720"/>
        </w:tabs>
        <w:suppressAutoHyphens/>
        <w:spacing w:before="120"/>
        <w:ind w:left="0" w:firstLine="0"/>
        <w:jc w:val="both"/>
        <w:rPr>
          <w:kern w:val="22"/>
          <w:sz w:val="22"/>
          <w:szCs w:val="22"/>
          <w:lang w:val="fr-CA"/>
        </w:rPr>
      </w:pPr>
      <w:r>
        <w:rPr>
          <w:kern w:val="22"/>
          <w:sz w:val="22"/>
          <w:szCs w:val="22"/>
          <w:lang w:val="fr-CA"/>
        </w:rPr>
        <w:t>Deux scénarios sont offerts en ce qui concerne le financement du sixième examen : a) poursuivre la pratique actuelle d’</w:t>
      </w:r>
      <w:r w:rsidR="00F035D6">
        <w:rPr>
          <w:kern w:val="22"/>
          <w:sz w:val="22"/>
          <w:szCs w:val="22"/>
          <w:lang w:val="fr-CA"/>
        </w:rPr>
        <w:t>utiliser des contri</w:t>
      </w:r>
      <w:r>
        <w:rPr>
          <w:kern w:val="22"/>
          <w:sz w:val="22"/>
          <w:szCs w:val="22"/>
          <w:lang w:val="fr-CA"/>
        </w:rPr>
        <w:t>butions volontaires pour un évaluateur indépendant ou 2) intégrer les dépenses prévues d’</w:t>
      </w:r>
      <w:r w:rsidR="00F035D6">
        <w:rPr>
          <w:kern w:val="22"/>
          <w:sz w:val="22"/>
          <w:szCs w:val="22"/>
          <w:lang w:val="fr-CA"/>
        </w:rPr>
        <w:t>une évaluati</w:t>
      </w:r>
      <w:r>
        <w:rPr>
          <w:kern w:val="22"/>
          <w:sz w:val="22"/>
          <w:szCs w:val="22"/>
          <w:lang w:val="fr-CA"/>
        </w:rPr>
        <w:t>on indépendante dans le budget de base du Secrétariat. Le deuxième scénario a l’</w:t>
      </w:r>
      <w:r w:rsidR="00F035D6">
        <w:rPr>
          <w:kern w:val="22"/>
          <w:sz w:val="22"/>
          <w:szCs w:val="22"/>
          <w:lang w:val="fr-CA"/>
        </w:rPr>
        <w:t>avan</w:t>
      </w:r>
      <w:r w:rsidR="009F4613">
        <w:rPr>
          <w:kern w:val="22"/>
          <w:sz w:val="22"/>
          <w:szCs w:val="22"/>
          <w:lang w:val="fr-CA"/>
        </w:rPr>
        <w:t>tage d’être indépendant</w:t>
      </w:r>
      <w:r>
        <w:rPr>
          <w:kern w:val="22"/>
          <w:sz w:val="22"/>
          <w:szCs w:val="22"/>
          <w:lang w:val="fr-CA"/>
        </w:rPr>
        <w:t xml:space="preserve"> </w:t>
      </w:r>
      <w:r w:rsidR="009F4613">
        <w:rPr>
          <w:kern w:val="22"/>
          <w:sz w:val="22"/>
          <w:szCs w:val="22"/>
          <w:lang w:val="fr-CA"/>
        </w:rPr>
        <w:t xml:space="preserve">et de garantir </w:t>
      </w:r>
      <w:r w:rsidR="00504DAA">
        <w:rPr>
          <w:kern w:val="22"/>
          <w:sz w:val="22"/>
          <w:szCs w:val="22"/>
          <w:lang w:val="fr-CA"/>
        </w:rPr>
        <w:t>que l’</w:t>
      </w:r>
      <w:r w:rsidR="00F035D6">
        <w:rPr>
          <w:kern w:val="22"/>
          <w:sz w:val="22"/>
          <w:szCs w:val="22"/>
          <w:lang w:val="fr-CA"/>
        </w:rPr>
        <w:t>exer</w:t>
      </w:r>
      <w:r w:rsidR="00504DAA">
        <w:rPr>
          <w:kern w:val="22"/>
          <w:sz w:val="22"/>
          <w:szCs w:val="22"/>
          <w:lang w:val="fr-CA"/>
        </w:rPr>
        <w:t>cice se déroule</w:t>
      </w:r>
      <w:r w:rsidR="009F4613">
        <w:rPr>
          <w:kern w:val="22"/>
          <w:sz w:val="22"/>
          <w:szCs w:val="22"/>
          <w:lang w:val="fr-CA"/>
        </w:rPr>
        <w:t>ra</w:t>
      </w:r>
      <w:r w:rsidR="00504DAA">
        <w:rPr>
          <w:kern w:val="22"/>
          <w:sz w:val="22"/>
          <w:szCs w:val="22"/>
          <w:lang w:val="fr-CA"/>
        </w:rPr>
        <w:t xml:space="preserve"> comme prévu. De plus, il s’agit </w:t>
      </w:r>
      <w:r w:rsidR="009F4613">
        <w:rPr>
          <w:kern w:val="22"/>
          <w:sz w:val="22"/>
          <w:szCs w:val="22"/>
          <w:lang w:val="fr-CA"/>
        </w:rPr>
        <w:t>d’un coût récurrent et d’un exerc</w:t>
      </w:r>
      <w:r w:rsidR="00504DAA">
        <w:rPr>
          <w:kern w:val="22"/>
          <w:sz w:val="22"/>
          <w:szCs w:val="22"/>
          <w:lang w:val="fr-CA"/>
        </w:rPr>
        <w:t>ice de base devant être mené tous les quatre ans. L’</w:t>
      </w:r>
      <w:r w:rsidR="00F035D6">
        <w:rPr>
          <w:kern w:val="22"/>
          <w:sz w:val="22"/>
          <w:szCs w:val="22"/>
          <w:lang w:val="fr-CA"/>
        </w:rPr>
        <w:t>examen se déroule act</w:t>
      </w:r>
      <w:r w:rsidR="00504DAA">
        <w:rPr>
          <w:kern w:val="22"/>
          <w:sz w:val="22"/>
          <w:szCs w:val="22"/>
          <w:lang w:val="fr-CA"/>
        </w:rPr>
        <w:t xml:space="preserve">uellement en </w:t>
      </w:r>
      <w:r w:rsidR="00F035D6">
        <w:rPr>
          <w:kern w:val="22"/>
          <w:sz w:val="22"/>
          <w:szCs w:val="22"/>
          <w:lang w:val="fr-CA"/>
        </w:rPr>
        <w:t xml:space="preserve">alternance avec </w:t>
      </w:r>
      <w:r w:rsidR="00504DAA">
        <w:rPr>
          <w:kern w:val="22"/>
          <w:sz w:val="22"/>
          <w:szCs w:val="22"/>
          <w:lang w:val="fr-CA"/>
        </w:rPr>
        <w:t>l’évaluation des besoins de finance</w:t>
      </w:r>
      <w:r w:rsidR="00F035D6">
        <w:rPr>
          <w:kern w:val="22"/>
          <w:sz w:val="22"/>
          <w:szCs w:val="22"/>
          <w:lang w:val="fr-CA"/>
        </w:rPr>
        <w:t>ment pour la prochaine reconstit</w:t>
      </w:r>
      <w:r w:rsidR="00504DAA">
        <w:rPr>
          <w:kern w:val="22"/>
          <w:sz w:val="22"/>
          <w:szCs w:val="22"/>
          <w:lang w:val="fr-CA"/>
        </w:rPr>
        <w:t>ution du F</w:t>
      </w:r>
      <w:r w:rsidR="009F4613">
        <w:rPr>
          <w:kern w:val="22"/>
          <w:sz w:val="22"/>
          <w:szCs w:val="22"/>
          <w:lang w:val="fr-CA"/>
        </w:rPr>
        <w:t xml:space="preserve">EM, </w:t>
      </w:r>
      <w:r w:rsidR="00F035D6">
        <w:rPr>
          <w:kern w:val="22"/>
          <w:sz w:val="22"/>
          <w:szCs w:val="22"/>
          <w:lang w:val="fr-CA"/>
        </w:rPr>
        <w:t xml:space="preserve">d’un exercice biennal à l’autre </w:t>
      </w:r>
      <w:r w:rsidR="00504DAA">
        <w:rPr>
          <w:kern w:val="22"/>
          <w:sz w:val="22"/>
          <w:szCs w:val="22"/>
          <w:lang w:val="fr-CA"/>
        </w:rPr>
        <w:t xml:space="preserve">(partie B, ci-dessous). Prévoir un budget pour chacun de ces exercices garantirait </w:t>
      </w:r>
      <w:r w:rsidR="009F4613">
        <w:rPr>
          <w:kern w:val="22"/>
          <w:sz w:val="22"/>
          <w:szCs w:val="22"/>
          <w:lang w:val="fr-CA"/>
        </w:rPr>
        <w:t>l’harmonie budgétaire</w:t>
      </w:r>
      <w:r w:rsidR="00504DAA">
        <w:rPr>
          <w:kern w:val="22"/>
          <w:sz w:val="22"/>
          <w:szCs w:val="22"/>
          <w:lang w:val="fr-CA"/>
        </w:rPr>
        <w:t xml:space="preserve"> d’une période biennale à l’autre</w:t>
      </w:r>
      <w:r w:rsidR="009F4613">
        <w:rPr>
          <w:kern w:val="22"/>
          <w:sz w:val="22"/>
          <w:szCs w:val="22"/>
          <w:lang w:val="fr-CA"/>
        </w:rPr>
        <w:t>.</w:t>
      </w:r>
      <w:r w:rsidR="00F035D6">
        <w:rPr>
          <w:kern w:val="22"/>
          <w:sz w:val="22"/>
          <w:szCs w:val="22"/>
          <w:lang w:val="fr-CA"/>
        </w:rPr>
        <w:t xml:space="preserve"> En ce qui concerne le cinquième examen, le Secrétariat a mené un exercice limité </w:t>
      </w:r>
      <w:r w:rsidR="002C129C">
        <w:rPr>
          <w:kern w:val="22"/>
          <w:sz w:val="22"/>
          <w:szCs w:val="22"/>
          <w:lang w:val="fr-CA"/>
        </w:rPr>
        <w:t>fondé sur les</w:t>
      </w:r>
      <w:r w:rsidR="00F035D6">
        <w:rPr>
          <w:kern w:val="22"/>
          <w:sz w:val="22"/>
          <w:szCs w:val="22"/>
          <w:lang w:val="fr-CA"/>
        </w:rPr>
        <w:t xml:space="preserve"> travaux du Bureau indépendant d’évaluation du FEM en raison de l’absence de ressources dédiées à l’examen</w:t>
      </w:r>
      <w:r w:rsidR="0068690D" w:rsidRPr="00963D25">
        <w:rPr>
          <w:kern w:val="22"/>
          <w:sz w:val="22"/>
          <w:szCs w:val="22"/>
          <w:lang w:val="fr-CA"/>
        </w:rPr>
        <w:t>.</w:t>
      </w:r>
    </w:p>
    <w:p w14:paraId="6767F17C" w14:textId="14ACCE4A" w:rsidR="00777651" w:rsidRPr="002267FD" w:rsidRDefault="003A7EAE" w:rsidP="0011729F">
      <w:pPr>
        <w:pStyle w:val="Titre1"/>
        <w:suppressLineNumbers/>
        <w:tabs>
          <w:tab w:val="clear" w:pos="720"/>
        </w:tabs>
        <w:suppressAutoHyphens/>
        <w:spacing w:before="120" w:line="235" w:lineRule="auto"/>
        <w:ind w:left="1135" w:hanging="709"/>
        <w:jc w:val="left"/>
        <w:rPr>
          <w:iCs/>
          <w:snapToGrid w:val="0"/>
          <w:kern w:val="22"/>
          <w:sz w:val="22"/>
          <w:szCs w:val="22"/>
          <w:lang w:val="fr-CA"/>
        </w:rPr>
      </w:pPr>
      <w:r w:rsidRPr="00504DAA">
        <w:rPr>
          <w:iCs/>
          <w:snapToGrid w:val="0"/>
          <w:kern w:val="22"/>
          <w:sz w:val="22"/>
          <w:szCs w:val="22"/>
          <w:lang w:val="fr-CA"/>
        </w:rPr>
        <w:t>III</w:t>
      </w:r>
      <w:r w:rsidR="00DD18CB" w:rsidRPr="00504DAA">
        <w:rPr>
          <w:iCs/>
          <w:snapToGrid w:val="0"/>
          <w:kern w:val="22"/>
          <w:sz w:val="22"/>
          <w:szCs w:val="22"/>
          <w:lang w:val="fr-CA"/>
        </w:rPr>
        <w:t>.</w:t>
      </w:r>
      <w:r w:rsidR="00E373A1" w:rsidRPr="00504DAA">
        <w:rPr>
          <w:iCs/>
          <w:snapToGrid w:val="0"/>
          <w:kern w:val="22"/>
          <w:sz w:val="22"/>
          <w:szCs w:val="22"/>
          <w:lang w:val="fr-CA"/>
        </w:rPr>
        <w:tab/>
      </w:r>
      <w:r w:rsidR="002267FD">
        <w:rPr>
          <w:iCs/>
          <w:snapToGrid w:val="0"/>
          <w:kern w:val="22"/>
          <w:sz w:val="22"/>
          <w:szCs w:val="22"/>
          <w:lang w:val="fr-CA"/>
        </w:rPr>
        <w:t xml:space="preserve">Estimation </w:t>
      </w:r>
      <w:r w:rsidR="007D6D34">
        <w:rPr>
          <w:iCs/>
          <w:snapToGrid w:val="0"/>
          <w:kern w:val="22"/>
          <w:sz w:val="22"/>
          <w:szCs w:val="22"/>
          <w:lang w:val="fr-CA"/>
        </w:rPr>
        <w:t>D</w:t>
      </w:r>
      <w:r w:rsidR="002267FD">
        <w:rPr>
          <w:iCs/>
          <w:snapToGrid w:val="0"/>
          <w:kern w:val="22"/>
          <w:sz w:val="22"/>
          <w:szCs w:val="22"/>
          <w:lang w:val="fr-CA"/>
        </w:rPr>
        <w:t xml:space="preserve">u financement et des investissements nécessaires au cours de la huitième période de reconstitution des ressources </w:t>
      </w:r>
      <w:r w:rsidR="002C129C">
        <w:rPr>
          <w:iCs/>
          <w:snapToGrid w:val="0"/>
          <w:kern w:val="22"/>
          <w:sz w:val="22"/>
          <w:szCs w:val="22"/>
          <w:lang w:val="fr-CA"/>
        </w:rPr>
        <w:t xml:space="preserve">DE LA CAISSE </w:t>
      </w:r>
      <w:r w:rsidR="002267FD">
        <w:rPr>
          <w:iCs/>
          <w:snapToGrid w:val="0"/>
          <w:kern w:val="22"/>
          <w:sz w:val="22"/>
          <w:szCs w:val="22"/>
          <w:lang w:val="fr-CA"/>
        </w:rPr>
        <w:t xml:space="preserve">du fonds pour l’environnement </w:t>
      </w:r>
      <w:r w:rsidR="00B5788C">
        <w:rPr>
          <w:iCs/>
          <w:snapToGrid w:val="0"/>
          <w:kern w:val="22"/>
          <w:sz w:val="22"/>
          <w:szCs w:val="22"/>
          <w:lang w:val="fr-CA"/>
        </w:rPr>
        <w:t>mondial</w:t>
      </w:r>
    </w:p>
    <w:p w14:paraId="0A851730" w14:textId="6B3B948F" w:rsidR="007D0851" w:rsidRPr="00F035D6" w:rsidRDefault="002267FD" w:rsidP="00516B43">
      <w:pPr>
        <w:pStyle w:val="Para1"/>
        <w:numPr>
          <w:ilvl w:val="0"/>
          <w:numId w:val="13"/>
        </w:numPr>
        <w:suppressLineNumbers/>
        <w:tabs>
          <w:tab w:val="num" w:pos="720"/>
        </w:tabs>
        <w:suppressAutoHyphens/>
        <w:spacing w:before="120"/>
        <w:ind w:left="0" w:firstLine="0"/>
        <w:jc w:val="both"/>
        <w:rPr>
          <w:bCs/>
          <w:kern w:val="22"/>
          <w:sz w:val="22"/>
          <w:szCs w:val="22"/>
          <w:lang w:val="fr-CA"/>
        </w:rPr>
      </w:pPr>
      <w:r>
        <w:rPr>
          <w:bCs/>
          <w:kern w:val="22"/>
          <w:sz w:val="22"/>
          <w:szCs w:val="22"/>
          <w:lang w:val="fr-CA"/>
        </w:rPr>
        <w:t>Dans sa décision 14/23, la Conférence des Parties a adopté le mandat d’une évaluation complète des sommes requises pour l’</w:t>
      </w:r>
      <w:r w:rsidR="00F63033">
        <w:rPr>
          <w:bCs/>
          <w:kern w:val="22"/>
          <w:sz w:val="22"/>
          <w:szCs w:val="22"/>
          <w:lang w:val="fr-CA"/>
        </w:rPr>
        <w:t>applicati</w:t>
      </w:r>
      <w:r>
        <w:rPr>
          <w:bCs/>
          <w:kern w:val="22"/>
          <w:sz w:val="22"/>
          <w:szCs w:val="22"/>
          <w:lang w:val="fr-CA"/>
        </w:rPr>
        <w:t xml:space="preserve">on de la Convention et de ses Protocoles </w:t>
      </w:r>
      <w:r w:rsidR="002C129C">
        <w:rPr>
          <w:bCs/>
          <w:kern w:val="22"/>
          <w:sz w:val="22"/>
          <w:szCs w:val="22"/>
          <w:lang w:val="fr-CA"/>
        </w:rPr>
        <w:t>pour</w:t>
      </w:r>
      <w:r>
        <w:rPr>
          <w:bCs/>
          <w:kern w:val="22"/>
          <w:sz w:val="22"/>
          <w:szCs w:val="22"/>
          <w:lang w:val="fr-CA"/>
        </w:rPr>
        <w:t xml:space="preserve"> cours de la huitième période de reconstitution </w:t>
      </w:r>
      <w:r w:rsidR="00DE48E1">
        <w:rPr>
          <w:bCs/>
          <w:kern w:val="22"/>
          <w:sz w:val="22"/>
          <w:szCs w:val="22"/>
          <w:lang w:val="fr-CA"/>
        </w:rPr>
        <w:t xml:space="preserve">des ressources </w:t>
      </w:r>
      <w:r>
        <w:rPr>
          <w:bCs/>
          <w:kern w:val="22"/>
          <w:sz w:val="22"/>
          <w:szCs w:val="22"/>
          <w:lang w:val="fr-CA"/>
        </w:rPr>
        <w:t xml:space="preserve">de la Caisse du </w:t>
      </w:r>
      <w:r w:rsidR="002C129C">
        <w:rPr>
          <w:bCs/>
          <w:kern w:val="22"/>
          <w:sz w:val="22"/>
          <w:szCs w:val="22"/>
          <w:lang w:val="fr-CA"/>
        </w:rPr>
        <w:t>FEM</w:t>
      </w:r>
      <w:r>
        <w:rPr>
          <w:bCs/>
          <w:kern w:val="22"/>
          <w:sz w:val="22"/>
          <w:szCs w:val="22"/>
          <w:lang w:val="fr-CA"/>
        </w:rPr>
        <w:t xml:space="preserve">. La Conférence des Parties a invité les Parties concernées à communiquer à la Secrétaire exécutive leurs estimations du financement et des investissements nécessaires </w:t>
      </w:r>
      <w:r w:rsidR="00AC1774">
        <w:rPr>
          <w:bCs/>
          <w:kern w:val="22"/>
          <w:sz w:val="22"/>
          <w:szCs w:val="22"/>
          <w:lang w:val="fr-CA"/>
        </w:rPr>
        <w:t>pour le mécani</w:t>
      </w:r>
      <w:r w:rsidR="00F63033">
        <w:rPr>
          <w:bCs/>
          <w:kern w:val="22"/>
          <w:sz w:val="22"/>
          <w:szCs w:val="22"/>
          <w:lang w:val="fr-CA"/>
        </w:rPr>
        <w:t>sme de financement pour la troi</w:t>
      </w:r>
      <w:r w:rsidR="00AC1774">
        <w:rPr>
          <w:bCs/>
          <w:kern w:val="22"/>
          <w:sz w:val="22"/>
          <w:szCs w:val="22"/>
          <w:lang w:val="fr-CA"/>
        </w:rPr>
        <w:t>sième détermination</w:t>
      </w:r>
      <w:r w:rsidR="00F63033">
        <w:rPr>
          <w:bCs/>
          <w:kern w:val="22"/>
          <w:sz w:val="22"/>
          <w:szCs w:val="22"/>
          <w:lang w:val="fr-CA"/>
        </w:rPr>
        <w:t xml:space="preserve"> </w:t>
      </w:r>
      <w:r w:rsidR="00AC1774">
        <w:rPr>
          <w:bCs/>
          <w:kern w:val="22"/>
          <w:sz w:val="22"/>
          <w:szCs w:val="22"/>
          <w:lang w:val="fr-CA"/>
        </w:rPr>
        <w:t xml:space="preserve">des exigences de financement et d’investissement par la Conférence des Parties à sa quinzième réunion en lien avec la huitième période de reconstitution des ressources de la Caisse du </w:t>
      </w:r>
      <w:r w:rsidR="002C129C">
        <w:rPr>
          <w:bCs/>
          <w:kern w:val="22"/>
          <w:sz w:val="22"/>
          <w:szCs w:val="22"/>
          <w:lang w:val="fr-CA"/>
        </w:rPr>
        <w:t>FEM</w:t>
      </w:r>
      <w:r w:rsidR="00AC1774">
        <w:rPr>
          <w:bCs/>
          <w:kern w:val="22"/>
          <w:sz w:val="22"/>
          <w:szCs w:val="22"/>
          <w:lang w:val="fr-CA"/>
        </w:rPr>
        <w:t xml:space="preserve">, et a demandé </w:t>
      </w:r>
      <w:r w:rsidR="00F63033">
        <w:rPr>
          <w:bCs/>
          <w:kern w:val="22"/>
          <w:sz w:val="22"/>
          <w:szCs w:val="22"/>
          <w:lang w:val="fr-CA"/>
        </w:rPr>
        <w:t xml:space="preserve">à </w:t>
      </w:r>
      <w:r w:rsidR="00AC1774">
        <w:rPr>
          <w:bCs/>
          <w:kern w:val="22"/>
          <w:sz w:val="22"/>
          <w:szCs w:val="22"/>
          <w:lang w:val="fr-CA"/>
        </w:rPr>
        <w:t>la Secrétaire exécutive, en collaboration avec l’équipe d’experts, de préparer une compilation des estimations d</w:t>
      </w:r>
      <w:r w:rsidR="00F63033">
        <w:rPr>
          <w:bCs/>
          <w:kern w:val="22"/>
          <w:sz w:val="22"/>
          <w:szCs w:val="22"/>
          <w:lang w:val="fr-CA"/>
        </w:rPr>
        <w:t>u financement et des investisse</w:t>
      </w:r>
      <w:r w:rsidR="00AC1774">
        <w:rPr>
          <w:bCs/>
          <w:kern w:val="22"/>
          <w:sz w:val="22"/>
          <w:szCs w:val="22"/>
          <w:lang w:val="fr-CA"/>
        </w:rPr>
        <w:t>m</w:t>
      </w:r>
      <w:r w:rsidR="00F63033">
        <w:rPr>
          <w:bCs/>
          <w:kern w:val="22"/>
          <w:sz w:val="22"/>
          <w:szCs w:val="22"/>
          <w:lang w:val="fr-CA"/>
        </w:rPr>
        <w:t>ents</w:t>
      </w:r>
      <w:r w:rsidR="00AC1774">
        <w:rPr>
          <w:bCs/>
          <w:kern w:val="22"/>
          <w:sz w:val="22"/>
          <w:szCs w:val="22"/>
          <w:lang w:val="fr-CA"/>
        </w:rPr>
        <w:t xml:space="preserve"> nécessaires proposés par les Parties, en se fondant et en pe</w:t>
      </w:r>
      <w:r w:rsidR="00F63033">
        <w:rPr>
          <w:bCs/>
          <w:kern w:val="22"/>
          <w:sz w:val="22"/>
          <w:szCs w:val="22"/>
          <w:lang w:val="fr-CA"/>
        </w:rPr>
        <w:t>a</w:t>
      </w:r>
      <w:r w:rsidR="00AC1774">
        <w:rPr>
          <w:bCs/>
          <w:kern w:val="22"/>
          <w:sz w:val="22"/>
          <w:szCs w:val="22"/>
          <w:lang w:val="fr-CA"/>
        </w:rPr>
        <w:t>uf</w:t>
      </w:r>
      <w:r w:rsidR="00F63033">
        <w:rPr>
          <w:bCs/>
          <w:kern w:val="22"/>
          <w:sz w:val="22"/>
          <w:szCs w:val="22"/>
          <w:lang w:val="fr-CA"/>
        </w:rPr>
        <w:t>i</w:t>
      </w:r>
      <w:r w:rsidR="00AC1774">
        <w:rPr>
          <w:bCs/>
          <w:kern w:val="22"/>
          <w:sz w:val="22"/>
          <w:szCs w:val="22"/>
          <w:lang w:val="fr-CA"/>
        </w:rPr>
        <w:t>nant la méthodologie et les trois scénarios utilisés lors de la deuxième détermination des besoins de financement, pour examen par l’Organe subsidiaire chargé de l</w:t>
      </w:r>
      <w:r w:rsidR="007D6D34">
        <w:rPr>
          <w:bCs/>
          <w:kern w:val="22"/>
          <w:sz w:val="22"/>
          <w:szCs w:val="22"/>
          <w:lang w:val="fr-CA"/>
        </w:rPr>
        <w:t>’</w:t>
      </w:r>
      <w:r w:rsidR="00AC1774">
        <w:rPr>
          <w:bCs/>
          <w:kern w:val="22"/>
          <w:sz w:val="22"/>
          <w:szCs w:val="22"/>
          <w:lang w:val="fr-CA"/>
        </w:rPr>
        <w:t>application à sa troisi</w:t>
      </w:r>
      <w:r w:rsidR="00F63033">
        <w:rPr>
          <w:bCs/>
          <w:kern w:val="22"/>
          <w:sz w:val="22"/>
          <w:szCs w:val="22"/>
          <w:lang w:val="fr-CA"/>
        </w:rPr>
        <w:t xml:space="preserve">ème réunion, afin d’informer la Conférence des Parties, à sa quinzième réunion, des besoins de financement pour la troisième détermination, avant la huitième période de reconstitution des ressources de la Caisse du </w:t>
      </w:r>
      <w:r w:rsidR="002C129C">
        <w:rPr>
          <w:bCs/>
          <w:kern w:val="22"/>
          <w:sz w:val="22"/>
          <w:szCs w:val="22"/>
          <w:lang w:val="fr-CA"/>
        </w:rPr>
        <w:t>FEM</w:t>
      </w:r>
      <w:r w:rsidR="007D0851" w:rsidRPr="00F035D6">
        <w:rPr>
          <w:bCs/>
          <w:kern w:val="22"/>
          <w:sz w:val="22"/>
          <w:szCs w:val="22"/>
          <w:lang w:val="fr-CA"/>
        </w:rPr>
        <w:t>.</w:t>
      </w:r>
    </w:p>
    <w:p w14:paraId="2ED754BF" w14:textId="6AA3DE95" w:rsidR="007D0851" w:rsidRPr="00F035D6" w:rsidRDefault="001F1DE6" w:rsidP="00516B43">
      <w:pPr>
        <w:pStyle w:val="Para1"/>
        <w:numPr>
          <w:ilvl w:val="0"/>
          <w:numId w:val="13"/>
        </w:numPr>
        <w:suppressLineNumbers/>
        <w:tabs>
          <w:tab w:val="num" w:pos="720"/>
        </w:tabs>
        <w:suppressAutoHyphens/>
        <w:spacing w:before="120"/>
        <w:ind w:left="0" w:firstLine="0"/>
        <w:jc w:val="both"/>
        <w:rPr>
          <w:bCs/>
          <w:kern w:val="22"/>
          <w:sz w:val="22"/>
          <w:szCs w:val="22"/>
          <w:lang w:val="fr-CA"/>
        </w:rPr>
      </w:pPr>
      <w:r>
        <w:rPr>
          <w:bCs/>
          <w:kern w:val="22"/>
          <w:sz w:val="22"/>
          <w:szCs w:val="22"/>
          <w:lang w:val="fr-CA"/>
        </w:rPr>
        <w:t>Comme indiqué dans la notification du 18 février 2020 (notification 2020-</w:t>
      </w:r>
      <w:r w:rsidR="007D6D34">
        <w:rPr>
          <w:bCs/>
          <w:kern w:val="22"/>
          <w:sz w:val="22"/>
          <w:szCs w:val="22"/>
          <w:lang w:val="fr-CA"/>
        </w:rPr>
        <w:t>2</w:t>
      </w:r>
      <w:r>
        <w:rPr>
          <w:bCs/>
          <w:kern w:val="22"/>
          <w:sz w:val="22"/>
          <w:szCs w:val="22"/>
          <w:lang w:val="fr-CA"/>
        </w:rPr>
        <w:t xml:space="preserve">021), le Secrétariat a retenu les services d’une équipe de trois experts dans le cadre d’un processus concurrentiel conforme aux </w:t>
      </w:r>
      <w:r>
        <w:rPr>
          <w:bCs/>
          <w:kern w:val="22"/>
          <w:sz w:val="22"/>
          <w:szCs w:val="22"/>
          <w:lang w:val="fr-CA"/>
        </w:rPr>
        <w:lastRenderedPageBreak/>
        <w:t>règles des Nations Unies et au mandat de l’évaluation adopté par la Conférence des Par</w:t>
      </w:r>
      <w:r w:rsidR="00C02FED">
        <w:rPr>
          <w:bCs/>
          <w:kern w:val="22"/>
          <w:sz w:val="22"/>
          <w:szCs w:val="22"/>
          <w:lang w:val="fr-CA"/>
        </w:rPr>
        <w:t>ties dans sa décision 14/23. L’é</w:t>
      </w:r>
      <w:r>
        <w:rPr>
          <w:bCs/>
          <w:kern w:val="22"/>
          <w:sz w:val="22"/>
          <w:szCs w:val="22"/>
          <w:lang w:val="fr-CA"/>
        </w:rPr>
        <w:t xml:space="preserve">valuation des besoins de financement </w:t>
      </w:r>
      <w:r w:rsidR="00C02FED">
        <w:rPr>
          <w:bCs/>
          <w:kern w:val="22"/>
          <w:sz w:val="22"/>
          <w:szCs w:val="22"/>
          <w:lang w:val="fr-CA"/>
        </w:rPr>
        <w:t>de la huitième reconstitution du FEM</w:t>
      </w:r>
      <w:r>
        <w:rPr>
          <w:bCs/>
          <w:kern w:val="22"/>
          <w:sz w:val="22"/>
          <w:szCs w:val="22"/>
          <w:lang w:val="fr-CA"/>
        </w:rPr>
        <w:t xml:space="preserve"> a reçu le soutien d’une généreuse contribution financière du gouvernement de la Suède et de l’Union européenne. Le site Web de la Convention fournit plus d’informations sur l’équipe d’experts, le questionnaire conçu par l’équipe d’experts et l’orientation sur la façon de le remplir</w:t>
      </w:r>
      <w:r w:rsidR="007D0851" w:rsidRPr="00F035D6">
        <w:rPr>
          <w:bCs/>
          <w:kern w:val="22"/>
          <w:sz w:val="22"/>
          <w:szCs w:val="22"/>
          <w:lang w:val="fr-CA"/>
        </w:rPr>
        <w:t>.</w:t>
      </w:r>
      <w:r w:rsidR="00CE65F7" w:rsidRPr="00F035D6">
        <w:rPr>
          <w:bCs/>
          <w:kern w:val="22"/>
          <w:sz w:val="22"/>
          <w:szCs w:val="22"/>
          <w:vertAlign w:val="superscript"/>
          <w:lang w:val="fr-CA"/>
        </w:rPr>
        <w:footnoteReference w:id="3"/>
      </w:r>
    </w:p>
    <w:p w14:paraId="4FE030B6" w14:textId="0170AB4C" w:rsidR="007014ED" w:rsidRPr="00F035D6" w:rsidRDefault="00083A26" w:rsidP="00516B43">
      <w:pPr>
        <w:pStyle w:val="Para1"/>
        <w:numPr>
          <w:ilvl w:val="0"/>
          <w:numId w:val="13"/>
        </w:numPr>
        <w:suppressLineNumbers/>
        <w:tabs>
          <w:tab w:val="num" w:pos="720"/>
        </w:tabs>
        <w:suppressAutoHyphens/>
        <w:spacing w:before="120"/>
        <w:ind w:left="0" w:firstLine="0"/>
        <w:jc w:val="both"/>
        <w:rPr>
          <w:bCs/>
          <w:kern w:val="22"/>
          <w:sz w:val="22"/>
          <w:szCs w:val="22"/>
          <w:lang w:val="fr-CA"/>
        </w:rPr>
      </w:pPr>
      <w:r>
        <w:rPr>
          <w:bCs/>
          <w:kern w:val="22"/>
          <w:sz w:val="22"/>
          <w:szCs w:val="22"/>
          <w:lang w:val="fr-CA"/>
        </w:rPr>
        <w:t xml:space="preserve">Le rapport intérimaire </w:t>
      </w:r>
      <w:r w:rsidR="00C02FED">
        <w:rPr>
          <w:bCs/>
          <w:kern w:val="22"/>
          <w:sz w:val="22"/>
          <w:szCs w:val="22"/>
          <w:lang w:val="fr-CA"/>
        </w:rPr>
        <w:t>de</w:t>
      </w:r>
      <w:r>
        <w:rPr>
          <w:bCs/>
          <w:kern w:val="22"/>
          <w:sz w:val="22"/>
          <w:szCs w:val="22"/>
          <w:lang w:val="fr-CA"/>
        </w:rPr>
        <w:t xml:space="preserve"> l’évaluation complète du financement nécessaire et disponible pour l’application de la Convention et de ses </w:t>
      </w:r>
      <w:r w:rsidRPr="000B2998">
        <w:rPr>
          <w:bCs/>
          <w:kern w:val="22"/>
          <w:sz w:val="22"/>
          <w:szCs w:val="22"/>
          <w:lang w:val="fr-CA"/>
        </w:rPr>
        <w:t xml:space="preserve">Protocoles pour la huitième période de reconstitution des ressources </w:t>
      </w:r>
      <w:r w:rsidR="00C02FED" w:rsidRPr="000B2998">
        <w:rPr>
          <w:bCs/>
          <w:kern w:val="22"/>
          <w:sz w:val="22"/>
          <w:szCs w:val="22"/>
          <w:lang w:val="fr-CA"/>
        </w:rPr>
        <w:t xml:space="preserve">de la Caisse </w:t>
      </w:r>
      <w:r w:rsidRPr="000B2998">
        <w:rPr>
          <w:bCs/>
          <w:kern w:val="22"/>
          <w:sz w:val="22"/>
          <w:szCs w:val="22"/>
          <w:lang w:val="fr-CA"/>
        </w:rPr>
        <w:t xml:space="preserve">du </w:t>
      </w:r>
      <w:r w:rsidR="00C02FED" w:rsidRPr="000B2998">
        <w:rPr>
          <w:bCs/>
          <w:kern w:val="22"/>
          <w:sz w:val="22"/>
          <w:szCs w:val="22"/>
          <w:lang w:val="fr-CA"/>
        </w:rPr>
        <w:t xml:space="preserve">FEM </w:t>
      </w:r>
      <w:r w:rsidRPr="000B2998">
        <w:rPr>
          <w:bCs/>
          <w:kern w:val="22"/>
          <w:sz w:val="22"/>
          <w:szCs w:val="22"/>
          <w:lang w:val="fr-CA"/>
        </w:rPr>
        <w:t>(juillet 2022 à juin 2026), préparé par les experts retenus, est présenté dans le document d’information CBD/SBI</w:t>
      </w:r>
      <w:r w:rsidR="007D6D34">
        <w:rPr>
          <w:bCs/>
          <w:kern w:val="22"/>
          <w:sz w:val="22"/>
          <w:szCs w:val="22"/>
          <w:lang w:val="fr-CA"/>
        </w:rPr>
        <w:t>/</w:t>
      </w:r>
      <w:r w:rsidRPr="000B2998">
        <w:rPr>
          <w:bCs/>
          <w:kern w:val="22"/>
          <w:sz w:val="22"/>
          <w:szCs w:val="22"/>
          <w:lang w:val="fr-CA"/>
        </w:rPr>
        <w:t xml:space="preserve">3/INF/24 et </w:t>
      </w:r>
      <w:r w:rsidR="000B2998" w:rsidRPr="000B2998">
        <w:rPr>
          <w:bCs/>
          <w:kern w:val="22"/>
          <w:sz w:val="22"/>
          <w:szCs w:val="22"/>
          <w:lang w:val="fr-CA"/>
        </w:rPr>
        <w:t>en version abrégée</w:t>
      </w:r>
      <w:r w:rsidRPr="000B2998">
        <w:rPr>
          <w:bCs/>
          <w:kern w:val="22"/>
          <w:sz w:val="22"/>
          <w:szCs w:val="22"/>
          <w:lang w:val="fr-CA"/>
        </w:rPr>
        <w:t xml:space="preserve"> dans le document CBD/SBI/3/6/Add.1</w:t>
      </w:r>
      <w:r w:rsidR="00E2242E" w:rsidRPr="000B2998">
        <w:rPr>
          <w:bCs/>
          <w:kern w:val="22"/>
          <w:sz w:val="22"/>
          <w:szCs w:val="22"/>
          <w:lang w:val="fr-CA"/>
        </w:rPr>
        <w:t>. Dans sa préparation du rapport, l’équipe d’experts a évalué les dimensions financières d</w:t>
      </w:r>
      <w:r w:rsidR="00020EEC" w:rsidRPr="000B2998">
        <w:rPr>
          <w:bCs/>
          <w:kern w:val="22"/>
          <w:sz w:val="22"/>
          <w:szCs w:val="22"/>
          <w:lang w:val="fr-CA"/>
        </w:rPr>
        <w:t>es r</w:t>
      </w:r>
      <w:r w:rsidR="00E2242E" w:rsidRPr="000B2998">
        <w:rPr>
          <w:bCs/>
          <w:kern w:val="22"/>
          <w:sz w:val="22"/>
          <w:szCs w:val="22"/>
          <w:lang w:val="fr-CA"/>
        </w:rPr>
        <w:t>apports nation</w:t>
      </w:r>
      <w:r w:rsidR="00020EEC" w:rsidRPr="000B2998">
        <w:rPr>
          <w:bCs/>
          <w:kern w:val="22"/>
          <w:sz w:val="22"/>
          <w:szCs w:val="22"/>
          <w:lang w:val="fr-CA"/>
        </w:rPr>
        <w:t>aux au titre de la Convention, l</w:t>
      </w:r>
      <w:r w:rsidR="00E2242E" w:rsidRPr="000B2998">
        <w:rPr>
          <w:bCs/>
          <w:kern w:val="22"/>
          <w:sz w:val="22"/>
          <w:szCs w:val="22"/>
          <w:lang w:val="fr-CA"/>
        </w:rPr>
        <w:t>es stratégies et plans d’action nationaux pour la bi</w:t>
      </w:r>
      <w:r w:rsidR="00020EEC" w:rsidRPr="000B2998">
        <w:rPr>
          <w:bCs/>
          <w:kern w:val="22"/>
          <w:sz w:val="22"/>
          <w:szCs w:val="22"/>
          <w:lang w:val="fr-CA"/>
        </w:rPr>
        <w:t>o</w:t>
      </w:r>
      <w:r w:rsidR="00E2242E" w:rsidRPr="000B2998">
        <w:rPr>
          <w:bCs/>
          <w:kern w:val="22"/>
          <w:sz w:val="22"/>
          <w:szCs w:val="22"/>
          <w:lang w:val="fr-CA"/>
        </w:rPr>
        <w:t>diversité, le cadre d’établissement des rapports financiers, BIOFIN et autres rapports mondiaux.</w:t>
      </w:r>
      <w:r w:rsidR="00020EEC" w:rsidRPr="000B2998">
        <w:rPr>
          <w:bCs/>
          <w:kern w:val="22"/>
          <w:sz w:val="22"/>
          <w:szCs w:val="22"/>
          <w:lang w:val="fr-CA"/>
        </w:rPr>
        <w:t xml:space="preserve"> Dix pour cent seulement des pays bénéficiaires ont répondu au questionnaire et fourni des données sur 66 projets potentiels, à savoir l’Algérie, la République centrafricaine, les Comores, le Madagascar, le Sénégal, le Togo, l’Arménie, le Belarus, la Géorgie, l’Iraq, la Mongolie, le Myanmar, les Bahamas, le Costa Rica et le Mexique.</w:t>
      </w:r>
    </w:p>
    <w:p w14:paraId="69DF3BD6" w14:textId="05F8AB0C" w:rsidR="00507D6C" w:rsidRPr="00F035D6" w:rsidRDefault="004E16C3" w:rsidP="00516B43">
      <w:pPr>
        <w:pStyle w:val="Para1"/>
        <w:numPr>
          <w:ilvl w:val="0"/>
          <w:numId w:val="13"/>
        </w:numPr>
        <w:suppressLineNumbers/>
        <w:tabs>
          <w:tab w:val="num" w:pos="720"/>
        </w:tabs>
        <w:suppressAutoHyphens/>
        <w:spacing w:before="120"/>
        <w:ind w:left="0" w:firstLine="0"/>
        <w:jc w:val="both"/>
        <w:rPr>
          <w:bCs/>
          <w:kern w:val="22"/>
          <w:sz w:val="22"/>
          <w:szCs w:val="22"/>
          <w:lang w:val="fr-CA"/>
        </w:rPr>
      </w:pPr>
      <w:r>
        <w:rPr>
          <w:bCs/>
          <w:kern w:val="22"/>
          <w:sz w:val="22"/>
          <w:szCs w:val="22"/>
          <w:lang w:val="fr-CA"/>
        </w:rPr>
        <w:t>Compte tenu de ce qui précède, le Secrétariat distribuera de nouveau le questionnaire, soutiendra davantage les efforts de l’équipe d’experts pour augmenter le taux de réponse et collaborera avec l’équipe à préparer la compilation des estimations des besoins de financement et d’</w:t>
      </w:r>
      <w:r w:rsidR="00AF63E0">
        <w:rPr>
          <w:bCs/>
          <w:kern w:val="22"/>
          <w:sz w:val="22"/>
          <w:szCs w:val="22"/>
          <w:lang w:val="fr-CA"/>
        </w:rPr>
        <w:t>investisse</w:t>
      </w:r>
      <w:r>
        <w:rPr>
          <w:bCs/>
          <w:kern w:val="22"/>
          <w:sz w:val="22"/>
          <w:szCs w:val="22"/>
          <w:lang w:val="fr-CA"/>
        </w:rPr>
        <w:t>m</w:t>
      </w:r>
      <w:r w:rsidR="00AF63E0">
        <w:rPr>
          <w:bCs/>
          <w:kern w:val="22"/>
          <w:sz w:val="22"/>
          <w:szCs w:val="22"/>
          <w:lang w:val="fr-CA"/>
        </w:rPr>
        <w:t>ents</w:t>
      </w:r>
      <w:r>
        <w:rPr>
          <w:bCs/>
          <w:kern w:val="22"/>
          <w:sz w:val="22"/>
          <w:szCs w:val="22"/>
          <w:lang w:val="fr-CA"/>
        </w:rPr>
        <w:t xml:space="preserve"> proposés </w:t>
      </w:r>
      <w:r w:rsidR="00AF63E0">
        <w:rPr>
          <w:bCs/>
          <w:kern w:val="22"/>
          <w:sz w:val="22"/>
          <w:szCs w:val="22"/>
          <w:lang w:val="fr-CA"/>
        </w:rPr>
        <w:t xml:space="preserve">par les Parties concernées, et </w:t>
      </w:r>
      <w:r w:rsidR="000B2998">
        <w:rPr>
          <w:bCs/>
          <w:kern w:val="22"/>
          <w:sz w:val="22"/>
          <w:szCs w:val="22"/>
          <w:lang w:val="fr-CA"/>
        </w:rPr>
        <w:t xml:space="preserve">à </w:t>
      </w:r>
      <w:r w:rsidR="00AF63E0">
        <w:rPr>
          <w:bCs/>
          <w:kern w:val="22"/>
          <w:sz w:val="22"/>
          <w:szCs w:val="22"/>
          <w:lang w:val="fr-CA"/>
        </w:rPr>
        <w:t>p</w:t>
      </w:r>
      <w:r>
        <w:rPr>
          <w:bCs/>
          <w:kern w:val="22"/>
          <w:sz w:val="22"/>
          <w:szCs w:val="22"/>
          <w:lang w:val="fr-CA"/>
        </w:rPr>
        <w:t>eaufiner l’</w:t>
      </w:r>
      <w:r w:rsidR="00AF63E0">
        <w:rPr>
          <w:bCs/>
          <w:kern w:val="22"/>
          <w:sz w:val="22"/>
          <w:szCs w:val="22"/>
          <w:lang w:val="fr-CA"/>
        </w:rPr>
        <w:t>évaluati</w:t>
      </w:r>
      <w:r>
        <w:rPr>
          <w:bCs/>
          <w:kern w:val="22"/>
          <w:sz w:val="22"/>
          <w:szCs w:val="22"/>
          <w:lang w:val="fr-CA"/>
        </w:rPr>
        <w:t xml:space="preserve">on générale. </w:t>
      </w:r>
      <w:r w:rsidR="000B2998">
        <w:rPr>
          <w:bCs/>
          <w:kern w:val="22"/>
          <w:sz w:val="22"/>
          <w:szCs w:val="22"/>
          <w:lang w:val="fr-CA"/>
        </w:rPr>
        <w:t xml:space="preserve">Une série de trois scénarios semblables aux </w:t>
      </w:r>
      <w:r w:rsidR="00AF63E0">
        <w:rPr>
          <w:bCs/>
          <w:kern w:val="22"/>
          <w:sz w:val="22"/>
          <w:szCs w:val="22"/>
          <w:lang w:val="fr-CA"/>
        </w:rPr>
        <w:t>deux scénarios utilisé</w:t>
      </w:r>
      <w:r>
        <w:rPr>
          <w:bCs/>
          <w:kern w:val="22"/>
          <w:sz w:val="22"/>
          <w:szCs w:val="22"/>
          <w:lang w:val="fr-CA"/>
        </w:rPr>
        <w:t>s lors de la deuxième détermination des besoins d</w:t>
      </w:r>
      <w:r w:rsidR="000B2998">
        <w:rPr>
          <w:bCs/>
          <w:kern w:val="22"/>
          <w:sz w:val="22"/>
          <w:szCs w:val="22"/>
          <w:lang w:val="fr-CA"/>
        </w:rPr>
        <w:t>e financement</w:t>
      </w:r>
      <w:r>
        <w:rPr>
          <w:bCs/>
          <w:kern w:val="22"/>
          <w:sz w:val="22"/>
          <w:szCs w:val="22"/>
          <w:lang w:val="fr-CA"/>
        </w:rPr>
        <w:t xml:space="preserve"> est en voie d’être examinée, comme indiqué dans le rapport. Une </w:t>
      </w:r>
      <w:r w:rsidR="00AF63E0">
        <w:rPr>
          <w:bCs/>
          <w:kern w:val="22"/>
          <w:sz w:val="22"/>
          <w:szCs w:val="22"/>
          <w:lang w:val="fr-CA"/>
        </w:rPr>
        <w:t>compilation efficace nécessite des exigences prévues claires du cadre mondial de la biodiversité pour l</w:t>
      </w:r>
      <w:r w:rsidR="007D6D34">
        <w:rPr>
          <w:bCs/>
          <w:kern w:val="22"/>
          <w:sz w:val="22"/>
          <w:szCs w:val="22"/>
          <w:lang w:val="fr-CA"/>
        </w:rPr>
        <w:t>’</w:t>
      </w:r>
      <w:r w:rsidR="00AF63E0">
        <w:rPr>
          <w:bCs/>
          <w:kern w:val="22"/>
          <w:sz w:val="22"/>
          <w:szCs w:val="22"/>
          <w:lang w:val="fr-CA"/>
        </w:rPr>
        <w:t xml:space="preserve">après-2020 </w:t>
      </w:r>
      <w:r w:rsidR="00F710D5">
        <w:rPr>
          <w:bCs/>
          <w:kern w:val="22"/>
          <w:sz w:val="22"/>
          <w:szCs w:val="22"/>
          <w:lang w:val="fr-CA"/>
        </w:rPr>
        <w:t>comme</w:t>
      </w:r>
      <w:r w:rsidR="00AF63E0">
        <w:rPr>
          <w:bCs/>
          <w:kern w:val="22"/>
          <w:sz w:val="22"/>
          <w:szCs w:val="22"/>
          <w:lang w:val="fr-CA"/>
        </w:rPr>
        <w:t xml:space="preserve"> source d’information pour la planification et les cadres nationaux</w:t>
      </w:r>
      <w:r w:rsidR="00507D6C" w:rsidRPr="00F035D6">
        <w:rPr>
          <w:bCs/>
          <w:kern w:val="22"/>
          <w:sz w:val="22"/>
          <w:szCs w:val="22"/>
          <w:lang w:val="fr-CA"/>
        </w:rPr>
        <w:t>.</w:t>
      </w:r>
    </w:p>
    <w:p w14:paraId="19A81CB5" w14:textId="5162221E" w:rsidR="00777651" w:rsidRPr="00F035D6" w:rsidRDefault="00E373A1" w:rsidP="0011729F">
      <w:pPr>
        <w:pStyle w:val="Titre1"/>
        <w:suppressLineNumbers/>
        <w:tabs>
          <w:tab w:val="clear" w:pos="720"/>
        </w:tabs>
        <w:suppressAutoHyphens/>
        <w:spacing w:before="120" w:line="235" w:lineRule="auto"/>
        <w:ind w:left="1135" w:hanging="709"/>
        <w:jc w:val="left"/>
        <w:rPr>
          <w:iCs/>
          <w:snapToGrid w:val="0"/>
          <w:kern w:val="22"/>
          <w:sz w:val="22"/>
          <w:szCs w:val="22"/>
          <w:lang w:val="fr-CA"/>
        </w:rPr>
      </w:pPr>
      <w:r w:rsidRPr="00F035D6">
        <w:rPr>
          <w:iCs/>
          <w:snapToGrid w:val="0"/>
          <w:kern w:val="22"/>
          <w:sz w:val="22"/>
          <w:szCs w:val="22"/>
          <w:lang w:val="fr-CA"/>
        </w:rPr>
        <w:t>IV</w:t>
      </w:r>
      <w:r w:rsidR="00DD18CB" w:rsidRPr="00F035D6">
        <w:rPr>
          <w:iCs/>
          <w:snapToGrid w:val="0"/>
          <w:kern w:val="22"/>
          <w:sz w:val="22"/>
          <w:szCs w:val="22"/>
          <w:lang w:val="fr-CA"/>
        </w:rPr>
        <w:t xml:space="preserve">. </w:t>
      </w:r>
      <w:r w:rsidR="0073574A" w:rsidRPr="00F035D6">
        <w:rPr>
          <w:iCs/>
          <w:snapToGrid w:val="0"/>
          <w:kern w:val="22"/>
          <w:sz w:val="22"/>
          <w:szCs w:val="22"/>
          <w:lang w:val="fr-CA"/>
        </w:rPr>
        <w:tab/>
      </w:r>
      <w:r w:rsidR="00AF63E0">
        <w:rPr>
          <w:iCs/>
          <w:snapToGrid w:val="0"/>
          <w:kern w:val="22"/>
          <w:sz w:val="22"/>
          <w:szCs w:val="22"/>
          <w:lang w:val="fr-CA"/>
        </w:rPr>
        <w:t xml:space="preserve">propositions entourant le </w:t>
      </w:r>
      <w:r w:rsidR="003109C9">
        <w:rPr>
          <w:iCs/>
          <w:snapToGrid w:val="0"/>
          <w:kern w:val="22"/>
          <w:sz w:val="22"/>
          <w:szCs w:val="22"/>
          <w:lang w:val="fr-CA"/>
        </w:rPr>
        <w:t>cadre</w:t>
      </w:r>
      <w:r w:rsidR="00AF63E0">
        <w:rPr>
          <w:iCs/>
          <w:snapToGrid w:val="0"/>
          <w:kern w:val="22"/>
          <w:sz w:val="22"/>
          <w:szCs w:val="22"/>
          <w:lang w:val="fr-CA"/>
        </w:rPr>
        <w:t xml:space="preserve"> quadriennal</w:t>
      </w:r>
      <w:r w:rsidR="003109C9">
        <w:rPr>
          <w:iCs/>
          <w:snapToGrid w:val="0"/>
          <w:kern w:val="22"/>
          <w:sz w:val="22"/>
          <w:szCs w:val="22"/>
          <w:lang w:val="fr-CA"/>
        </w:rPr>
        <w:t xml:space="preserve"> des priorités du programme </w:t>
      </w:r>
      <w:r w:rsidR="00EE5E09">
        <w:rPr>
          <w:iCs/>
          <w:snapToGrid w:val="0"/>
          <w:kern w:val="22"/>
          <w:sz w:val="22"/>
          <w:szCs w:val="22"/>
          <w:lang w:val="fr-CA"/>
        </w:rPr>
        <w:t xml:space="preserve">axé sur les résultats </w:t>
      </w:r>
      <w:r w:rsidR="003109C9">
        <w:rPr>
          <w:iCs/>
          <w:snapToGrid w:val="0"/>
          <w:kern w:val="22"/>
          <w:sz w:val="22"/>
          <w:szCs w:val="22"/>
          <w:lang w:val="fr-CA"/>
        </w:rPr>
        <w:t xml:space="preserve">pour la huitième période de reconstitution (juillet 2022 à juin 2026) du cadre du </w:t>
      </w:r>
      <w:r w:rsidR="00F710D5">
        <w:rPr>
          <w:iCs/>
          <w:snapToGrid w:val="0"/>
          <w:kern w:val="22"/>
          <w:sz w:val="22"/>
          <w:szCs w:val="22"/>
          <w:lang w:val="fr-CA"/>
        </w:rPr>
        <w:t>FEM</w:t>
      </w:r>
    </w:p>
    <w:p w14:paraId="0695328F" w14:textId="2FC6A6C7" w:rsidR="008A557D" w:rsidRPr="00EE5E09" w:rsidRDefault="00EE5E09" w:rsidP="00516B43">
      <w:pPr>
        <w:pStyle w:val="Para1"/>
        <w:numPr>
          <w:ilvl w:val="0"/>
          <w:numId w:val="13"/>
        </w:numPr>
        <w:suppressLineNumbers/>
        <w:tabs>
          <w:tab w:val="num" w:pos="720"/>
        </w:tabs>
        <w:suppressAutoHyphens/>
        <w:spacing w:before="120"/>
        <w:ind w:left="0" w:firstLine="0"/>
        <w:jc w:val="both"/>
        <w:rPr>
          <w:bCs/>
          <w:kern w:val="22"/>
          <w:sz w:val="22"/>
          <w:szCs w:val="22"/>
          <w:lang w:val="fr-CA"/>
        </w:rPr>
      </w:pPr>
      <w:r>
        <w:rPr>
          <w:bCs/>
          <w:kern w:val="22"/>
          <w:sz w:val="22"/>
          <w:szCs w:val="22"/>
          <w:lang w:val="fr-CA"/>
        </w:rPr>
        <w:t xml:space="preserve">Au paragraphe 17 de la décision 14/23, la Conférence des Parties charge </w:t>
      </w:r>
      <w:r w:rsidRPr="00EE5E09">
        <w:rPr>
          <w:kern w:val="22"/>
          <w:sz w:val="22"/>
          <w:szCs w:val="22"/>
          <w:lang w:val="fr-FR" w:eastAsia="fr-FR"/>
        </w:rPr>
        <w:t xml:space="preserve">l’Organe subsidiaire chargé de l’application, à sa troisième réunion, de formuler des propositions </w:t>
      </w:r>
      <w:r w:rsidR="00F710D5">
        <w:rPr>
          <w:kern w:val="22"/>
          <w:sz w:val="22"/>
          <w:szCs w:val="22"/>
          <w:lang w:val="fr-FR" w:eastAsia="fr-FR"/>
        </w:rPr>
        <w:t>pour</w:t>
      </w:r>
      <w:r w:rsidRPr="00EE5E09">
        <w:rPr>
          <w:kern w:val="22"/>
          <w:sz w:val="22"/>
          <w:szCs w:val="22"/>
          <w:lang w:val="fr-FR" w:eastAsia="fr-FR"/>
        </w:rPr>
        <w:t xml:space="preserve"> un cadre quadriennal des priorités du programme axé sur les résultats pour la huitième période de reconstitution (juillet 2022 à juin 2026) </w:t>
      </w:r>
      <w:r w:rsidR="00DE48E1">
        <w:rPr>
          <w:kern w:val="22"/>
          <w:sz w:val="22"/>
          <w:szCs w:val="22"/>
          <w:lang w:val="fr-FR" w:eastAsia="fr-FR"/>
        </w:rPr>
        <w:t xml:space="preserve">des ressources </w:t>
      </w:r>
      <w:r>
        <w:rPr>
          <w:kern w:val="22"/>
          <w:sz w:val="22"/>
          <w:szCs w:val="22"/>
          <w:lang w:val="fr-FR" w:eastAsia="fr-FR"/>
        </w:rPr>
        <w:t>de la Caisse</w:t>
      </w:r>
      <w:r w:rsidRPr="00EE5E09">
        <w:rPr>
          <w:kern w:val="22"/>
          <w:sz w:val="22"/>
          <w:szCs w:val="22"/>
          <w:lang w:val="fr-FR" w:eastAsia="fr-FR"/>
        </w:rPr>
        <w:t xml:space="preserve"> du </w:t>
      </w:r>
      <w:r w:rsidR="00F710D5">
        <w:rPr>
          <w:kern w:val="22"/>
          <w:sz w:val="22"/>
          <w:szCs w:val="22"/>
          <w:lang w:val="fr-FR" w:eastAsia="fr-FR"/>
        </w:rPr>
        <w:t xml:space="preserve">FEM </w:t>
      </w:r>
      <w:r w:rsidRPr="00EE5E09">
        <w:rPr>
          <w:kern w:val="22"/>
          <w:sz w:val="22"/>
          <w:szCs w:val="22"/>
          <w:lang w:val="fr-FR" w:eastAsia="fr-FR"/>
        </w:rPr>
        <w:t>correspondant au projet de cadre mondial de la biodiversité pour l’après-2020, pour examen par la Conférence des</w:t>
      </w:r>
      <w:r>
        <w:rPr>
          <w:kern w:val="22"/>
          <w:sz w:val="22"/>
          <w:szCs w:val="22"/>
          <w:lang w:val="fr-FR" w:eastAsia="fr-FR"/>
        </w:rPr>
        <w:t xml:space="preserve"> Parties à sa quinzième réunion</w:t>
      </w:r>
      <w:r w:rsidR="00616125" w:rsidRPr="00EE5E09">
        <w:rPr>
          <w:bCs/>
          <w:kern w:val="22"/>
          <w:sz w:val="22"/>
          <w:szCs w:val="22"/>
          <w:lang w:val="fr-CA"/>
        </w:rPr>
        <w:t>.</w:t>
      </w:r>
    </w:p>
    <w:p w14:paraId="2A42F5EF" w14:textId="72F8FBB4" w:rsidR="00222BF5" w:rsidRPr="00EE5E09" w:rsidRDefault="00CF0B82" w:rsidP="00516B43">
      <w:pPr>
        <w:pStyle w:val="Para1"/>
        <w:numPr>
          <w:ilvl w:val="0"/>
          <w:numId w:val="13"/>
        </w:numPr>
        <w:suppressLineNumbers/>
        <w:tabs>
          <w:tab w:val="num" w:pos="720"/>
        </w:tabs>
        <w:suppressAutoHyphens/>
        <w:spacing w:before="120"/>
        <w:ind w:left="0" w:firstLine="0"/>
        <w:jc w:val="both"/>
        <w:rPr>
          <w:bCs/>
          <w:kern w:val="22"/>
          <w:sz w:val="22"/>
          <w:szCs w:val="22"/>
          <w:lang w:val="fr-CA"/>
        </w:rPr>
      </w:pPr>
      <w:r>
        <w:rPr>
          <w:bCs/>
          <w:kern w:val="22"/>
          <w:sz w:val="22"/>
          <w:szCs w:val="22"/>
          <w:lang w:val="fr-CA"/>
        </w:rPr>
        <w:t xml:space="preserve">La forme, la structure et le contenu proposés </w:t>
      </w:r>
      <w:r w:rsidR="00C54DAF">
        <w:rPr>
          <w:bCs/>
          <w:kern w:val="22"/>
          <w:sz w:val="22"/>
          <w:szCs w:val="22"/>
          <w:lang w:val="fr-CA"/>
        </w:rPr>
        <w:t>pour</w:t>
      </w:r>
      <w:r>
        <w:rPr>
          <w:bCs/>
          <w:kern w:val="22"/>
          <w:sz w:val="22"/>
          <w:szCs w:val="22"/>
          <w:lang w:val="fr-CA"/>
        </w:rPr>
        <w:t xml:space="preserve"> les périodes de reconstitution </w:t>
      </w:r>
      <w:r w:rsidR="000D0524">
        <w:rPr>
          <w:bCs/>
          <w:kern w:val="22"/>
          <w:sz w:val="22"/>
          <w:szCs w:val="22"/>
          <w:lang w:val="fr-CA"/>
        </w:rPr>
        <w:t>précédentes</w:t>
      </w:r>
      <w:r>
        <w:rPr>
          <w:bCs/>
          <w:kern w:val="22"/>
          <w:sz w:val="22"/>
          <w:szCs w:val="22"/>
          <w:lang w:val="fr-CA"/>
        </w:rPr>
        <w:t>, plus particulièremen</w:t>
      </w:r>
      <w:r w:rsidR="00C54DAF">
        <w:rPr>
          <w:bCs/>
          <w:kern w:val="22"/>
          <w:sz w:val="22"/>
          <w:szCs w:val="22"/>
          <w:lang w:val="fr-CA"/>
        </w:rPr>
        <w:t>t</w:t>
      </w:r>
      <w:r>
        <w:rPr>
          <w:bCs/>
          <w:kern w:val="22"/>
          <w:sz w:val="22"/>
          <w:szCs w:val="22"/>
          <w:lang w:val="fr-CA"/>
        </w:rPr>
        <w:t xml:space="preserve"> </w:t>
      </w:r>
      <w:r w:rsidR="00C54DAF">
        <w:rPr>
          <w:bCs/>
          <w:kern w:val="22"/>
          <w:sz w:val="22"/>
          <w:szCs w:val="22"/>
          <w:lang w:val="fr-CA"/>
        </w:rPr>
        <w:t>les</w:t>
      </w:r>
      <w:r>
        <w:rPr>
          <w:bCs/>
          <w:kern w:val="22"/>
          <w:sz w:val="22"/>
          <w:szCs w:val="22"/>
          <w:lang w:val="fr-CA"/>
        </w:rPr>
        <w:t xml:space="preserve"> cin</w:t>
      </w:r>
      <w:r w:rsidR="00C54DAF">
        <w:rPr>
          <w:bCs/>
          <w:kern w:val="22"/>
          <w:sz w:val="22"/>
          <w:szCs w:val="22"/>
          <w:lang w:val="fr-CA"/>
        </w:rPr>
        <w:t>q</w:t>
      </w:r>
      <w:r>
        <w:rPr>
          <w:bCs/>
          <w:kern w:val="22"/>
          <w:sz w:val="22"/>
          <w:szCs w:val="22"/>
          <w:lang w:val="fr-CA"/>
        </w:rPr>
        <w:t>uième, sixième et se</w:t>
      </w:r>
      <w:r w:rsidR="00C54DAF">
        <w:rPr>
          <w:bCs/>
          <w:kern w:val="22"/>
          <w:sz w:val="22"/>
          <w:szCs w:val="22"/>
          <w:lang w:val="fr-CA"/>
        </w:rPr>
        <w:t>p</w:t>
      </w:r>
      <w:r>
        <w:rPr>
          <w:bCs/>
          <w:kern w:val="22"/>
          <w:sz w:val="22"/>
          <w:szCs w:val="22"/>
          <w:lang w:val="fr-CA"/>
        </w:rPr>
        <w:t>tième périodes de reconstitution, faisant respectivement l’objet des déc</w:t>
      </w:r>
      <w:r w:rsidR="00C54DAF">
        <w:rPr>
          <w:bCs/>
          <w:kern w:val="22"/>
          <w:sz w:val="22"/>
          <w:szCs w:val="22"/>
          <w:lang w:val="fr-CA"/>
        </w:rPr>
        <w:t>i</w:t>
      </w:r>
      <w:r>
        <w:rPr>
          <w:bCs/>
          <w:kern w:val="22"/>
          <w:sz w:val="22"/>
          <w:szCs w:val="22"/>
          <w:lang w:val="fr-CA"/>
        </w:rPr>
        <w:t xml:space="preserve">sions </w:t>
      </w:r>
      <w:hyperlink r:id="rId22" w:history="1">
        <w:r w:rsidRPr="00EE5E09">
          <w:rPr>
            <w:rStyle w:val="Lienhypertexte"/>
            <w:lang w:val="fr-CA"/>
          </w:rPr>
          <w:t>IX/31</w:t>
        </w:r>
      </w:hyperlink>
      <w:r w:rsidRPr="00EE5E09">
        <w:rPr>
          <w:bCs/>
          <w:kern w:val="22"/>
          <w:sz w:val="22"/>
          <w:szCs w:val="22"/>
          <w:lang w:val="fr-CA"/>
        </w:rPr>
        <w:t xml:space="preserve">, </w:t>
      </w:r>
      <w:hyperlink r:id="rId23" w:history="1">
        <w:r w:rsidRPr="00EE5E09">
          <w:rPr>
            <w:rStyle w:val="Lienhypertexte"/>
            <w:lang w:val="fr-CA"/>
          </w:rPr>
          <w:t>XI/5</w:t>
        </w:r>
      </w:hyperlink>
      <w:r w:rsidRPr="00EE5E09">
        <w:rPr>
          <w:bCs/>
          <w:kern w:val="22"/>
          <w:sz w:val="22"/>
          <w:szCs w:val="22"/>
          <w:lang w:val="fr-CA"/>
        </w:rPr>
        <w:t xml:space="preserve"> </w:t>
      </w:r>
      <w:r w:rsidR="000D0524">
        <w:rPr>
          <w:bCs/>
          <w:kern w:val="22"/>
          <w:sz w:val="22"/>
          <w:szCs w:val="22"/>
          <w:lang w:val="fr-CA"/>
        </w:rPr>
        <w:t>et</w:t>
      </w:r>
      <w:r w:rsidRPr="00EE5E09">
        <w:rPr>
          <w:bCs/>
          <w:kern w:val="22"/>
          <w:sz w:val="22"/>
          <w:szCs w:val="22"/>
          <w:lang w:val="fr-CA"/>
        </w:rPr>
        <w:t xml:space="preserve"> </w:t>
      </w:r>
      <w:hyperlink r:id="rId24" w:history="1">
        <w:r w:rsidRPr="00EE5E09">
          <w:rPr>
            <w:rStyle w:val="Lienhypertexte"/>
            <w:lang w:val="fr-CA"/>
          </w:rPr>
          <w:t>XIII/21</w:t>
        </w:r>
      </w:hyperlink>
      <w:r>
        <w:rPr>
          <w:bCs/>
          <w:kern w:val="22"/>
          <w:sz w:val="22"/>
          <w:szCs w:val="22"/>
          <w:lang w:val="fr-CA"/>
        </w:rPr>
        <w:t>,</w:t>
      </w:r>
      <w:r w:rsidR="00C54DAF" w:rsidRPr="00F035D6">
        <w:rPr>
          <w:bCs/>
          <w:kern w:val="22"/>
          <w:sz w:val="22"/>
          <w:szCs w:val="22"/>
          <w:vertAlign w:val="superscript"/>
          <w:lang w:val="fr-CA"/>
        </w:rPr>
        <w:footnoteReference w:id="4"/>
      </w:r>
      <w:r w:rsidR="00C54DAF" w:rsidRPr="00EE5E09">
        <w:rPr>
          <w:bCs/>
          <w:kern w:val="22"/>
          <w:sz w:val="22"/>
          <w:szCs w:val="22"/>
          <w:lang w:val="fr-CA"/>
        </w:rPr>
        <w:t xml:space="preserve"> </w:t>
      </w:r>
      <w:r w:rsidR="000D0524">
        <w:rPr>
          <w:bCs/>
          <w:kern w:val="22"/>
          <w:sz w:val="22"/>
          <w:szCs w:val="22"/>
          <w:lang w:val="fr-CA"/>
        </w:rPr>
        <w:t xml:space="preserve">peuvent être pris en considération </w:t>
      </w:r>
      <w:r>
        <w:rPr>
          <w:bCs/>
          <w:kern w:val="22"/>
          <w:sz w:val="22"/>
          <w:szCs w:val="22"/>
          <w:lang w:val="fr-CA"/>
        </w:rPr>
        <w:t xml:space="preserve">lors de </w:t>
      </w:r>
      <w:r w:rsidR="000D0524">
        <w:rPr>
          <w:bCs/>
          <w:kern w:val="22"/>
          <w:sz w:val="22"/>
          <w:szCs w:val="22"/>
          <w:lang w:val="fr-CA"/>
        </w:rPr>
        <w:t xml:space="preserve">la préparation </w:t>
      </w:r>
      <w:r w:rsidR="00EE5E09" w:rsidRPr="00EE5E09">
        <w:rPr>
          <w:bCs/>
          <w:kern w:val="22"/>
          <w:sz w:val="22"/>
          <w:szCs w:val="22"/>
          <w:lang w:val="fr-CA"/>
        </w:rPr>
        <w:t xml:space="preserve">des propositions </w:t>
      </w:r>
      <w:r w:rsidR="000D0524">
        <w:rPr>
          <w:bCs/>
          <w:kern w:val="22"/>
          <w:sz w:val="22"/>
          <w:szCs w:val="22"/>
          <w:lang w:val="fr-CA"/>
        </w:rPr>
        <w:t>de</w:t>
      </w:r>
      <w:r w:rsidR="00EE5E09">
        <w:rPr>
          <w:bCs/>
          <w:kern w:val="22"/>
          <w:sz w:val="22"/>
          <w:szCs w:val="22"/>
          <w:lang w:val="fr-CA"/>
        </w:rPr>
        <w:t xml:space="preserve"> cadre quadriennal</w:t>
      </w:r>
      <w:r>
        <w:rPr>
          <w:bCs/>
          <w:kern w:val="22"/>
          <w:sz w:val="22"/>
          <w:szCs w:val="22"/>
          <w:lang w:val="fr-CA"/>
        </w:rPr>
        <w:t xml:space="preserve"> des priorités du programme axé sur les résultats pour la huitième période de reconstitution</w:t>
      </w:r>
      <w:r w:rsidR="0057748B" w:rsidRPr="00EE5E09">
        <w:rPr>
          <w:bCs/>
          <w:kern w:val="22"/>
          <w:sz w:val="22"/>
          <w:szCs w:val="22"/>
          <w:lang w:val="fr-CA"/>
        </w:rPr>
        <w:t>.</w:t>
      </w:r>
    </w:p>
    <w:p w14:paraId="13B997CE" w14:textId="71267002" w:rsidR="001366E4" w:rsidRPr="00F035D6" w:rsidRDefault="00C54DAF" w:rsidP="00516B43">
      <w:pPr>
        <w:pStyle w:val="Para1"/>
        <w:numPr>
          <w:ilvl w:val="0"/>
          <w:numId w:val="13"/>
        </w:numPr>
        <w:suppressLineNumbers/>
        <w:tabs>
          <w:tab w:val="num" w:pos="720"/>
        </w:tabs>
        <w:suppressAutoHyphens/>
        <w:spacing w:before="120"/>
        <w:ind w:left="0" w:firstLine="0"/>
        <w:jc w:val="both"/>
        <w:rPr>
          <w:bCs/>
          <w:kern w:val="22"/>
          <w:sz w:val="22"/>
          <w:szCs w:val="22"/>
          <w:lang w:val="fr-CA"/>
        </w:rPr>
      </w:pPr>
      <w:r w:rsidRPr="00C54DAF">
        <w:rPr>
          <w:bCs/>
          <w:kern w:val="22"/>
          <w:sz w:val="22"/>
          <w:szCs w:val="22"/>
          <w:lang w:val="fr-CA"/>
        </w:rPr>
        <w:t>L</w:t>
      </w:r>
      <w:r>
        <w:rPr>
          <w:bCs/>
          <w:kern w:val="22"/>
          <w:sz w:val="22"/>
          <w:szCs w:val="22"/>
          <w:lang w:val="fr-CA"/>
        </w:rPr>
        <w:t>a Conférence des Parties a adopté le</w:t>
      </w:r>
      <w:r w:rsidRPr="00C54DAF">
        <w:rPr>
          <w:bCs/>
          <w:kern w:val="22"/>
          <w:sz w:val="22"/>
          <w:szCs w:val="22"/>
          <w:lang w:val="fr-CA"/>
        </w:rPr>
        <w:t xml:space="preserve"> cadre quadriennal des priorités du programme (2018-2022) pour la septi</w:t>
      </w:r>
      <w:r>
        <w:rPr>
          <w:bCs/>
          <w:kern w:val="22"/>
          <w:sz w:val="22"/>
          <w:szCs w:val="22"/>
          <w:lang w:val="fr-CA"/>
        </w:rPr>
        <w:t xml:space="preserve">ème reconstitution </w:t>
      </w:r>
      <w:r w:rsidR="00DE48E1">
        <w:rPr>
          <w:bCs/>
          <w:kern w:val="22"/>
          <w:sz w:val="22"/>
          <w:szCs w:val="22"/>
          <w:lang w:val="fr-CA"/>
        </w:rPr>
        <w:t xml:space="preserve">des ressources </w:t>
      </w:r>
      <w:r>
        <w:rPr>
          <w:bCs/>
          <w:kern w:val="22"/>
          <w:sz w:val="22"/>
          <w:szCs w:val="22"/>
          <w:lang w:val="fr-CA"/>
        </w:rPr>
        <w:t xml:space="preserve">de la Caisse du </w:t>
      </w:r>
      <w:r w:rsidR="000D0524">
        <w:rPr>
          <w:bCs/>
          <w:kern w:val="22"/>
          <w:sz w:val="22"/>
          <w:szCs w:val="22"/>
          <w:lang w:val="fr-CA"/>
        </w:rPr>
        <w:t>FEM</w:t>
      </w:r>
      <w:r>
        <w:rPr>
          <w:bCs/>
          <w:kern w:val="22"/>
          <w:sz w:val="22"/>
          <w:szCs w:val="22"/>
          <w:lang w:val="fr-CA"/>
        </w:rPr>
        <w:t xml:space="preserve"> dans sa décision </w:t>
      </w:r>
      <w:r w:rsidR="006542E0">
        <w:rPr>
          <w:bCs/>
          <w:kern w:val="22"/>
          <w:sz w:val="22"/>
          <w:szCs w:val="22"/>
          <w:lang w:val="fr-CA"/>
        </w:rPr>
        <w:t xml:space="preserve">XIII/21. Celui-ci </w:t>
      </w:r>
      <w:r w:rsidR="000D0524">
        <w:rPr>
          <w:bCs/>
          <w:kern w:val="22"/>
          <w:sz w:val="22"/>
          <w:szCs w:val="22"/>
          <w:lang w:val="fr-CA"/>
        </w:rPr>
        <w:t>est joint</w:t>
      </w:r>
      <w:r w:rsidR="006542E0">
        <w:rPr>
          <w:bCs/>
          <w:kern w:val="22"/>
          <w:sz w:val="22"/>
          <w:szCs w:val="22"/>
          <w:lang w:val="fr-CA"/>
        </w:rPr>
        <w:t xml:space="preserve"> à l’annexe 1 à la décision. Il </w:t>
      </w:r>
      <w:r w:rsidR="00D15E3A">
        <w:rPr>
          <w:bCs/>
          <w:kern w:val="22"/>
          <w:sz w:val="22"/>
          <w:szCs w:val="22"/>
          <w:lang w:val="fr-CA"/>
        </w:rPr>
        <w:t>se fonde sur</w:t>
      </w:r>
      <w:r w:rsidR="006542E0">
        <w:rPr>
          <w:bCs/>
          <w:kern w:val="22"/>
          <w:sz w:val="22"/>
          <w:szCs w:val="22"/>
          <w:lang w:val="fr-CA"/>
        </w:rPr>
        <w:t xml:space="preserve"> le Pl</w:t>
      </w:r>
      <w:r w:rsidR="00E65788">
        <w:rPr>
          <w:bCs/>
          <w:kern w:val="22"/>
          <w:sz w:val="22"/>
          <w:szCs w:val="22"/>
          <w:lang w:val="fr-CA"/>
        </w:rPr>
        <w:t>an stratégique pour la diversité bi</w:t>
      </w:r>
      <w:r w:rsidR="006542E0">
        <w:rPr>
          <w:bCs/>
          <w:kern w:val="22"/>
          <w:sz w:val="22"/>
          <w:szCs w:val="22"/>
          <w:lang w:val="fr-CA"/>
        </w:rPr>
        <w:t>ologique 2011-2020 et les Protocoles de la Convention po</w:t>
      </w:r>
      <w:r w:rsidR="00E65788">
        <w:rPr>
          <w:bCs/>
          <w:kern w:val="22"/>
          <w:sz w:val="22"/>
          <w:szCs w:val="22"/>
          <w:lang w:val="fr-CA"/>
        </w:rPr>
        <w:t>ur établir les priorités du mé</w:t>
      </w:r>
      <w:r w:rsidR="006542E0">
        <w:rPr>
          <w:bCs/>
          <w:kern w:val="22"/>
          <w:sz w:val="22"/>
          <w:szCs w:val="22"/>
          <w:lang w:val="fr-CA"/>
        </w:rPr>
        <w:t xml:space="preserve">canisme de financement en se fondant </w:t>
      </w:r>
      <w:r w:rsidR="00E65788">
        <w:rPr>
          <w:bCs/>
          <w:kern w:val="22"/>
          <w:sz w:val="22"/>
          <w:szCs w:val="22"/>
          <w:lang w:val="fr-CA"/>
        </w:rPr>
        <w:t>sur la stratégie de domaine d’</w:t>
      </w:r>
      <w:r w:rsidR="006542E0">
        <w:rPr>
          <w:bCs/>
          <w:kern w:val="22"/>
          <w:sz w:val="22"/>
          <w:szCs w:val="22"/>
          <w:lang w:val="fr-CA"/>
        </w:rPr>
        <w:t>intervention pour la diversité biologique de la sixième période de re</w:t>
      </w:r>
      <w:r w:rsidR="00E65788">
        <w:rPr>
          <w:bCs/>
          <w:kern w:val="22"/>
          <w:sz w:val="22"/>
          <w:szCs w:val="22"/>
          <w:lang w:val="fr-CA"/>
        </w:rPr>
        <w:t>c</w:t>
      </w:r>
      <w:r w:rsidR="006542E0">
        <w:rPr>
          <w:bCs/>
          <w:kern w:val="22"/>
          <w:sz w:val="22"/>
          <w:szCs w:val="22"/>
          <w:lang w:val="fr-CA"/>
        </w:rPr>
        <w:t>on</w:t>
      </w:r>
      <w:r w:rsidR="00E65788">
        <w:rPr>
          <w:bCs/>
          <w:kern w:val="22"/>
          <w:sz w:val="22"/>
          <w:szCs w:val="22"/>
          <w:lang w:val="fr-CA"/>
        </w:rPr>
        <w:t>s</w:t>
      </w:r>
      <w:r w:rsidR="006542E0">
        <w:rPr>
          <w:bCs/>
          <w:kern w:val="22"/>
          <w:sz w:val="22"/>
          <w:szCs w:val="22"/>
          <w:lang w:val="fr-CA"/>
        </w:rPr>
        <w:t>t</w:t>
      </w:r>
      <w:r w:rsidR="00E65788">
        <w:rPr>
          <w:bCs/>
          <w:kern w:val="22"/>
          <w:sz w:val="22"/>
          <w:szCs w:val="22"/>
          <w:lang w:val="fr-CA"/>
        </w:rPr>
        <w:t>itution et les orientati</w:t>
      </w:r>
      <w:r w:rsidR="006542E0">
        <w:rPr>
          <w:bCs/>
          <w:kern w:val="22"/>
          <w:sz w:val="22"/>
          <w:szCs w:val="22"/>
          <w:lang w:val="fr-CA"/>
        </w:rPr>
        <w:t>ons de pr</w:t>
      </w:r>
      <w:r w:rsidR="00E65788">
        <w:rPr>
          <w:bCs/>
          <w:kern w:val="22"/>
          <w:sz w:val="22"/>
          <w:szCs w:val="22"/>
          <w:lang w:val="fr-CA"/>
        </w:rPr>
        <w:t>ogram</w:t>
      </w:r>
      <w:r w:rsidR="006542E0">
        <w:rPr>
          <w:bCs/>
          <w:kern w:val="22"/>
          <w:sz w:val="22"/>
          <w:szCs w:val="22"/>
          <w:lang w:val="fr-CA"/>
        </w:rPr>
        <w:t xml:space="preserve">me de la sixième période de reconstitution. Il offre une direction stratégique dans les huit paragraphes d’introduction et définit trois </w:t>
      </w:r>
      <w:r w:rsidR="00DA56A9">
        <w:rPr>
          <w:bCs/>
          <w:kern w:val="22"/>
          <w:sz w:val="22"/>
          <w:szCs w:val="22"/>
          <w:lang w:val="fr-CA"/>
        </w:rPr>
        <w:t>groupes</w:t>
      </w:r>
      <w:r w:rsidR="006542E0">
        <w:rPr>
          <w:bCs/>
          <w:kern w:val="22"/>
          <w:sz w:val="22"/>
          <w:szCs w:val="22"/>
          <w:lang w:val="fr-CA"/>
        </w:rPr>
        <w:t xml:space="preserve"> prioritaires pour «</w:t>
      </w:r>
      <w:r w:rsidR="007D6D34">
        <w:rPr>
          <w:bCs/>
          <w:kern w:val="22"/>
          <w:sz w:val="22"/>
          <w:szCs w:val="22"/>
          <w:lang w:val="fr-CA"/>
        </w:rPr>
        <w:t> </w:t>
      </w:r>
      <w:r w:rsidR="006542E0">
        <w:rPr>
          <w:bCs/>
          <w:kern w:val="22"/>
          <w:sz w:val="22"/>
          <w:szCs w:val="22"/>
          <w:lang w:val="fr-CA"/>
        </w:rPr>
        <w:t>l’intégration de la diversité biologique dans tous les secteurs, ainsi que da</w:t>
      </w:r>
      <w:r w:rsidR="00DA56A9">
        <w:rPr>
          <w:bCs/>
          <w:kern w:val="22"/>
          <w:sz w:val="22"/>
          <w:szCs w:val="22"/>
          <w:lang w:val="fr-CA"/>
        </w:rPr>
        <w:t>n</w:t>
      </w:r>
      <w:r w:rsidR="006542E0">
        <w:rPr>
          <w:bCs/>
          <w:kern w:val="22"/>
          <w:sz w:val="22"/>
          <w:szCs w:val="22"/>
          <w:lang w:val="fr-CA"/>
        </w:rPr>
        <w:t>s le</w:t>
      </w:r>
      <w:r w:rsidR="00DA56A9">
        <w:rPr>
          <w:bCs/>
          <w:kern w:val="22"/>
          <w:sz w:val="22"/>
          <w:szCs w:val="22"/>
          <w:lang w:val="fr-CA"/>
        </w:rPr>
        <w:t xml:space="preserve">s </w:t>
      </w:r>
      <w:r w:rsidR="006542E0">
        <w:rPr>
          <w:bCs/>
          <w:kern w:val="22"/>
          <w:sz w:val="22"/>
          <w:szCs w:val="22"/>
          <w:lang w:val="fr-CA"/>
        </w:rPr>
        <w:t xml:space="preserve">paysages terrestres et marins », afin de </w:t>
      </w:r>
      <w:r w:rsidR="00E65788">
        <w:rPr>
          <w:bCs/>
          <w:kern w:val="22"/>
          <w:sz w:val="22"/>
          <w:szCs w:val="22"/>
          <w:lang w:val="fr-CA"/>
        </w:rPr>
        <w:t>lutter</w:t>
      </w:r>
      <w:r w:rsidR="006542E0">
        <w:rPr>
          <w:bCs/>
          <w:kern w:val="22"/>
          <w:sz w:val="22"/>
          <w:szCs w:val="22"/>
          <w:lang w:val="fr-CA"/>
        </w:rPr>
        <w:t xml:space="preserve"> contre les </w:t>
      </w:r>
      <w:r w:rsidR="00E65788">
        <w:rPr>
          <w:bCs/>
          <w:kern w:val="22"/>
          <w:sz w:val="22"/>
          <w:szCs w:val="22"/>
          <w:lang w:val="fr-CA"/>
        </w:rPr>
        <w:t>moteurs directs</w:t>
      </w:r>
      <w:r w:rsidR="006542E0">
        <w:rPr>
          <w:bCs/>
          <w:kern w:val="22"/>
          <w:sz w:val="22"/>
          <w:szCs w:val="22"/>
          <w:lang w:val="fr-CA"/>
        </w:rPr>
        <w:t xml:space="preserve"> et protéger les </w:t>
      </w:r>
      <w:r w:rsidR="00E65788">
        <w:rPr>
          <w:bCs/>
          <w:kern w:val="22"/>
          <w:sz w:val="22"/>
          <w:szCs w:val="22"/>
          <w:lang w:val="fr-CA"/>
        </w:rPr>
        <w:t>habitats et les espèces</w:t>
      </w:r>
      <w:r w:rsidR="006542E0">
        <w:rPr>
          <w:bCs/>
          <w:kern w:val="22"/>
          <w:sz w:val="22"/>
          <w:szCs w:val="22"/>
          <w:lang w:val="fr-CA"/>
        </w:rPr>
        <w:t xml:space="preserve"> » et de « développer davantage les politiques </w:t>
      </w:r>
      <w:r w:rsidR="006542E0">
        <w:rPr>
          <w:bCs/>
          <w:kern w:val="22"/>
          <w:sz w:val="22"/>
          <w:szCs w:val="22"/>
          <w:lang w:val="fr-CA"/>
        </w:rPr>
        <w:lastRenderedPageBreak/>
        <w:t>sur la biodiversité et le cadre institutionnel</w:t>
      </w:r>
      <w:r w:rsidR="007D6D34">
        <w:rPr>
          <w:bCs/>
          <w:kern w:val="22"/>
          <w:sz w:val="22"/>
          <w:szCs w:val="22"/>
          <w:lang w:val="fr-CA"/>
        </w:rPr>
        <w:t> </w:t>
      </w:r>
      <w:r w:rsidR="006542E0">
        <w:rPr>
          <w:bCs/>
          <w:kern w:val="22"/>
          <w:sz w:val="22"/>
          <w:szCs w:val="22"/>
          <w:lang w:val="fr-CA"/>
        </w:rPr>
        <w:t xml:space="preserve">». </w:t>
      </w:r>
      <w:r w:rsidR="00E65788">
        <w:rPr>
          <w:bCs/>
          <w:kern w:val="22"/>
          <w:sz w:val="22"/>
          <w:szCs w:val="22"/>
          <w:lang w:val="fr-CA"/>
        </w:rPr>
        <w:t xml:space="preserve">Chaque groupe de priorités </w:t>
      </w:r>
      <w:r w:rsidR="00D15E3A">
        <w:rPr>
          <w:bCs/>
          <w:kern w:val="22"/>
          <w:sz w:val="22"/>
          <w:szCs w:val="22"/>
          <w:lang w:val="fr-CA"/>
        </w:rPr>
        <w:t>comprend</w:t>
      </w:r>
      <w:r w:rsidR="00E65788">
        <w:rPr>
          <w:bCs/>
          <w:kern w:val="22"/>
          <w:sz w:val="22"/>
          <w:szCs w:val="22"/>
          <w:lang w:val="fr-CA"/>
        </w:rPr>
        <w:t xml:space="preserve"> de trois à quatre priorités présentant chacune </w:t>
      </w:r>
      <w:r w:rsidR="007D6D34">
        <w:rPr>
          <w:bCs/>
          <w:kern w:val="22"/>
          <w:sz w:val="22"/>
          <w:szCs w:val="22"/>
          <w:lang w:val="fr-CA"/>
        </w:rPr>
        <w:t>d’un</w:t>
      </w:r>
      <w:r w:rsidR="00E65788">
        <w:rPr>
          <w:bCs/>
          <w:kern w:val="22"/>
          <w:sz w:val="22"/>
          <w:szCs w:val="22"/>
          <w:lang w:val="fr-CA"/>
        </w:rPr>
        <w:t xml:space="preserve"> à trois résultats escomptés. Les trois priorit</w:t>
      </w:r>
      <w:r w:rsidR="00D15E3A">
        <w:rPr>
          <w:bCs/>
          <w:kern w:val="22"/>
          <w:sz w:val="22"/>
          <w:szCs w:val="22"/>
          <w:lang w:val="fr-CA"/>
        </w:rPr>
        <w:t>és du troisième groupe consist</w:t>
      </w:r>
      <w:r w:rsidR="00E65788">
        <w:rPr>
          <w:bCs/>
          <w:kern w:val="22"/>
          <w:sz w:val="22"/>
          <w:szCs w:val="22"/>
          <w:lang w:val="fr-CA"/>
        </w:rPr>
        <w:t>ent à appl</w:t>
      </w:r>
      <w:r w:rsidR="00D15E3A">
        <w:rPr>
          <w:bCs/>
          <w:kern w:val="22"/>
          <w:sz w:val="22"/>
          <w:szCs w:val="22"/>
          <w:lang w:val="fr-CA"/>
        </w:rPr>
        <w:t xml:space="preserve">iquer le Protocole de Cartagena et </w:t>
      </w:r>
      <w:r w:rsidR="00E65788">
        <w:rPr>
          <w:bCs/>
          <w:kern w:val="22"/>
          <w:sz w:val="22"/>
          <w:szCs w:val="22"/>
          <w:lang w:val="fr-CA"/>
        </w:rPr>
        <w:t>le Protocole de Nagoya</w:t>
      </w:r>
      <w:r w:rsidR="00D15E3A">
        <w:rPr>
          <w:bCs/>
          <w:kern w:val="22"/>
          <w:sz w:val="22"/>
          <w:szCs w:val="22"/>
          <w:lang w:val="fr-CA"/>
        </w:rPr>
        <w:t>,</w:t>
      </w:r>
      <w:r w:rsidR="00E65788">
        <w:rPr>
          <w:bCs/>
          <w:kern w:val="22"/>
          <w:sz w:val="22"/>
          <w:szCs w:val="22"/>
          <w:lang w:val="fr-CA"/>
        </w:rPr>
        <w:t xml:space="preserve"> et </w:t>
      </w:r>
      <w:r w:rsidR="00D15E3A">
        <w:rPr>
          <w:bCs/>
          <w:kern w:val="22"/>
          <w:sz w:val="22"/>
          <w:szCs w:val="22"/>
          <w:lang w:val="fr-CA"/>
        </w:rPr>
        <w:t xml:space="preserve">à </w:t>
      </w:r>
      <w:r w:rsidR="00E65788">
        <w:rPr>
          <w:bCs/>
          <w:kern w:val="22"/>
          <w:sz w:val="22"/>
          <w:szCs w:val="22"/>
          <w:lang w:val="fr-CA"/>
        </w:rPr>
        <w:t>améliorer les politiques, la planification et l’examen de la diversité biologique</w:t>
      </w:r>
      <w:r w:rsidR="002857F0" w:rsidRPr="00F035D6">
        <w:rPr>
          <w:bCs/>
          <w:kern w:val="22"/>
          <w:sz w:val="22"/>
          <w:szCs w:val="22"/>
          <w:lang w:val="fr-CA"/>
        </w:rPr>
        <w:t>.</w:t>
      </w:r>
    </w:p>
    <w:p w14:paraId="2B03EB1E" w14:textId="69C0C1FF" w:rsidR="00421D62" w:rsidRPr="00F035D6" w:rsidRDefault="00DA56A9" w:rsidP="00516B43">
      <w:pPr>
        <w:pStyle w:val="Para1"/>
        <w:numPr>
          <w:ilvl w:val="0"/>
          <w:numId w:val="13"/>
        </w:numPr>
        <w:suppressLineNumbers/>
        <w:tabs>
          <w:tab w:val="num" w:pos="720"/>
        </w:tabs>
        <w:suppressAutoHyphens/>
        <w:spacing w:before="120"/>
        <w:ind w:left="0" w:firstLine="0"/>
        <w:jc w:val="both"/>
        <w:rPr>
          <w:bCs/>
          <w:kern w:val="22"/>
          <w:sz w:val="22"/>
          <w:szCs w:val="22"/>
          <w:lang w:val="fr-CA"/>
        </w:rPr>
      </w:pPr>
      <w:r>
        <w:rPr>
          <w:bCs/>
          <w:kern w:val="22"/>
          <w:sz w:val="22"/>
          <w:szCs w:val="22"/>
          <w:lang w:val="fr-CA"/>
        </w:rPr>
        <w:t>Le</w:t>
      </w:r>
      <w:r w:rsidRPr="00C54DAF">
        <w:rPr>
          <w:bCs/>
          <w:kern w:val="22"/>
          <w:sz w:val="22"/>
          <w:szCs w:val="22"/>
          <w:lang w:val="fr-CA"/>
        </w:rPr>
        <w:t xml:space="preserve"> cadre quadriennal des priorités du programme </w:t>
      </w:r>
      <w:r>
        <w:rPr>
          <w:bCs/>
          <w:kern w:val="22"/>
          <w:sz w:val="22"/>
          <w:szCs w:val="22"/>
          <w:lang w:val="fr-CA"/>
        </w:rPr>
        <w:t xml:space="preserve">2014-2018 adopté par la Conférence des Parties dans sa décision XI/5, était plus </w:t>
      </w:r>
      <w:r w:rsidRPr="000D1B44">
        <w:rPr>
          <w:bCs/>
          <w:kern w:val="22"/>
          <w:sz w:val="22"/>
          <w:szCs w:val="22"/>
          <w:lang w:val="fr-CA"/>
        </w:rPr>
        <w:t>simple</w:t>
      </w:r>
      <w:r w:rsidR="00964D92" w:rsidRPr="00F035D6">
        <w:rPr>
          <w:bCs/>
          <w:iCs/>
          <w:kern w:val="22"/>
          <w:sz w:val="22"/>
          <w:szCs w:val="22"/>
          <w:lang w:val="fr-CA"/>
        </w:rPr>
        <w:t>.</w:t>
      </w:r>
      <w:r w:rsidR="00677548" w:rsidRPr="00F035D6">
        <w:rPr>
          <w:bCs/>
          <w:iCs/>
          <w:kern w:val="22"/>
          <w:sz w:val="22"/>
          <w:szCs w:val="22"/>
          <w:lang w:val="fr-CA"/>
        </w:rPr>
        <w:t xml:space="preserve"> </w:t>
      </w:r>
      <w:r w:rsidR="000D1B44">
        <w:rPr>
          <w:bCs/>
          <w:iCs/>
          <w:kern w:val="22"/>
          <w:sz w:val="22"/>
          <w:szCs w:val="22"/>
          <w:lang w:val="fr-CA"/>
        </w:rPr>
        <w:t xml:space="preserve">Il consistait en un court énoncé de l’objectif, une liste de cinq éléments (pour orienter le développement de la stratégie pour la biodiversité biologique de la sixième période de reconstitution) et de quatre </w:t>
      </w:r>
      <w:r w:rsidR="002F5DFE">
        <w:rPr>
          <w:bCs/>
          <w:iCs/>
          <w:kern w:val="22"/>
          <w:sz w:val="22"/>
          <w:szCs w:val="22"/>
          <w:lang w:val="fr-CA"/>
        </w:rPr>
        <w:t>petits</w:t>
      </w:r>
      <w:r w:rsidR="000D1B44">
        <w:rPr>
          <w:bCs/>
          <w:iCs/>
          <w:kern w:val="22"/>
          <w:sz w:val="22"/>
          <w:szCs w:val="22"/>
          <w:lang w:val="fr-CA"/>
        </w:rPr>
        <w:t xml:space="preserve"> paragraphes proposant des facteurs stratégiques supplémentaires. </w:t>
      </w:r>
      <w:r w:rsidR="004B68EA">
        <w:rPr>
          <w:bCs/>
          <w:iCs/>
          <w:kern w:val="22"/>
          <w:sz w:val="22"/>
          <w:szCs w:val="22"/>
          <w:lang w:val="fr-CA"/>
        </w:rPr>
        <w:t>On y déclarait que le Plan stratégique p</w:t>
      </w:r>
      <w:r w:rsidR="003F75BC">
        <w:rPr>
          <w:bCs/>
          <w:iCs/>
          <w:kern w:val="22"/>
          <w:sz w:val="22"/>
          <w:szCs w:val="22"/>
          <w:lang w:val="fr-CA"/>
        </w:rPr>
        <w:t>our la di</w:t>
      </w:r>
      <w:r w:rsidR="002F5DFE">
        <w:rPr>
          <w:bCs/>
          <w:iCs/>
          <w:kern w:val="22"/>
          <w:sz w:val="22"/>
          <w:szCs w:val="22"/>
          <w:lang w:val="fr-CA"/>
        </w:rPr>
        <w:t>versité biologique 20</w:t>
      </w:r>
      <w:r w:rsidR="004B68EA">
        <w:rPr>
          <w:bCs/>
          <w:iCs/>
          <w:kern w:val="22"/>
          <w:sz w:val="22"/>
          <w:szCs w:val="22"/>
          <w:lang w:val="fr-CA"/>
        </w:rPr>
        <w:t>11-2020 et ses Objectifs d’Aichi pour la biodiversité, le Plan stratégique pour le Protocole de Cartagena sur la prévention des risques biotechnologiques pour la période 2011-2020 et l’orientation donnée au mécanisme de financement des priorités du programme en appui à l’application du Protocole de</w:t>
      </w:r>
      <w:r w:rsidR="003F75BC">
        <w:rPr>
          <w:bCs/>
          <w:iCs/>
          <w:kern w:val="22"/>
          <w:sz w:val="22"/>
          <w:szCs w:val="22"/>
          <w:lang w:val="fr-CA"/>
        </w:rPr>
        <w:t xml:space="preserve"> </w:t>
      </w:r>
      <w:r w:rsidR="004B68EA">
        <w:rPr>
          <w:bCs/>
          <w:iCs/>
          <w:kern w:val="22"/>
          <w:sz w:val="22"/>
          <w:szCs w:val="22"/>
          <w:lang w:val="fr-CA"/>
        </w:rPr>
        <w:t>Nagoya présentée par Comité intergouve</w:t>
      </w:r>
      <w:r w:rsidR="003F75BC">
        <w:rPr>
          <w:bCs/>
          <w:iCs/>
          <w:kern w:val="22"/>
          <w:sz w:val="22"/>
          <w:szCs w:val="22"/>
          <w:lang w:val="fr-CA"/>
        </w:rPr>
        <w:t>rnemental pour le Protocole de N</w:t>
      </w:r>
      <w:r w:rsidR="004B68EA">
        <w:rPr>
          <w:bCs/>
          <w:iCs/>
          <w:kern w:val="22"/>
          <w:sz w:val="22"/>
          <w:szCs w:val="22"/>
          <w:lang w:val="fr-CA"/>
        </w:rPr>
        <w:t>agoya</w:t>
      </w:r>
      <w:r w:rsidR="003F75BC">
        <w:rPr>
          <w:bCs/>
          <w:iCs/>
          <w:kern w:val="22"/>
          <w:sz w:val="22"/>
          <w:szCs w:val="22"/>
          <w:lang w:val="fr-CA"/>
        </w:rPr>
        <w:t xml:space="preserve"> et joint en annexe, seraient les trois él</w:t>
      </w:r>
      <w:r w:rsidR="004B68EA">
        <w:rPr>
          <w:bCs/>
          <w:iCs/>
          <w:kern w:val="22"/>
          <w:sz w:val="22"/>
          <w:szCs w:val="22"/>
          <w:lang w:val="fr-CA"/>
        </w:rPr>
        <w:t>éments d’orientation du développement de la stratégie pour la diversité biologique de la sixième période de recons</w:t>
      </w:r>
      <w:r w:rsidR="003F75BC">
        <w:rPr>
          <w:bCs/>
          <w:iCs/>
          <w:kern w:val="22"/>
          <w:sz w:val="22"/>
          <w:szCs w:val="22"/>
          <w:lang w:val="fr-CA"/>
        </w:rPr>
        <w:t>ti</w:t>
      </w:r>
      <w:r w:rsidR="004B68EA">
        <w:rPr>
          <w:bCs/>
          <w:iCs/>
          <w:kern w:val="22"/>
          <w:sz w:val="22"/>
          <w:szCs w:val="22"/>
          <w:lang w:val="fr-CA"/>
        </w:rPr>
        <w:t>tution du FEM.</w:t>
      </w:r>
    </w:p>
    <w:p w14:paraId="503E2893" w14:textId="74BC7C2D" w:rsidR="00273CEF" w:rsidRPr="003F75BC" w:rsidRDefault="003F75BC" w:rsidP="00516B43">
      <w:pPr>
        <w:pStyle w:val="Para1"/>
        <w:numPr>
          <w:ilvl w:val="0"/>
          <w:numId w:val="13"/>
        </w:numPr>
        <w:suppressLineNumbers/>
        <w:tabs>
          <w:tab w:val="num" w:pos="720"/>
        </w:tabs>
        <w:suppressAutoHyphens/>
        <w:spacing w:before="120"/>
        <w:ind w:left="0" w:firstLine="0"/>
        <w:jc w:val="both"/>
        <w:rPr>
          <w:bCs/>
          <w:kern w:val="22"/>
          <w:sz w:val="22"/>
          <w:szCs w:val="22"/>
          <w:lang w:val="fr-CA"/>
        </w:rPr>
      </w:pPr>
      <w:r>
        <w:rPr>
          <w:bCs/>
          <w:kern w:val="22"/>
          <w:sz w:val="22"/>
          <w:szCs w:val="22"/>
          <w:lang w:val="fr-CA"/>
        </w:rPr>
        <w:t>Le cadre quadriennal des priorité</w:t>
      </w:r>
      <w:r w:rsidR="007D463D">
        <w:rPr>
          <w:bCs/>
          <w:kern w:val="22"/>
          <w:sz w:val="22"/>
          <w:szCs w:val="22"/>
          <w:lang w:val="fr-CA"/>
        </w:rPr>
        <w:t>s</w:t>
      </w:r>
      <w:r>
        <w:rPr>
          <w:bCs/>
          <w:kern w:val="22"/>
          <w:sz w:val="22"/>
          <w:szCs w:val="22"/>
          <w:lang w:val="fr-CA"/>
        </w:rPr>
        <w:t xml:space="preserve"> du programme pour la période 2010-2014 proposé par les Parties dans la</w:t>
      </w:r>
      <w:r w:rsidR="00D77D3D">
        <w:rPr>
          <w:bCs/>
          <w:kern w:val="22"/>
          <w:sz w:val="22"/>
          <w:szCs w:val="22"/>
          <w:lang w:val="fr-CA"/>
        </w:rPr>
        <w:t xml:space="preserve"> décision IX/31 proposait une d</w:t>
      </w:r>
      <w:r>
        <w:rPr>
          <w:bCs/>
          <w:kern w:val="22"/>
          <w:sz w:val="22"/>
          <w:szCs w:val="22"/>
          <w:lang w:val="fr-CA"/>
        </w:rPr>
        <w:t xml:space="preserve">émarche semblable à celles de la septième période de reconstitution. </w:t>
      </w:r>
      <w:r w:rsidRPr="00D77D3D">
        <w:rPr>
          <w:bCs/>
          <w:kern w:val="22"/>
          <w:sz w:val="22"/>
          <w:szCs w:val="22"/>
          <w:lang w:val="fr-CA"/>
        </w:rPr>
        <w:t xml:space="preserve">Il comprenait six domaines d’intervention comportant chacun de deux </w:t>
      </w:r>
      <w:r w:rsidR="00D77D3D">
        <w:rPr>
          <w:bCs/>
          <w:kern w:val="22"/>
          <w:sz w:val="22"/>
          <w:szCs w:val="22"/>
          <w:lang w:val="fr-CA"/>
        </w:rPr>
        <w:t>à huit résultats es</w:t>
      </w:r>
      <w:r w:rsidRPr="00D77D3D">
        <w:rPr>
          <w:bCs/>
          <w:kern w:val="22"/>
          <w:sz w:val="22"/>
          <w:szCs w:val="22"/>
          <w:lang w:val="fr-CA"/>
        </w:rPr>
        <w:t xml:space="preserve">comptés. Contrairement au cadre de la septième période de reconstitution, il n’offrait aucun texte d’accompagnement de nature stratégique. Dans sa décision, la Conférence des Parties a reconnu que la stratégie pour la </w:t>
      </w:r>
      <w:r w:rsidR="00657623">
        <w:rPr>
          <w:bCs/>
          <w:kern w:val="22"/>
          <w:sz w:val="22"/>
          <w:szCs w:val="22"/>
          <w:lang w:val="fr-CA"/>
        </w:rPr>
        <w:t>diversité biologique</w:t>
      </w:r>
      <w:r w:rsidRPr="00D77D3D">
        <w:rPr>
          <w:bCs/>
          <w:kern w:val="22"/>
          <w:sz w:val="22"/>
          <w:szCs w:val="22"/>
          <w:lang w:val="fr-CA"/>
        </w:rPr>
        <w:t xml:space="preserve"> de la quatrième période de reconstitution du FEM représentait un point de départ utile pour la cinquième période de </w:t>
      </w:r>
      <w:r w:rsidR="00D77D3D">
        <w:rPr>
          <w:bCs/>
          <w:kern w:val="22"/>
          <w:sz w:val="22"/>
          <w:szCs w:val="22"/>
          <w:lang w:val="fr-CA"/>
        </w:rPr>
        <w:t>reconstitution</w:t>
      </w:r>
      <w:r w:rsidRPr="00D77D3D">
        <w:rPr>
          <w:bCs/>
          <w:kern w:val="22"/>
          <w:sz w:val="22"/>
          <w:szCs w:val="22"/>
          <w:lang w:val="fr-CA"/>
        </w:rPr>
        <w:t xml:space="preserve"> du FEM et </w:t>
      </w:r>
      <w:r w:rsidR="00D77D3D">
        <w:rPr>
          <w:bCs/>
          <w:kern w:val="22"/>
          <w:sz w:val="22"/>
          <w:szCs w:val="22"/>
          <w:lang w:val="fr-CA"/>
        </w:rPr>
        <w:t>demandait</w:t>
      </w:r>
      <w:r w:rsidRPr="00D77D3D">
        <w:rPr>
          <w:bCs/>
          <w:kern w:val="22"/>
          <w:sz w:val="22"/>
          <w:szCs w:val="22"/>
          <w:lang w:val="fr-CA"/>
        </w:rPr>
        <w:t xml:space="preserve"> au FEM de développer la stratégie de la quatrième période de </w:t>
      </w:r>
      <w:r w:rsidR="00D77D3D">
        <w:rPr>
          <w:bCs/>
          <w:kern w:val="22"/>
          <w:sz w:val="22"/>
          <w:szCs w:val="22"/>
          <w:lang w:val="fr-CA"/>
        </w:rPr>
        <w:t>reconstitution</w:t>
      </w:r>
      <w:r w:rsidRPr="00D77D3D">
        <w:rPr>
          <w:bCs/>
          <w:kern w:val="22"/>
          <w:sz w:val="22"/>
          <w:szCs w:val="22"/>
          <w:lang w:val="fr-CA"/>
        </w:rPr>
        <w:t xml:space="preserve"> du FEM pour la</w:t>
      </w:r>
      <w:r>
        <w:rPr>
          <w:bCs/>
          <w:kern w:val="22"/>
          <w:sz w:val="22"/>
          <w:szCs w:val="22"/>
          <w:lang w:val="fr-CA"/>
        </w:rPr>
        <w:t xml:space="preserve"> ci</w:t>
      </w:r>
      <w:r w:rsidR="00D77D3D">
        <w:rPr>
          <w:bCs/>
          <w:kern w:val="22"/>
          <w:sz w:val="22"/>
          <w:szCs w:val="22"/>
          <w:lang w:val="fr-CA"/>
        </w:rPr>
        <w:t>nq</w:t>
      </w:r>
      <w:r>
        <w:rPr>
          <w:bCs/>
          <w:kern w:val="22"/>
          <w:sz w:val="22"/>
          <w:szCs w:val="22"/>
          <w:lang w:val="fr-CA"/>
        </w:rPr>
        <w:t>u</w:t>
      </w:r>
      <w:r w:rsidR="00D77D3D">
        <w:rPr>
          <w:bCs/>
          <w:kern w:val="22"/>
          <w:sz w:val="22"/>
          <w:szCs w:val="22"/>
          <w:lang w:val="fr-CA"/>
        </w:rPr>
        <w:t>iè</w:t>
      </w:r>
      <w:r>
        <w:rPr>
          <w:bCs/>
          <w:kern w:val="22"/>
          <w:sz w:val="22"/>
          <w:szCs w:val="22"/>
          <w:lang w:val="fr-CA"/>
        </w:rPr>
        <w:t>me période de reconstitution</w:t>
      </w:r>
      <w:r w:rsidR="00D77D3D">
        <w:rPr>
          <w:bCs/>
          <w:kern w:val="22"/>
          <w:sz w:val="22"/>
          <w:szCs w:val="22"/>
          <w:lang w:val="fr-CA"/>
        </w:rPr>
        <w:t xml:space="preserve"> </w:t>
      </w:r>
      <w:r>
        <w:rPr>
          <w:bCs/>
          <w:kern w:val="22"/>
          <w:sz w:val="22"/>
          <w:szCs w:val="22"/>
          <w:lang w:val="fr-CA"/>
        </w:rPr>
        <w:t>du FEM e</w:t>
      </w:r>
      <w:r w:rsidR="00D77D3D">
        <w:rPr>
          <w:bCs/>
          <w:kern w:val="22"/>
          <w:sz w:val="22"/>
          <w:szCs w:val="22"/>
          <w:lang w:val="fr-CA"/>
        </w:rPr>
        <w:t>n se fondant sur le cadre quadr</w:t>
      </w:r>
      <w:r>
        <w:rPr>
          <w:bCs/>
          <w:kern w:val="22"/>
          <w:sz w:val="22"/>
          <w:szCs w:val="22"/>
          <w:lang w:val="fr-CA"/>
        </w:rPr>
        <w:t>i</w:t>
      </w:r>
      <w:r w:rsidR="00D77D3D">
        <w:rPr>
          <w:bCs/>
          <w:kern w:val="22"/>
          <w:sz w:val="22"/>
          <w:szCs w:val="22"/>
          <w:lang w:val="fr-CA"/>
        </w:rPr>
        <w:t>ennal</w:t>
      </w:r>
      <w:r>
        <w:rPr>
          <w:bCs/>
          <w:kern w:val="22"/>
          <w:sz w:val="22"/>
          <w:szCs w:val="22"/>
          <w:lang w:val="fr-CA"/>
        </w:rPr>
        <w:t xml:space="preserve"> des priorités du programme joint en annexe à la décision</w:t>
      </w:r>
      <w:r w:rsidR="00EF1825" w:rsidRPr="003F75BC">
        <w:rPr>
          <w:bCs/>
          <w:kern w:val="22"/>
          <w:sz w:val="22"/>
          <w:szCs w:val="22"/>
          <w:lang w:val="fr-CA"/>
        </w:rPr>
        <w:t>.</w:t>
      </w:r>
    </w:p>
    <w:p w14:paraId="2FF6F1DC" w14:textId="5E325DB7" w:rsidR="003D0166" w:rsidRPr="00D77D3D" w:rsidRDefault="00D77D3D" w:rsidP="00516B43">
      <w:pPr>
        <w:pStyle w:val="Para1"/>
        <w:numPr>
          <w:ilvl w:val="0"/>
          <w:numId w:val="13"/>
        </w:numPr>
        <w:suppressLineNumbers/>
        <w:tabs>
          <w:tab w:val="num" w:pos="720"/>
        </w:tabs>
        <w:suppressAutoHyphens/>
        <w:spacing w:before="120"/>
        <w:ind w:left="0" w:firstLine="0"/>
        <w:jc w:val="both"/>
        <w:rPr>
          <w:bCs/>
          <w:kern w:val="22"/>
          <w:sz w:val="22"/>
          <w:szCs w:val="22"/>
          <w:lang w:val="fr-CA"/>
        </w:rPr>
      </w:pPr>
      <w:r>
        <w:rPr>
          <w:bCs/>
          <w:kern w:val="22"/>
          <w:sz w:val="22"/>
          <w:szCs w:val="22"/>
          <w:lang w:val="fr-CA"/>
        </w:rPr>
        <w:t>Gardant tout ceci à l’esprit et soulignant le rôle critique que jouera le FEM dans l’</w:t>
      </w:r>
      <w:r w:rsidR="00C9428F">
        <w:rPr>
          <w:bCs/>
          <w:kern w:val="22"/>
          <w:sz w:val="22"/>
          <w:szCs w:val="22"/>
          <w:lang w:val="fr-CA"/>
        </w:rPr>
        <w:t>applicati</w:t>
      </w:r>
      <w:r>
        <w:rPr>
          <w:bCs/>
          <w:kern w:val="22"/>
          <w:sz w:val="22"/>
          <w:szCs w:val="22"/>
          <w:lang w:val="fr-CA"/>
        </w:rPr>
        <w:t>on du cadre mondial de la biodiversité pour l</w:t>
      </w:r>
      <w:r w:rsidR="007D6D34">
        <w:rPr>
          <w:bCs/>
          <w:kern w:val="22"/>
          <w:sz w:val="22"/>
          <w:szCs w:val="22"/>
          <w:lang w:val="fr-CA"/>
        </w:rPr>
        <w:t>’</w:t>
      </w:r>
      <w:r>
        <w:rPr>
          <w:bCs/>
          <w:kern w:val="22"/>
          <w:sz w:val="22"/>
          <w:szCs w:val="22"/>
          <w:lang w:val="fr-CA"/>
        </w:rPr>
        <w:t xml:space="preserve">après-2020 et la mise en œuvre efficace de la Convention et de ses Protocoles, la structure et le contenu du cadre quadriennal des priorités du programme axé sur les résultats de la huitième période de reconstitution (juillet 2022 à juin 2026) </w:t>
      </w:r>
      <w:r w:rsidR="00DE48E1">
        <w:rPr>
          <w:bCs/>
          <w:kern w:val="22"/>
          <w:sz w:val="22"/>
          <w:szCs w:val="22"/>
          <w:lang w:val="fr-CA"/>
        </w:rPr>
        <w:t xml:space="preserve">des ressources </w:t>
      </w:r>
      <w:r>
        <w:rPr>
          <w:bCs/>
          <w:kern w:val="22"/>
          <w:sz w:val="22"/>
          <w:szCs w:val="22"/>
          <w:lang w:val="fr-CA"/>
        </w:rPr>
        <w:t xml:space="preserve">de la Caisse du </w:t>
      </w:r>
      <w:r w:rsidR="00653A11">
        <w:rPr>
          <w:bCs/>
          <w:kern w:val="22"/>
          <w:sz w:val="22"/>
          <w:szCs w:val="22"/>
          <w:lang w:val="fr-CA"/>
        </w:rPr>
        <w:t>FEM</w:t>
      </w:r>
      <w:r w:rsidR="00501A70">
        <w:rPr>
          <w:bCs/>
          <w:kern w:val="22"/>
          <w:sz w:val="22"/>
          <w:szCs w:val="22"/>
          <w:lang w:val="fr-CA"/>
        </w:rPr>
        <w:t xml:space="preserve"> pourraient reposer sur les sources d’information suivantes</w:t>
      </w:r>
      <w:r w:rsidR="007D6D34">
        <w:rPr>
          <w:bCs/>
          <w:kern w:val="22"/>
          <w:sz w:val="22"/>
          <w:szCs w:val="22"/>
          <w:lang w:val="fr-CA"/>
        </w:rPr>
        <w:t> </w:t>
      </w:r>
      <w:r w:rsidR="008757EF" w:rsidRPr="00D77D3D">
        <w:rPr>
          <w:bCs/>
          <w:kern w:val="22"/>
          <w:sz w:val="22"/>
          <w:szCs w:val="22"/>
          <w:lang w:val="fr-CA"/>
        </w:rPr>
        <w:t>:</w:t>
      </w:r>
    </w:p>
    <w:p w14:paraId="2F7D187D" w14:textId="42121867" w:rsidR="00ED3750" w:rsidRPr="00A83A51" w:rsidRDefault="00C9428F" w:rsidP="00C9428F">
      <w:pPr>
        <w:pStyle w:val="Para1"/>
        <w:numPr>
          <w:ilvl w:val="1"/>
          <w:numId w:val="19"/>
        </w:numPr>
        <w:suppressLineNumbers/>
        <w:suppressAutoHyphens/>
        <w:spacing w:before="120"/>
        <w:jc w:val="both"/>
        <w:rPr>
          <w:kern w:val="22"/>
          <w:sz w:val="22"/>
          <w:szCs w:val="22"/>
          <w:lang w:val="fr-CA"/>
        </w:rPr>
      </w:pPr>
      <w:r w:rsidRPr="00A83A51">
        <w:rPr>
          <w:kern w:val="22"/>
          <w:sz w:val="22"/>
          <w:szCs w:val="22"/>
          <w:lang w:val="fr-CA"/>
        </w:rPr>
        <w:t xml:space="preserve">Le </w:t>
      </w:r>
      <w:r w:rsidR="00A83A51">
        <w:rPr>
          <w:kern w:val="22"/>
          <w:sz w:val="22"/>
          <w:szCs w:val="22"/>
          <w:lang w:val="fr-CA"/>
        </w:rPr>
        <w:t>cadre mondial de la biodiversité pour l</w:t>
      </w:r>
      <w:r w:rsidR="007D6D34">
        <w:rPr>
          <w:kern w:val="22"/>
          <w:sz w:val="22"/>
          <w:szCs w:val="22"/>
          <w:lang w:val="fr-CA"/>
        </w:rPr>
        <w:t>’</w:t>
      </w:r>
      <w:r w:rsidR="00A83A51">
        <w:rPr>
          <w:kern w:val="22"/>
          <w:sz w:val="22"/>
          <w:szCs w:val="22"/>
          <w:lang w:val="fr-CA"/>
        </w:rPr>
        <w:t xml:space="preserve">après-2020 </w:t>
      </w:r>
      <w:r w:rsidRPr="00A83A51">
        <w:rPr>
          <w:kern w:val="22"/>
          <w:sz w:val="22"/>
          <w:szCs w:val="22"/>
          <w:lang w:val="fr-CA"/>
        </w:rPr>
        <w:t xml:space="preserve">et son cadre de suivi, et les projets de cadre, avant leur </w:t>
      </w:r>
      <w:r w:rsidR="00A83A51">
        <w:rPr>
          <w:kern w:val="22"/>
          <w:sz w:val="22"/>
          <w:szCs w:val="22"/>
          <w:lang w:val="fr-CA"/>
        </w:rPr>
        <w:t xml:space="preserve">mise au point finale et leur </w:t>
      </w:r>
      <w:r w:rsidRPr="00A83A51">
        <w:rPr>
          <w:kern w:val="22"/>
          <w:sz w:val="22"/>
          <w:szCs w:val="22"/>
          <w:lang w:val="fr-CA"/>
        </w:rPr>
        <w:t>adoption</w:t>
      </w:r>
      <w:r w:rsidR="007D6D34">
        <w:rPr>
          <w:kern w:val="22"/>
          <w:sz w:val="22"/>
          <w:szCs w:val="22"/>
          <w:lang w:val="fr-CA"/>
        </w:rPr>
        <w:t> </w:t>
      </w:r>
      <w:r w:rsidR="00ED3750" w:rsidRPr="00A83A51">
        <w:rPr>
          <w:kern w:val="22"/>
          <w:sz w:val="22"/>
          <w:szCs w:val="22"/>
          <w:lang w:val="fr-CA"/>
        </w:rPr>
        <w:t>;</w:t>
      </w:r>
    </w:p>
    <w:p w14:paraId="6F12A9C8" w14:textId="00F91523" w:rsidR="00ED3750" w:rsidRPr="00D77D3D" w:rsidRDefault="00A160D4" w:rsidP="00516B43">
      <w:pPr>
        <w:pStyle w:val="Para1"/>
        <w:numPr>
          <w:ilvl w:val="1"/>
          <w:numId w:val="19"/>
        </w:numPr>
        <w:suppressLineNumbers/>
        <w:suppressAutoHyphens/>
        <w:spacing w:before="120"/>
        <w:jc w:val="both"/>
        <w:rPr>
          <w:kern w:val="22"/>
          <w:sz w:val="22"/>
          <w:szCs w:val="22"/>
          <w:lang w:val="fr-CA"/>
        </w:rPr>
      </w:pPr>
      <w:r>
        <w:rPr>
          <w:bCs/>
          <w:kern w:val="22"/>
          <w:sz w:val="22"/>
          <w:szCs w:val="22"/>
          <w:lang w:val="fr-CA"/>
        </w:rPr>
        <w:t xml:space="preserve">Les conclusions de la cinquième édition des </w:t>
      </w:r>
      <w:r w:rsidRPr="00A11212">
        <w:rPr>
          <w:bCs/>
          <w:i/>
          <w:kern w:val="22"/>
          <w:sz w:val="22"/>
          <w:szCs w:val="22"/>
          <w:lang w:val="fr-CA"/>
        </w:rPr>
        <w:t>Perspectives mondiales de la diversité biologique</w:t>
      </w:r>
      <w:r>
        <w:rPr>
          <w:bCs/>
          <w:kern w:val="22"/>
          <w:sz w:val="22"/>
          <w:szCs w:val="22"/>
          <w:lang w:val="fr-CA"/>
        </w:rPr>
        <w:t xml:space="preserve"> et les transitions nécessaires qu’elles préconisent pour les changements transformationnels que le </w:t>
      </w:r>
      <w:r w:rsidR="00A11212">
        <w:rPr>
          <w:bCs/>
          <w:kern w:val="22"/>
          <w:sz w:val="22"/>
          <w:szCs w:val="22"/>
          <w:lang w:val="fr-CA"/>
        </w:rPr>
        <w:t>cadre mondial de la biodiversité pour l</w:t>
      </w:r>
      <w:r w:rsidR="007D6D34">
        <w:rPr>
          <w:bCs/>
          <w:kern w:val="22"/>
          <w:sz w:val="22"/>
          <w:szCs w:val="22"/>
          <w:lang w:val="fr-CA"/>
        </w:rPr>
        <w:t>’</w:t>
      </w:r>
      <w:r w:rsidR="00A11212">
        <w:rPr>
          <w:bCs/>
          <w:kern w:val="22"/>
          <w:sz w:val="22"/>
          <w:szCs w:val="22"/>
          <w:lang w:val="fr-CA"/>
        </w:rPr>
        <w:t xml:space="preserve">après-2020 </w:t>
      </w:r>
      <w:r>
        <w:rPr>
          <w:bCs/>
          <w:kern w:val="22"/>
          <w:sz w:val="22"/>
          <w:szCs w:val="22"/>
          <w:lang w:val="fr-CA"/>
        </w:rPr>
        <w:t>cherchera à motiver</w:t>
      </w:r>
      <w:r w:rsidR="007D6D34">
        <w:rPr>
          <w:bCs/>
          <w:kern w:val="22"/>
          <w:sz w:val="22"/>
          <w:szCs w:val="22"/>
          <w:lang w:val="fr-CA"/>
        </w:rPr>
        <w:t> </w:t>
      </w:r>
      <w:r w:rsidR="00ED3750" w:rsidRPr="00D77D3D">
        <w:rPr>
          <w:bCs/>
          <w:kern w:val="22"/>
          <w:sz w:val="22"/>
          <w:szCs w:val="22"/>
          <w:lang w:val="fr-CA"/>
        </w:rPr>
        <w:t>;</w:t>
      </w:r>
    </w:p>
    <w:p w14:paraId="631EBAF5" w14:textId="6070511B" w:rsidR="003D0166" w:rsidRPr="00D77D3D" w:rsidRDefault="00B142C7" w:rsidP="00516B43">
      <w:pPr>
        <w:pStyle w:val="Para1"/>
        <w:numPr>
          <w:ilvl w:val="1"/>
          <w:numId w:val="19"/>
        </w:numPr>
        <w:suppressLineNumbers/>
        <w:suppressAutoHyphens/>
        <w:spacing w:before="120"/>
        <w:jc w:val="both"/>
        <w:rPr>
          <w:kern w:val="22"/>
          <w:sz w:val="22"/>
          <w:szCs w:val="22"/>
          <w:lang w:val="fr-CA"/>
        </w:rPr>
      </w:pPr>
      <w:r>
        <w:rPr>
          <w:kern w:val="22"/>
          <w:sz w:val="22"/>
          <w:szCs w:val="22"/>
          <w:lang w:val="fr-CA"/>
        </w:rPr>
        <w:t>Le Plan stratégique pour la diversité biologique 2011-2020 et ses Objectifs d’Aichi pour la biodiversité, étant donné que le cadre mondial de la biodiversité pour l</w:t>
      </w:r>
      <w:r w:rsidR="007D6D34">
        <w:rPr>
          <w:kern w:val="22"/>
          <w:sz w:val="22"/>
          <w:szCs w:val="22"/>
          <w:lang w:val="fr-CA"/>
        </w:rPr>
        <w:t>’</w:t>
      </w:r>
      <w:r>
        <w:rPr>
          <w:kern w:val="22"/>
          <w:sz w:val="22"/>
          <w:szCs w:val="22"/>
          <w:lang w:val="fr-CA"/>
        </w:rPr>
        <w:t>après-2020 prendra appui sur ceux-ci</w:t>
      </w:r>
      <w:r w:rsidR="007D6D34">
        <w:rPr>
          <w:kern w:val="22"/>
          <w:sz w:val="22"/>
          <w:szCs w:val="22"/>
          <w:lang w:val="fr-CA"/>
        </w:rPr>
        <w:t> </w:t>
      </w:r>
      <w:r w:rsidR="003D0166" w:rsidRPr="00D77D3D">
        <w:rPr>
          <w:kern w:val="22"/>
          <w:sz w:val="22"/>
          <w:szCs w:val="22"/>
          <w:lang w:val="fr-CA"/>
        </w:rPr>
        <w:t>;</w:t>
      </w:r>
    </w:p>
    <w:p w14:paraId="2CF73055" w14:textId="7AED141E" w:rsidR="003D0166" w:rsidRPr="00B142C7" w:rsidRDefault="00B142C7" w:rsidP="00516B43">
      <w:pPr>
        <w:pStyle w:val="Para1"/>
        <w:numPr>
          <w:ilvl w:val="1"/>
          <w:numId w:val="19"/>
        </w:numPr>
        <w:suppressLineNumbers/>
        <w:suppressAutoHyphens/>
        <w:spacing w:before="120"/>
        <w:jc w:val="both"/>
        <w:rPr>
          <w:kern w:val="22"/>
          <w:sz w:val="22"/>
          <w:szCs w:val="22"/>
          <w:lang w:val="fr-CA"/>
        </w:rPr>
      </w:pPr>
      <w:r>
        <w:rPr>
          <w:kern w:val="22"/>
          <w:sz w:val="22"/>
          <w:szCs w:val="22"/>
          <w:lang w:val="fr-CA"/>
        </w:rPr>
        <w:t>Les aspects pertinents du Programme de développement durable à l’horizon 2030 et ses Objectifs de développement durable et leurs cibles, étant donné les engagements existants</w:t>
      </w:r>
      <w:r w:rsidR="00A1362D">
        <w:rPr>
          <w:kern w:val="22"/>
          <w:sz w:val="22"/>
          <w:szCs w:val="22"/>
          <w:lang w:val="fr-CA"/>
        </w:rPr>
        <w:t xml:space="preserve"> qu’ils procurent et </w:t>
      </w:r>
      <w:r w:rsidR="007E3947">
        <w:rPr>
          <w:kern w:val="22"/>
          <w:sz w:val="22"/>
          <w:szCs w:val="22"/>
          <w:lang w:val="fr-CA"/>
        </w:rPr>
        <w:t xml:space="preserve">le caractère complémentaire du </w:t>
      </w:r>
      <w:r w:rsidR="00A1362D">
        <w:rPr>
          <w:kern w:val="22"/>
          <w:sz w:val="22"/>
          <w:szCs w:val="22"/>
          <w:lang w:val="fr-CA"/>
        </w:rPr>
        <w:t>cadre mondial de la biodiversité pour l</w:t>
      </w:r>
      <w:r w:rsidR="007D6D34">
        <w:rPr>
          <w:kern w:val="22"/>
          <w:sz w:val="22"/>
          <w:szCs w:val="22"/>
          <w:lang w:val="fr-CA"/>
        </w:rPr>
        <w:t>’</w:t>
      </w:r>
      <w:r w:rsidR="00A1362D">
        <w:rPr>
          <w:kern w:val="22"/>
          <w:sz w:val="22"/>
          <w:szCs w:val="22"/>
          <w:lang w:val="fr-CA"/>
        </w:rPr>
        <w:t>après-2020</w:t>
      </w:r>
      <w:r w:rsidR="007D6D34">
        <w:rPr>
          <w:kern w:val="22"/>
          <w:sz w:val="22"/>
          <w:szCs w:val="22"/>
          <w:lang w:val="fr-CA"/>
        </w:rPr>
        <w:t> </w:t>
      </w:r>
      <w:r w:rsidR="00ED3750" w:rsidRPr="00B142C7">
        <w:rPr>
          <w:kern w:val="22"/>
          <w:sz w:val="22"/>
          <w:szCs w:val="22"/>
          <w:lang w:val="fr-CA"/>
        </w:rPr>
        <w:t>;</w:t>
      </w:r>
    </w:p>
    <w:p w14:paraId="71EBEB64" w14:textId="4208667D" w:rsidR="008757EF" w:rsidRPr="00B142C7" w:rsidRDefault="00A1362D" w:rsidP="00516B43">
      <w:pPr>
        <w:pStyle w:val="Para1"/>
        <w:numPr>
          <w:ilvl w:val="1"/>
          <w:numId w:val="19"/>
        </w:numPr>
        <w:suppressLineNumbers/>
        <w:suppressAutoHyphens/>
        <w:spacing w:before="120"/>
        <w:jc w:val="both"/>
        <w:rPr>
          <w:kern w:val="22"/>
          <w:sz w:val="22"/>
          <w:szCs w:val="22"/>
          <w:lang w:val="fr-CA"/>
        </w:rPr>
      </w:pPr>
      <w:r>
        <w:rPr>
          <w:kern w:val="22"/>
          <w:sz w:val="22"/>
          <w:szCs w:val="22"/>
          <w:lang w:val="fr-CA"/>
        </w:rPr>
        <w:t>La priorité accordée à l</w:t>
      </w:r>
      <w:r w:rsidR="009075E4">
        <w:rPr>
          <w:kern w:val="22"/>
          <w:sz w:val="22"/>
          <w:szCs w:val="22"/>
          <w:lang w:val="fr-CA"/>
        </w:rPr>
        <w:t>a mise en œuvre des Protocoles de</w:t>
      </w:r>
      <w:r>
        <w:rPr>
          <w:kern w:val="22"/>
          <w:sz w:val="22"/>
          <w:szCs w:val="22"/>
          <w:lang w:val="fr-CA"/>
        </w:rPr>
        <w:t xml:space="preserve"> la Convention, dont le plan de mise en œuvre et le plan d’action de renforcement des capacités pour le Protocole de Cartagena </w:t>
      </w:r>
      <w:r w:rsidR="008757EF" w:rsidRPr="00B142C7">
        <w:rPr>
          <w:kern w:val="22"/>
          <w:sz w:val="22"/>
          <w:szCs w:val="22"/>
          <w:lang w:val="fr-CA"/>
        </w:rPr>
        <w:t>(CBD/SBI/3/18)</w:t>
      </w:r>
      <w:r w:rsidR="007D6D34">
        <w:rPr>
          <w:kern w:val="22"/>
          <w:sz w:val="22"/>
          <w:szCs w:val="22"/>
          <w:lang w:val="fr-CA"/>
        </w:rPr>
        <w:t> </w:t>
      </w:r>
      <w:r w:rsidR="008757EF" w:rsidRPr="00B142C7">
        <w:rPr>
          <w:kern w:val="22"/>
          <w:sz w:val="22"/>
          <w:szCs w:val="22"/>
          <w:lang w:val="fr-CA"/>
        </w:rPr>
        <w:t>;</w:t>
      </w:r>
    </w:p>
    <w:p w14:paraId="53B3EA1E" w14:textId="4DF70DE9" w:rsidR="008757EF" w:rsidRPr="00B142C7" w:rsidRDefault="00A1362D" w:rsidP="00516B43">
      <w:pPr>
        <w:pStyle w:val="Para1"/>
        <w:numPr>
          <w:ilvl w:val="1"/>
          <w:numId w:val="19"/>
        </w:numPr>
        <w:suppressLineNumbers/>
        <w:suppressAutoHyphens/>
        <w:spacing w:before="120"/>
        <w:jc w:val="both"/>
        <w:rPr>
          <w:bCs/>
          <w:kern w:val="22"/>
          <w:sz w:val="22"/>
          <w:szCs w:val="22"/>
          <w:lang w:val="fr-CA"/>
        </w:rPr>
      </w:pPr>
      <w:r>
        <w:rPr>
          <w:bCs/>
          <w:kern w:val="22"/>
          <w:sz w:val="22"/>
          <w:szCs w:val="22"/>
          <w:lang w:val="fr-CA"/>
        </w:rPr>
        <w:lastRenderedPageBreak/>
        <w:t>Les mécanismes adoptés par la Conférence des</w:t>
      </w:r>
      <w:r w:rsidR="007E3947">
        <w:rPr>
          <w:bCs/>
          <w:kern w:val="22"/>
          <w:sz w:val="22"/>
          <w:szCs w:val="22"/>
          <w:lang w:val="fr-CA"/>
        </w:rPr>
        <w:t xml:space="preserve"> Parties à sa quinzième réunion</w:t>
      </w:r>
      <w:r>
        <w:rPr>
          <w:bCs/>
          <w:kern w:val="22"/>
          <w:sz w:val="22"/>
          <w:szCs w:val="22"/>
          <w:lang w:val="fr-CA"/>
        </w:rPr>
        <w:t xml:space="preserve"> en appui à la mise en œuvre du </w:t>
      </w:r>
      <w:r w:rsidR="007E3947">
        <w:rPr>
          <w:bCs/>
          <w:kern w:val="22"/>
          <w:sz w:val="22"/>
          <w:szCs w:val="22"/>
          <w:lang w:val="fr-CA"/>
        </w:rPr>
        <w:t>cadre mondial de la biodiversité pour l</w:t>
      </w:r>
      <w:r w:rsidR="007D6D34">
        <w:rPr>
          <w:bCs/>
          <w:kern w:val="22"/>
          <w:sz w:val="22"/>
          <w:szCs w:val="22"/>
          <w:lang w:val="fr-CA"/>
        </w:rPr>
        <w:t>’</w:t>
      </w:r>
      <w:r w:rsidR="007E3947">
        <w:rPr>
          <w:bCs/>
          <w:kern w:val="22"/>
          <w:sz w:val="22"/>
          <w:szCs w:val="22"/>
          <w:lang w:val="fr-CA"/>
        </w:rPr>
        <w:t xml:space="preserve">après-2020 </w:t>
      </w:r>
      <w:r>
        <w:rPr>
          <w:bCs/>
          <w:kern w:val="22"/>
          <w:sz w:val="22"/>
          <w:szCs w:val="22"/>
          <w:lang w:val="fr-CA"/>
        </w:rPr>
        <w:t>et à la planification, l’établissement de rapports, l’évaluation et l’examen</w:t>
      </w:r>
      <w:r w:rsidR="007D6D34">
        <w:rPr>
          <w:bCs/>
          <w:kern w:val="22"/>
          <w:sz w:val="22"/>
          <w:szCs w:val="22"/>
          <w:lang w:val="fr-CA"/>
        </w:rPr>
        <w:t> </w:t>
      </w:r>
      <w:r w:rsidR="0015004A" w:rsidRPr="00B142C7">
        <w:rPr>
          <w:bCs/>
          <w:kern w:val="22"/>
          <w:sz w:val="22"/>
          <w:szCs w:val="22"/>
          <w:lang w:val="fr-CA"/>
        </w:rPr>
        <w:t>;</w:t>
      </w:r>
    </w:p>
    <w:p w14:paraId="641B9FAF" w14:textId="19DD76F8" w:rsidR="002751D6" w:rsidRPr="00B142C7" w:rsidRDefault="00A1362D" w:rsidP="00516B43">
      <w:pPr>
        <w:pStyle w:val="Para1"/>
        <w:numPr>
          <w:ilvl w:val="1"/>
          <w:numId w:val="19"/>
        </w:numPr>
        <w:suppressLineNumbers/>
        <w:suppressAutoHyphens/>
        <w:spacing w:before="120"/>
        <w:jc w:val="both"/>
        <w:rPr>
          <w:kern w:val="22"/>
          <w:sz w:val="22"/>
          <w:szCs w:val="22"/>
          <w:lang w:val="fr-CA"/>
        </w:rPr>
      </w:pPr>
      <w:r>
        <w:rPr>
          <w:bCs/>
          <w:kern w:val="22"/>
          <w:sz w:val="22"/>
          <w:szCs w:val="22"/>
          <w:lang w:val="fr-CA"/>
        </w:rPr>
        <w:t xml:space="preserve">Les conclusions de l’évaluation des sommes requises pour </w:t>
      </w:r>
      <w:r w:rsidR="007E3947">
        <w:rPr>
          <w:bCs/>
          <w:kern w:val="22"/>
          <w:sz w:val="22"/>
          <w:szCs w:val="22"/>
          <w:lang w:val="fr-CA"/>
        </w:rPr>
        <w:t>l’application</w:t>
      </w:r>
      <w:r>
        <w:rPr>
          <w:bCs/>
          <w:kern w:val="22"/>
          <w:sz w:val="22"/>
          <w:szCs w:val="22"/>
          <w:lang w:val="fr-CA"/>
        </w:rPr>
        <w:t xml:space="preserve"> de la Convention et de ses Protocoles </w:t>
      </w:r>
      <w:r w:rsidR="007E3947">
        <w:rPr>
          <w:bCs/>
          <w:kern w:val="22"/>
          <w:sz w:val="22"/>
          <w:szCs w:val="22"/>
          <w:lang w:val="fr-CA"/>
        </w:rPr>
        <w:t>au cours de</w:t>
      </w:r>
      <w:r>
        <w:rPr>
          <w:bCs/>
          <w:kern w:val="22"/>
          <w:sz w:val="22"/>
          <w:szCs w:val="22"/>
          <w:lang w:val="fr-CA"/>
        </w:rPr>
        <w:t xml:space="preserve"> la huitième période de reconstitution des ressources de la Caisse du </w:t>
      </w:r>
      <w:r w:rsidR="007E3947">
        <w:rPr>
          <w:bCs/>
          <w:kern w:val="22"/>
          <w:sz w:val="22"/>
          <w:szCs w:val="22"/>
          <w:lang w:val="fr-CA"/>
        </w:rPr>
        <w:t>FEM</w:t>
      </w:r>
      <w:r w:rsidR="007D6D34">
        <w:rPr>
          <w:bCs/>
          <w:kern w:val="22"/>
          <w:sz w:val="22"/>
          <w:szCs w:val="22"/>
          <w:lang w:val="fr-CA"/>
        </w:rPr>
        <w:t> </w:t>
      </w:r>
      <w:r w:rsidR="00D27673" w:rsidRPr="00B142C7">
        <w:rPr>
          <w:bCs/>
          <w:kern w:val="22"/>
          <w:sz w:val="22"/>
          <w:szCs w:val="22"/>
          <w:lang w:val="fr-CA"/>
        </w:rPr>
        <w:t>;</w:t>
      </w:r>
    </w:p>
    <w:p w14:paraId="7B076B9F" w14:textId="6029BAF8" w:rsidR="008757EF" w:rsidRPr="00B142C7" w:rsidRDefault="00A63C50" w:rsidP="00516B43">
      <w:pPr>
        <w:pStyle w:val="Para1"/>
        <w:numPr>
          <w:ilvl w:val="1"/>
          <w:numId w:val="19"/>
        </w:numPr>
        <w:suppressLineNumbers/>
        <w:suppressAutoHyphens/>
        <w:spacing w:before="120"/>
        <w:jc w:val="both"/>
        <w:rPr>
          <w:kern w:val="22"/>
          <w:sz w:val="22"/>
          <w:szCs w:val="22"/>
          <w:lang w:val="fr-CA"/>
        </w:rPr>
      </w:pPr>
      <w:r>
        <w:rPr>
          <w:kern w:val="22"/>
          <w:sz w:val="22"/>
          <w:szCs w:val="22"/>
          <w:lang w:val="fr-CA"/>
        </w:rPr>
        <w:t>Des éléments d’avis stratégiques reçus des conventions relatives à la diversité biologique</w:t>
      </w:r>
      <w:r w:rsidR="007D6D34">
        <w:rPr>
          <w:kern w:val="22"/>
          <w:sz w:val="22"/>
          <w:szCs w:val="22"/>
          <w:lang w:val="fr-CA"/>
        </w:rPr>
        <w:t> </w:t>
      </w:r>
      <w:r w:rsidR="008757EF" w:rsidRPr="00B142C7">
        <w:rPr>
          <w:kern w:val="22"/>
          <w:sz w:val="22"/>
          <w:szCs w:val="22"/>
          <w:lang w:val="fr-CA"/>
        </w:rPr>
        <w:t>;</w:t>
      </w:r>
    </w:p>
    <w:p w14:paraId="2205F2DD" w14:textId="3BF6A2BF" w:rsidR="003D0166" w:rsidRPr="00B142C7" w:rsidRDefault="00A63C50" w:rsidP="00516B43">
      <w:pPr>
        <w:pStyle w:val="Para1"/>
        <w:numPr>
          <w:ilvl w:val="1"/>
          <w:numId w:val="19"/>
        </w:numPr>
        <w:suppressLineNumbers/>
        <w:suppressAutoHyphens/>
        <w:spacing w:before="120"/>
        <w:jc w:val="both"/>
        <w:rPr>
          <w:kern w:val="22"/>
          <w:sz w:val="22"/>
          <w:szCs w:val="22"/>
          <w:lang w:val="fr-CA"/>
        </w:rPr>
      </w:pPr>
      <w:r>
        <w:rPr>
          <w:kern w:val="22"/>
          <w:sz w:val="22"/>
          <w:szCs w:val="22"/>
          <w:lang w:val="fr-CA"/>
        </w:rPr>
        <w:t xml:space="preserve">La stratégie du domaine d’intervention de la diversité biologique de la septième période de reconstitution du </w:t>
      </w:r>
      <w:r w:rsidR="007E3947">
        <w:rPr>
          <w:kern w:val="22"/>
          <w:sz w:val="22"/>
          <w:szCs w:val="22"/>
          <w:lang w:val="fr-CA"/>
        </w:rPr>
        <w:t>FEM</w:t>
      </w:r>
      <w:r>
        <w:rPr>
          <w:kern w:val="22"/>
          <w:sz w:val="22"/>
          <w:szCs w:val="22"/>
          <w:lang w:val="fr-CA"/>
        </w:rPr>
        <w:t xml:space="preserve"> et la direction des programmes de la septième période de reconstitution du </w:t>
      </w:r>
      <w:r w:rsidR="007E3947">
        <w:rPr>
          <w:kern w:val="22"/>
          <w:sz w:val="22"/>
          <w:szCs w:val="22"/>
          <w:lang w:val="fr-CA"/>
        </w:rPr>
        <w:t>FEM</w:t>
      </w:r>
      <w:r>
        <w:rPr>
          <w:kern w:val="22"/>
          <w:sz w:val="22"/>
          <w:szCs w:val="22"/>
          <w:lang w:val="fr-CA"/>
        </w:rPr>
        <w:t>, y compris les éléments favorisant les approches intégrées</w:t>
      </w:r>
      <w:r w:rsidR="007D6D34">
        <w:rPr>
          <w:kern w:val="22"/>
          <w:sz w:val="22"/>
          <w:szCs w:val="22"/>
          <w:lang w:val="fr-CA"/>
        </w:rPr>
        <w:t> </w:t>
      </w:r>
      <w:r w:rsidR="00ED3750" w:rsidRPr="00B142C7">
        <w:rPr>
          <w:kern w:val="22"/>
          <w:sz w:val="22"/>
          <w:szCs w:val="22"/>
          <w:lang w:val="fr-CA"/>
        </w:rPr>
        <w:t>;</w:t>
      </w:r>
    </w:p>
    <w:p w14:paraId="7841428D" w14:textId="7FCE4D61" w:rsidR="005917BD" w:rsidRPr="00B142C7" w:rsidRDefault="00A63C50" w:rsidP="00516B43">
      <w:pPr>
        <w:pStyle w:val="Para1"/>
        <w:numPr>
          <w:ilvl w:val="1"/>
          <w:numId w:val="19"/>
        </w:numPr>
        <w:suppressLineNumbers/>
        <w:suppressAutoHyphens/>
        <w:spacing w:before="120"/>
        <w:jc w:val="both"/>
        <w:rPr>
          <w:kern w:val="22"/>
          <w:sz w:val="22"/>
          <w:szCs w:val="22"/>
          <w:lang w:val="fr-CA"/>
        </w:rPr>
      </w:pPr>
      <w:r>
        <w:rPr>
          <w:bCs/>
          <w:kern w:val="22"/>
          <w:sz w:val="22"/>
          <w:szCs w:val="22"/>
          <w:lang w:val="fr-CA"/>
        </w:rPr>
        <w:t>Le cadre quadriennal des priorités de programme (2018-2022) de la</w:t>
      </w:r>
      <w:r w:rsidR="00D2444B">
        <w:rPr>
          <w:bCs/>
          <w:kern w:val="22"/>
          <w:sz w:val="22"/>
          <w:szCs w:val="22"/>
          <w:lang w:val="fr-CA"/>
        </w:rPr>
        <w:t xml:space="preserve"> septi</w:t>
      </w:r>
      <w:r>
        <w:rPr>
          <w:bCs/>
          <w:kern w:val="22"/>
          <w:sz w:val="22"/>
          <w:szCs w:val="22"/>
          <w:lang w:val="fr-CA"/>
        </w:rPr>
        <w:t>ème période de reconstitution (annexe I à la décision XIII/21)</w:t>
      </w:r>
      <w:r w:rsidR="007D6D34">
        <w:rPr>
          <w:bCs/>
          <w:kern w:val="22"/>
          <w:sz w:val="22"/>
          <w:szCs w:val="22"/>
          <w:lang w:val="fr-CA"/>
        </w:rPr>
        <w:t> </w:t>
      </w:r>
      <w:r w:rsidR="00D2444B">
        <w:rPr>
          <w:bCs/>
          <w:kern w:val="22"/>
          <w:sz w:val="22"/>
          <w:szCs w:val="22"/>
          <w:lang w:val="fr-CA"/>
        </w:rPr>
        <w:t>;</w:t>
      </w:r>
    </w:p>
    <w:p w14:paraId="327040B6" w14:textId="287B73D5" w:rsidR="000C3E08" w:rsidRPr="00B142C7" w:rsidRDefault="00D2444B" w:rsidP="00516B43">
      <w:pPr>
        <w:pStyle w:val="Para1"/>
        <w:numPr>
          <w:ilvl w:val="1"/>
          <w:numId w:val="19"/>
        </w:numPr>
        <w:suppressLineNumbers/>
        <w:suppressAutoHyphens/>
        <w:spacing w:before="120"/>
        <w:jc w:val="both"/>
        <w:rPr>
          <w:kern w:val="22"/>
          <w:sz w:val="22"/>
          <w:szCs w:val="22"/>
          <w:lang w:val="fr-CA"/>
        </w:rPr>
      </w:pPr>
      <w:r>
        <w:rPr>
          <w:bCs/>
          <w:kern w:val="22"/>
          <w:sz w:val="22"/>
          <w:szCs w:val="22"/>
          <w:lang w:val="fr-CA"/>
        </w:rPr>
        <w:t xml:space="preserve">Le rapport du Conseil du </w:t>
      </w:r>
      <w:r w:rsidR="001A7946">
        <w:rPr>
          <w:bCs/>
          <w:kern w:val="22"/>
          <w:sz w:val="22"/>
          <w:szCs w:val="22"/>
          <w:lang w:val="fr-CA"/>
        </w:rPr>
        <w:t>FEM</w:t>
      </w:r>
      <w:r>
        <w:rPr>
          <w:bCs/>
          <w:kern w:val="22"/>
          <w:sz w:val="22"/>
          <w:szCs w:val="22"/>
          <w:lang w:val="fr-CA"/>
        </w:rPr>
        <w:t xml:space="preserve"> à la quinzième réunion de la Conférence des Parties</w:t>
      </w:r>
      <w:r w:rsidR="007D6D34">
        <w:rPr>
          <w:bCs/>
          <w:kern w:val="22"/>
          <w:sz w:val="22"/>
          <w:szCs w:val="22"/>
          <w:lang w:val="fr-CA"/>
        </w:rPr>
        <w:t> </w:t>
      </w:r>
      <w:r w:rsidR="000C3E08" w:rsidRPr="00B142C7">
        <w:rPr>
          <w:bCs/>
          <w:kern w:val="22"/>
          <w:sz w:val="22"/>
          <w:szCs w:val="22"/>
          <w:lang w:val="fr-CA"/>
        </w:rPr>
        <w:t>;</w:t>
      </w:r>
    </w:p>
    <w:p w14:paraId="466391C4" w14:textId="6A80F844" w:rsidR="007635ED" w:rsidRPr="001A7946" w:rsidRDefault="00D2444B" w:rsidP="00516B43">
      <w:pPr>
        <w:pStyle w:val="Para1"/>
        <w:numPr>
          <w:ilvl w:val="1"/>
          <w:numId w:val="19"/>
        </w:numPr>
        <w:suppressLineNumbers/>
        <w:suppressAutoHyphens/>
        <w:spacing w:before="120"/>
        <w:jc w:val="both"/>
        <w:rPr>
          <w:kern w:val="22"/>
          <w:sz w:val="22"/>
          <w:szCs w:val="22"/>
          <w:lang w:val="fr-CA"/>
        </w:rPr>
      </w:pPr>
      <w:r w:rsidRPr="001A7946">
        <w:rPr>
          <w:bCs/>
          <w:kern w:val="22"/>
          <w:sz w:val="22"/>
          <w:szCs w:val="22"/>
          <w:lang w:val="fr-CA"/>
        </w:rPr>
        <w:t>Le potentiel du FEM d’être un catalyseur de la mobilisation de ressources supplémentaires provenant de toutes les sources, pour la réalisation des objectifs du cadre mondial de la biodiversité pour l</w:t>
      </w:r>
      <w:r w:rsidR="007D6D34">
        <w:rPr>
          <w:bCs/>
          <w:kern w:val="22"/>
          <w:sz w:val="22"/>
          <w:szCs w:val="22"/>
          <w:lang w:val="fr-CA"/>
        </w:rPr>
        <w:t>’</w:t>
      </w:r>
      <w:r w:rsidRPr="001A7946">
        <w:rPr>
          <w:bCs/>
          <w:kern w:val="22"/>
          <w:sz w:val="22"/>
          <w:szCs w:val="22"/>
          <w:lang w:val="fr-CA"/>
        </w:rPr>
        <w:t>après-2020</w:t>
      </w:r>
      <w:r w:rsidR="007D6D34">
        <w:rPr>
          <w:bCs/>
          <w:kern w:val="22"/>
          <w:sz w:val="22"/>
          <w:szCs w:val="22"/>
          <w:lang w:val="fr-CA"/>
        </w:rPr>
        <w:t> </w:t>
      </w:r>
      <w:r w:rsidR="007635ED" w:rsidRPr="001A7946">
        <w:rPr>
          <w:bCs/>
          <w:kern w:val="22"/>
          <w:sz w:val="22"/>
          <w:szCs w:val="22"/>
          <w:lang w:val="fr-CA"/>
        </w:rPr>
        <w:t>;</w:t>
      </w:r>
    </w:p>
    <w:p w14:paraId="191FAAEC" w14:textId="09C5373D" w:rsidR="007635ED" w:rsidRPr="001A7946" w:rsidRDefault="00D2444B" w:rsidP="00516B43">
      <w:pPr>
        <w:pStyle w:val="Para1"/>
        <w:numPr>
          <w:ilvl w:val="1"/>
          <w:numId w:val="19"/>
        </w:numPr>
        <w:suppressLineNumbers/>
        <w:suppressAutoHyphens/>
        <w:spacing w:before="120"/>
        <w:jc w:val="both"/>
        <w:rPr>
          <w:kern w:val="22"/>
          <w:sz w:val="22"/>
          <w:szCs w:val="22"/>
          <w:lang w:val="fr-CA"/>
        </w:rPr>
      </w:pPr>
      <w:r w:rsidRPr="001A7946">
        <w:rPr>
          <w:bCs/>
          <w:kern w:val="22"/>
          <w:sz w:val="22"/>
          <w:szCs w:val="22"/>
          <w:lang w:val="fr-CA"/>
        </w:rPr>
        <w:t xml:space="preserve">Le potentiel du FEM de promouvoir les approches intégrées pour la mise en œuvre </w:t>
      </w:r>
      <w:r w:rsidR="00622FF2" w:rsidRPr="001A7946">
        <w:rPr>
          <w:bCs/>
          <w:kern w:val="22"/>
          <w:sz w:val="22"/>
          <w:szCs w:val="22"/>
          <w:lang w:val="fr-CA"/>
        </w:rPr>
        <w:t>de nombreux instrumen</w:t>
      </w:r>
      <w:r w:rsidRPr="001A7946">
        <w:rPr>
          <w:bCs/>
          <w:kern w:val="22"/>
          <w:sz w:val="22"/>
          <w:szCs w:val="22"/>
          <w:lang w:val="fr-CA"/>
        </w:rPr>
        <w:t>ts</w:t>
      </w:r>
      <w:r w:rsidR="00622FF2" w:rsidRPr="001A7946">
        <w:rPr>
          <w:bCs/>
          <w:kern w:val="22"/>
          <w:sz w:val="22"/>
          <w:szCs w:val="22"/>
          <w:lang w:val="fr-CA"/>
        </w:rPr>
        <w:t xml:space="preserve"> envisagés dans le cadre mondial de la biodiversité pour l</w:t>
      </w:r>
      <w:r w:rsidR="007D6D34">
        <w:rPr>
          <w:bCs/>
          <w:kern w:val="22"/>
          <w:sz w:val="22"/>
          <w:szCs w:val="22"/>
          <w:lang w:val="fr-CA"/>
        </w:rPr>
        <w:t>’</w:t>
      </w:r>
      <w:r w:rsidR="00622FF2" w:rsidRPr="001A7946">
        <w:rPr>
          <w:bCs/>
          <w:kern w:val="22"/>
          <w:sz w:val="22"/>
          <w:szCs w:val="22"/>
          <w:lang w:val="fr-CA"/>
        </w:rPr>
        <w:t>après-2020 et nécessaires à la réalisation de ses objectifs</w:t>
      </w:r>
      <w:r w:rsidR="007D6D34">
        <w:rPr>
          <w:bCs/>
          <w:kern w:val="22"/>
          <w:sz w:val="22"/>
          <w:szCs w:val="22"/>
          <w:lang w:val="fr-CA"/>
        </w:rPr>
        <w:t> </w:t>
      </w:r>
      <w:r w:rsidR="007635ED" w:rsidRPr="001A7946">
        <w:rPr>
          <w:bCs/>
          <w:kern w:val="22"/>
          <w:sz w:val="22"/>
          <w:szCs w:val="22"/>
          <w:lang w:val="fr-CA"/>
        </w:rPr>
        <w:t>;</w:t>
      </w:r>
    </w:p>
    <w:p w14:paraId="752DA766" w14:textId="019384CF" w:rsidR="00556306" w:rsidRPr="001A7946" w:rsidRDefault="00622FF2" w:rsidP="00516B43">
      <w:pPr>
        <w:pStyle w:val="Para1"/>
        <w:numPr>
          <w:ilvl w:val="1"/>
          <w:numId w:val="19"/>
        </w:numPr>
        <w:suppressLineNumbers/>
        <w:suppressAutoHyphens/>
        <w:spacing w:before="120"/>
        <w:jc w:val="both"/>
        <w:rPr>
          <w:kern w:val="22"/>
          <w:sz w:val="22"/>
          <w:szCs w:val="22"/>
          <w:lang w:val="fr-CA"/>
        </w:rPr>
      </w:pPr>
      <w:r w:rsidRPr="001A7946">
        <w:rPr>
          <w:bCs/>
          <w:kern w:val="22"/>
          <w:sz w:val="22"/>
          <w:szCs w:val="22"/>
          <w:lang w:val="fr-CA"/>
        </w:rPr>
        <w:t xml:space="preserve">L’occasion qu’offre </w:t>
      </w:r>
      <w:r w:rsidR="00A921D3">
        <w:rPr>
          <w:bCs/>
          <w:kern w:val="22"/>
          <w:sz w:val="22"/>
          <w:szCs w:val="22"/>
          <w:lang w:val="fr-CA"/>
        </w:rPr>
        <w:t xml:space="preserve">le fait de faire correspondre le </w:t>
      </w:r>
      <w:r w:rsidRPr="001A7946">
        <w:rPr>
          <w:bCs/>
          <w:kern w:val="22"/>
          <w:sz w:val="22"/>
          <w:szCs w:val="22"/>
          <w:lang w:val="fr-CA"/>
        </w:rPr>
        <w:t>cycle de reconstitution des ressources du FEM à l’adoption du cadre mondial de la biodiversité pour l</w:t>
      </w:r>
      <w:r w:rsidR="007D6D34">
        <w:rPr>
          <w:bCs/>
          <w:kern w:val="22"/>
          <w:sz w:val="22"/>
          <w:szCs w:val="22"/>
          <w:lang w:val="fr-CA"/>
        </w:rPr>
        <w:t>’</w:t>
      </w:r>
      <w:r w:rsidRPr="001A7946">
        <w:rPr>
          <w:bCs/>
          <w:kern w:val="22"/>
          <w:sz w:val="22"/>
          <w:szCs w:val="22"/>
          <w:lang w:val="fr-CA"/>
        </w:rPr>
        <w:t xml:space="preserve">après-2020 et </w:t>
      </w:r>
      <w:r w:rsidR="00A921D3">
        <w:rPr>
          <w:bCs/>
          <w:kern w:val="22"/>
          <w:sz w:val="22"/>
          <w:szCs w:val="22"/>
          <w:lang w:val="fr-CA"/>
        </w:rPr>
        <w:t>par conséquent,</w:t>
      </w:r>
      <w:r w:rsidRPr="001A7946">
        <w:rPr>
          <w:bCs/>
          <w:kern w:val="22"/>
          <w:sz w:val="22"/>
          <w:szCs w:val="22"/>
          <w:lang w:val="fr-CA"/>
        </w:rPr>
        <w:t xml:space="preserve"> la possibilité d’une future continuité avec la neuvième période de reconstitution du FEM et l’établissement des étapes des priorités et des efforts de manière stratégique.</w:t>
      </w:r>
    </w:p>
    <w:p w14:paraId="3358D83C" w14:textId="5F999256" w:rsidR="00222BF5" w:rsidRPr="001A7946" w:rsidRDefault="009075E4" w:rsidP="00516B43">
      <w:pPr>
        <w:pStyle w:val="Para1"/>
        <w:numPr>
          <w:ilvl w:val="0"/>
          <w:numId w:val="13"/>
        </w:numPr>
        <w:suppressLineNumbers/>
        <w:tabs>
          <w:tab w:val="num" w:pos="720"/>
        </w:tabs>
        <w:suppressAutoHyphens/>
        <w:spacing w:before="120"/>
        <w:ind w:left="0" w:firstLine="0"/>
        <w:jc w:val="both"/>
        <w:rPr>
          <w:bCs/>
          <w:kern w:val="22"/>
          <w:sz w:val="22"/>
          <w:szCs w:val="22"/>
          <w:lang w:val="fr-CA"/>
        </w:rPr>
      </w:pPr>
      <w:r>
        <w:rPr>
          <w:bCs/>
          <w:kern w:val="22"/>
          <w:sz w:val="22"/>
          <w:szCs w:val="22"/>
          <w:lang w:val="fr-CA"/>
        </w:rPr>
        <w:t>Le facteur le plus important est que</w:t>
      </w:r>
      <w:r w:rsidR="00A921D3">
        <w:rPr>
          <w:bCs/>
          <w:kern w:val="22"/>
          <w:sz w:val="22"/>
          <w:szCs w:val="22"/>
          <w:lang w:val="fr-CA"/>
        </w:rPr>
        <w:t xml:space="preserve"> </w:t>
      </w:r>
      <w:r w:rsidR="00622FF2" w:rsidRPr="001A7946">
        <w:rPr>
          <w:bCs/>
          <w:kern w:val="22"/>
          <w:sz w:val="22"/>
          <w:szCs w:val="22"/>
          <w:lang w:val="fr-CA"/>
        </w:rPr>
        <w:t xml:space="preserve">les </w:t>
      </w:r>
      <w:r w:rsidR="00D063A5" w:rsidRPr="001A7946">
        <w:rPr>
          <w:bCs/>
          <w:kern w:val="22"/>
          <w:sz w:val="22"/>
          <w:szCs w:val="22"/>
          <w:lang w:val="fr-CA"/>
        </w:rPr>
        <w:t>domaines/groupes prioritaires et les résultats escomptés du cadre quadriennal des priorités de programme axé sur les résultats tiendrai</w:t>
      </w:r>
      <w:r w:rsidR="00A921D3">
        <w:rPr>
          <w:bCs/>
          <w:kern w:val="22"/>
          <w:sz w:val="22"/>
          <w:szCs w:val="22"/>
          <w:lang w:val="fr-CA"/>
        </w:rPr>
        <w:t>en</w:t>
      </w:r>
      <w:r w:rsidR="00D063A5" w:rsidRPr="001A7946">
        <w:rPr>
          <w:bCs/>
          <w:kern w:val="22"/>
          <w:sz w:val="22"/>
          <w:szCs w:val="22"/>
          <w:lang w:val="fr-CA"/>
        </w:rPr>
        <w:t>t compte du cadre mondial de la biodiversité pour l</w:t>
      </w:r>
      <w:r w:rsidR="007D6D34">
        <w:rPr>
          <w:bCs/>
          <w:kern w:val="22"/>
          <w:sz w:val="22"/>
          <w:szCs w:val="22"/>
          <w:lang w:val="fr-CA"/>
        </w:rPr>
        <w:t>’</w:t>
      </w:r>
      <w:r w:rsidR="00D063A5" w:rsidRPr="001A7946">
        <w:rPr>
          <w:bCs/>
          <w:kern w:val="22"/>
          <w:sz w:val="22"/>
          <w:szCs w:val="22"/>
          <w:lang w:val="fr-CA"/>
        </w:rPr>
        <w:t>après-2020, et appuierai</w:t>
      </w:r>
      <w:r w:rsidR="00373D9F">
        <w:rPr>
          <w:bCs/>
          <w:kern w:val="22"/>
          <w:sz w:val="22"/>
          <w:szCs w:val="22"/>
          <w:lang w:val="fr-CA"/>
        </w:rPr>
        <w:t>en</w:t>
      </w:r>
      <w:r w:rsidR="00D063A5" w:rsidRPr="001A7946">
        <w:rPr>
          <w:bCs/>
          <w:kern w:val="22"/>
          <w:sz w:val="22"/>
          <w:szCs w:val="22"/>
          <w:lang w:val="fr-CA"/>
        </w:rPr>
        <w:t>t et aurai</w:t>
      </w:r>
      <w:r w:rsidR="00373D9F">
        <w:rPr>
          <w:bCs/>
          <w:kern w:val="22"/>
          <w:sz w:val="22"/>
          <w:szCs w:val="22"/>
          <w:lang w:val="fr-CA"/>
        </w:rPr>
        <w:t>en</w:t>
      </w:r>
      <w:r w:rsidR="00D063A5" w:rsidRPr="001A7946">
        <w:rPr>
          <w:bCs/>
          <w:kern w:val="22"/>
          <w:sz w:val="22"/>
          <w:szCs w:val="22"/>
          <w:lang w:val="fr-CA"/>
        </w:rPr>
        <w:t>t comme source d’information la vision, la mission, les buts, les étapes et les cibles qu’il devrait contenir</w:t>
      </w:r>
      <w:r w:rsidR="005857F7" w:rsidRPr="001A7946">
        <w:rPr>
          <w:bCs/>
          <w:kern w:val="22"/>
          <w:sz w:val="22"/>
          <w:szCs w:val="22"/>
          <w:lang w:val="fr-CA"/>
        </w:rPr>
        <w:t>.</w:t>
      </w:r>
    </w:p>
    <w:p w14:paraId="441E5F76" w14:textId="6E75CAE1" w:rsidR="00CC2E7D" w:rsidRPr="00B142C7" w:rsidRDefault="00364ECD" w:rsidP="00516B43">
      <w:pPr>
        <w:pStyle w:val="Para1"/>
        <w:numPr>
          <w:ilvl w:val="0"/>
          <w:numId w:val="13"/>
        </w:numPr>
        <w:suppressLineNumbers/>
        <w:tabs>
          <w:tab w:val="num" w:pos="720"/>
        </w:tabs>
        <w:suppressAutoHyphens/>
        <w:spacing w:before="120"/>
        <w:ind w:left="0" w:firstLine="0"/>
        <w:jc w:val="both"/>
        <w:rPr>
          <w:bCs/>
          <w:kern w:val="22"/>
          <w:sz w:val="22"/>
          <w:szCs w:val="22"/>
          <w:lang w:val="fr-CA"/>
        </w:rPr>
      </w:pPr>
      <w:r w:rsidRPr="00D42DB9">
        <w:rPr>
          <w:bCs/>
          <w:kern w:val="22"/>
          <w:sz w:val="22"/>
          <w:szCs w:val="22"/>
          <w:lang w:val="fr-CA"/>
        </w:rPr>
        <w:t>Les résultats escomptés du</w:t>
      </w:r>
      <w:r w:rsidRPr="001A7946">
        <w:rPr>
          <w:bCs/>
          <w:kern w:val="22"/>
          <w:sz w:val="22"/>
          <w:szCs w:val="22"/>
          <w:lang w:val="fr-CA"/>
        </w:rPr>
        <w:t xml:space="preserve"> cadre quadriennal correspondraient aux cibles du cadre mondial de la biodiversité pour l</w:t>
      </w:r>
      <w:r w:rsidR="007D6D34">
        <w:rPr>
          <w:bCs/>
          <w:kern w:val="22"/>
          <w:sz w:val="22"/>
          <w:szCs w:val="22"/>
          <w:lang w:val="fr-CA"/>
        </w:rPr>
        <w:t>’</w:t>
      </w:r>
      <w:r w:rsidRPr="001A7946">
        <w:rPr>
          <w:bCs/>
          <w:kern w:val="22"/>
          <w:sz w:val="22"/>
          <w:szCs w:val="22"/>
          <w:lang w:val="fr-CA"/>
        </w:rPr>
        <w:t xml:space="preserve">après-2020 à réaliser d’ici à 2030, </w:t>
      </w:r>
      <w:r w:rsidR="009C2FCF" w:rsidRPr="001A7946">
        <w:rPr>
          <w:bCs/>
          <w:kern w:val="22"/>
          <w:sz w:val="22"/>
          <w:szCs w:val="22"/>
          <w:lang w:val="fr-CA"/>
        </w:rPr>
        <w:t>aux</w:t>
      </w:r>
      <w:r w:rsidRPr="001A7946">
        <w:rPr>
          <w:bCs/>
          <w:kern w:val="22"/>
          <w:sz w:val="22"/>
          <w:szCs w:val="22"/>
          <w:lang w:val="fr-CA"/>
        </w:rPr>
        <w:t xml:space="preserve"> étapes pour évaluer, en 2030, les progrès réalisés en vue </w:t>
      </w:r>
      <w:r w:rsidR="009C2FCF" w:rsidRPr="001A7946">
        <w:rPr>
          <w:bCs/>
          <w:kern w:val="22"/>
          <w:sz w:val="22"/>
          <w:szCs w:val="22"/>
          <w:lang w:val="fr-CA"/>
        </w:rPr>
        <w:t xml:space="preserve">de la réalisation </w:t>
      </w:r>
      <w:r w:rsidRPr="001A7946">
        <w:rPr>
          <w:bCs/>
          <w:kern w:val="22"/>
          <w:sz w:val="22"/>
          <w:szCs w:val="22"/>
          <w:lang w:val="fr-CA"/>
        </w:rPr>
        <w:t>des objectifs à long terme de 2050 (et, à une date antérieure, que les moyens utilisés pour mettre en œuvre le cadre pour la période 2020 à 2</w:t>
      </w:r>
      <w:r w:rsidR="009C2FCF" w:rsidRPr="001A7946">
        <w:rPr>
          <w:bCs/>
          <w:kern w:val="22"/>
          <w:sz w:val="22"/>
          <w:szCs w:val="22"/>
          <w:lang w:val="fr-CA"/>
        </w:rPr>
        <w:t>03</w:t>
      </w:r>
      <w:r w:rsidRPr="001A7946">
        <w:rPr>
          <w:bCs/>
          <w:kern w:val="22"/>
          <w:sz w:val="22"/>
          <w:szCs w:val="22"/>
          <w:lang w:val="fr-CA"/>
        </w:rPr>
        <w:t>0 so</w:t>
      </w:r>
      <w:r w:rsidR="00D42DB9">
        <w:rPr>
          <w:bCs/>
          <w:kern w:val="22"/>
          <w:sz w:val="22"/>
          <w:szCs w:val="22"/>
          <w:lang w:val="fr-CA"/>
        </w:rPr>
        <w:t>ie</w:t>
      </w:r>
      <w:r w:rsidRPr="001A7946">
        <w:rPr>
          <w:bCs/>
          <w:kern w:val="22"/>
          <w:sz w:val="22"/>
          <w:szCs w:val="22"/>
          <w:lang w:val="fr-CA"/>
        </w:rPr>
        <w:t>nt connus et constituent un engagement), et le cadre de suivi apparenté, y compris les indicateurs</w:t>
      </w:r>
      <w:r>
        <w:rPr>
          <w:bCs/>
          <w:kern w:val="22"/>
          <w:sz w:val="22"/>
          <w:szCs w:val="22"/>
          <w:lang w:val="fr-CA"/>
        </w:rPr>
        <w:t xml:space="preserve"> principaux qu’il peut contenir</w:t>
      </w:r>
      <w:r w:rsidR="00C72642" w:rsidRPr="00B142C7">
        <w:rPr>
          <w:bCs/>
          <w:kern w:val="22"/>
          <w:sz w:val="22"/>
          <w:szCs w:val="22"/>
          <w:lang w:val="fr-CA"/>
        </w:rPr>
        <w:t>.</w:t>
      </w:r>
    </w:p>
    <w:p w14:paraId="6EE3CEB6" w14:textId="10C381D0" w:rsidR="008D4043" w:rsidRPr="00B142C7" w:rsidRDefault="00D42DB9" w:rsidP="00516B43">
      <w:pPr>
        <w:pStyle w:val="Para1"/>
        <w:numPr>
          <w:ilvl w:val="0"/>
          <w:numId w:val="13"/>
        </w:numPr>
        <w:suppressLineNumbers/>
        <w:tabs>
          <w:tab w:val="num" w:pos="720"/>
        </w:tabs>
        <w:suppressAutoHyphens/>
        <w:spacing w:before="120"/>
        <w:ind w:left="0" w:firstLine="0"/>
        <w:jc w:val="both"/>
        <w:rPr>
          <w:bCs/>
          <w:kern w:val="22"/>
          <w:sz w:val="22"/>
          <w:szCs w:val="22"/>
          <w:lang w:val="fr-CA"/>
        </w:rPr>
      </w:pPr>
      <w:r>
        <w:rPr>
          <w:bCs/>
          <w:kern w:val="22"/>
          <w:sz w:val="22"/>
          <w:szCs w:val="22"/>
          <w:lang w:val="fr-CA"/>
        </w:rPr>
        <w:t>Quatre objectifs à long terme et leurs étapes</w:t>
      </w:r>
      <w:r w:rsidR="009C2FCF">
        <w:rPr>
          <w:bCs/>
          <w:kern w:val="22"/>
          <w:sz w:val="22"/>
          <w:szCs w:val="22"/>
          <w:lang w:val="fr-CA"/>
        </w:rPr>
        <w:t xml:space="preserve"> ont été proposés dans l’avant-projet actualisé du cadre mondial de la biodiversité pour l</w:t>
      </w:r>
      <w:r w:rsidR="007D6D34">
        <w:rPr>
          <w:bCs/>
          <w:kern w:val="22"/>
          <w:sz w:val="22"/>
          <w:szCs w:val="22"/>
          <w:lang w:val="fr-CA"/>
        </w:rPr>
        <w:t>’</w:t>
      </w:r>
      <w:r w:rsidR="009C2FCF">
        <w:rPr>
          <w:bCs/>
          <w:kern w:val="22"/>
          <w:sz w:val="22"/>
          <w:szCs w:val="22"/>
          <w:lang w:val="fr-CA"/>
        </w:rPr>
        <w:t>après-2020</w:t>
      </w:r>
      <w:r w:rsidR="007D6D34">
        <w:rPr>
          <w:bCs/>
          <w:kern w:val="22"/>
          <w:sz w:val="22"/>
          <w:szCs w:val="22"/>
          <w:lang w:val="fr-CA"/>
        </w:rPr>
        <w:t> </w:t>
      </w:r>
      <w:r w:rsidR="008D4043" w:rsidRPr="00B142C7">
        <w:rPr>
          <w:bCs/>
          <w:kern w:val="22"/>
          <w:sz w:val="22"/>
          <w:szCs w:val="22"/>
          <w:lang w:val="fr-CA"/>
        </w:rPr>
        <w:t>:</w:t>
      </w:r>
      <w:r w:rsidR="00EC7D73" w:rsidRPr="00B142C7">
        <w:rPr>
          <w:bCs/>
          <w:kern w:val="22"/>
          <w:sz w:val="22"/>
          <w:szCs w:val="22"/>
          <w:vertAlign w:val="superscript"/>
          <w:lang w:val="fr-CA"/>
        </w:rPr>
        <w:footnoteReference w:id="5"/>
      </w:r>
    </w:p>
    <w:p w14:paraId="3E95CB14" w14:textId="114C57A4" w:rsidR="008D4043" w:rsidRPr="00B142C7" w:rsidRDefault="009C2FCF" w:rsidP="00516B43">
      <w:pPr>
        <w:pStyle w:val="Para1"/>
        <w:numPr>
          <w:ilvl w:val="1"/>
          <w:numId w:val="21"/>
        </w:numPr>
        <w:suppressLineNumbers/>
        <w:suppressAutoHyphens/>
        <w:spacing w:before="120"/>
        <w:jc w:val="both"/>
        <w:rPr>
          <w:kern w:val="22"/>
          <w:sz w:val="22"/>
          <w:szCs w:val="22"/>
          <w:lang w:val="fr-CA"/>
        </w:rPr>
      </w:pPr>
      <w:r>
        <w:rPr>
          <w:kern w:val="22"/>
          <w:sz w:val="22"/>
          <w:szCs w:val="22"/>
          <w:lang w:val="fr-CA"/>
        </w:rPr>
        <w:t>Le domaine, la connectivité et l’intégrité des écosystèmes naturels ont augmenté d’au moins [X p. cent]</w:t>
      </w:r>
      <w:r w:rsidR="008807AC">
        <w:rPr>
          <w:kern w:val="22"/>
          <w:sz w:val="22"/>
          <w:szCs w:val="22"/>
          <w:lang w:val="fr-CA"/>
        </w:rPr>
        <w:t>, soutenant des population</w:t>
      </w:r>
      <w:r w:rsidR="007D6D34">
        <w:rPr>
          <w:kern w:val="22"/>
          <w:sz w:val="22"/>
          <w:szCs w:val="22"/>
          <w:lang w:val="fr-CA"/>
        </w:rPr>
        <w:t>s</w:t>
      </w:r>
      <w:r w:rsidR="008807AC">
        <w:rPr>
          <w:kern w:val="22"/>
          <w:sz w:val="22"/>
          <w:szCs w:val="22"/>
          <w:lang w:val="fr-CA"/>
        </w:rPr>
        <w:t xml:space="preserve"> saines et résilientes de toutes les espèces tout en diminuant le nombre d’espèces menacées </w:t>
      </w:r>
      <w:r w:rsidR="00D42DB9">
        <w:rPr>
          <w:kern w:val="22"/>
          <w:sz w:val="22"/>
          <w:szCs w:val="22"/>
          <w:lang w:val="fr-CA"/>
        </w:rPr>
        <w:t>de</w:t>
      </w:r>
      <w:r w:rsidR="008807AC">
        <w:rPr>
          <w:kern w:val="22"/>
          <w:sz w:val="22"/>
          <w:szCs w:val="22"/>
          <w:lang w:val="fr-CA"/>
        </w:rPr>
        <w:t xml:space="preserve"> [X p. cent] et en maintenant la diversité biologique</w:t>
      </w:r>
      <w:r w:rsidR="007D6D34">
        <w:rPr>
          <w:kern w:val="22"/>
          <w:sz w:val="22"/>
          <w:szCs w:val="22"/>
          <w:lang w:val="fr-CA"/>
        </w:rPr>
        <w:t> </w:t>
      </w:r>
      <w:r w:rsidR="008D4043" w:rsidRPr="00B142C7">
        <w:rPr>
          <w:kern w:val="22"/>
          <w:sz w:val="22"/>
          <w:szCs w:val="22"/>
          <w:lang w:val="fr-CA"/>
        </w:rPr>
        <w:t>;</w:t>
      </w:r>
    </w:p>
    <w:p w14:paraId="139CA06D" w14:textId="7EF5A7A2" w:rsidR="008D4043" w:rsidRPr="00A0645F" w:rsidRDefault="008807AC" w:rsidP="00516B43">
      <w:pPr>
        <w:pStyle w:val="Para1"/>
        <w:numPr>
          <w:ilvl w:val="1"/>
          <w:numId w:val="19"/>
        </w:numPr>
        <w:suppressLineNumbers/>
        <w:suppressAutoHyphens/>
        <w:spacing w:before="120"/>
        <w:jc w:val="both"/>
        <w:rPr>
          <w:kern w:val="22"/>
          <w:sz w:val="22"/>
          <w:szCs w:val="22"/>
          <w:lang w:val="fr-CA"/>
        </w:rPr>
      </w:pPr>
      <w:r w:rsidRPr="00A0645F">
        <w:rPr>
          <w:kern w:val="22"/>
          <w:sz w:val="22"/>
          <w:szCs w:val="22"/>
          <w:lang w:val="fr-CA"/>
        </w:rPr>
        <w:lastRenderedPageBreak/>
        <w:t>La contribution de la nature aux populati</w:t>
      </w:r>
      <w:r w:rsidR="00A0645F">
        <w:rPr>
          <w:kern w:val="22"/>
          <w:sz w:val="22"/>
          <w:szCs w:val="22"/>
          <w:lang w:val="fr-CA"/>
        </w:rPr>
        <w:t>ons a été valorisée, entretenue</w:t>
      </w:r>
      <w:r w:rsidRPr="00A0645F">
        <w:rPr>
          <w:kern w:val="22"/>
          <w:sz w:val="22"/>
          <w:szCs w:val="22"/>
          <w:lang w:val="fr-CA"/>
        </w:rPr>
        <w:t xml:space="preserve"> ou améliorée grâce à la conservation et l’utilisation durable</w:t>
      </w:r>
      <w:r w:rsidR="00A0645F">
        <w:rPr>
          <w:kern w:val="22"/>
          <w:sz w:val="22"/>
          <w:szCs w:val="22"/>
          <w:lang w:val="fr-CA"/>
        </w:rPr>
        <w:t>, en appui au</w:t>
      </w:r>
      <w:r w:rsidRPr="00A0645F">
        <w:rPr>
          <w:kern w:val="22"/>
          <w:sz w:val="22"/>
          <w:szCs w:val="22"/>
          <w:lang w:val="fr-CA"/>
        </w:rPr>
        <w:t xml:space="preserve"> programme mondial de développement au profit de tous les peuples</w:t>
      </w:r>
      <w:r w:rsidR="007D6D34">
        <w:rPr>
          <w:kern w:val="22"/>
          <w:sz w:val="22"/>
          <w:szCs w:val="22"/>
          <w:lang w:val="fr-CA"/>
        </w:rPr>
        <w:t> </w:t>
      </w:r>
      <w:r w:rsidR="008D4043" w:rsidRPr="00A0645F">
        <w:rPr>
          <w:kern w:val="22"/>
          <w:sz w:val="22"/>
          <w:szCs w:val="22"/>
          <w:lang w:val="fr-CA"/>
        </w:rPr>
        <w:t>;</w:t>
      </w:r>
    </w:p>
    <w:p w14:paraId="1CFCBBB4" w14:textId="312CF3C7" w:rsidR="008D4043" w:rsidRPr="00A0645F" w:rsidRDefault="008807AC" w:rsidP="00516B43">
      <w:pPr>
        <w:pStyle w:val="Para1"/>
        <w:numPr>
          <w:ilvl w:val="1"/>
          <w:numId w:val="19"/>
        </w:numPr>
        <w:suppressLineNumbers/>
        <w:suppressAutoHyphens/>
        <w:spacing w:before="120"/>
        <w:jc w:val="both"/>
        <w:rPr>
          <w:kern w:val="22"/>
          <w:sz w:val="22"/>
          <w:szCs w:val="22"/>
          <w:lang w:val="fr-CA"/>
        </w:rPr>
      </w:pPr>
      <w:r w:rsidRPr="00A0645F">
        <w:rPr>
          <w:kern w:val="22"/>
          <w:sz w:val="22"/>
          <w:szCs w:val="22"/>
          <w:lang w:val="fr-CA"/>
        </w:rPr>
        <w:t>Les avantages de l’utilisation des ressources génétiques sont partagés de mani</w:t>
      </w:r>
      <w:r w:rsidR="00163A97" w:rsidRPr="00A0645F">
        <w:rPr>
          <w:kern w:val="22"/>
          <w:sz w:val="22"/>
          <w:szCs w:val="22"/>
          <w:lang w:val="fr-CA"/>
        </w:rPr>
        <w:t>è</w:t>
      </w:r>
      <w:r w:rsidRPr="00A0645F">
        <w:rPr>
          <w:kern w:val="22"/>
          <w:sz w:val="22"/>
          <w:szCs w:val="22"/>
          <w:lang w:val="fr-CA"/>
        </w:rPr>
        <w:t>re juste et équitable</w:t>
      </w:r>
      <w:r w:rsidR="007D6D34">
        <w:rPr>
          <w:kern w:val="22"/>
          <w:sz w:val="22"/>
          <w:szCs w:val="22"/>
          <w:lang w:val="fr-CA"/>
        </w:rPr>
        <w:t> </w:t>
      </w:r>
      <w:r w:rsidR="008D4043" w:rsidRPr="00A0645F">
        <w:rPr>
          <w:kern w:val="22"/>
          <w:sz w:val="22"/>
          <w:szCs w:val="22"/>
          <w:lang w:val="fr-CA"/>
        </w:rPr>
        <w:t>;</w:t>
      </w:r>
    </w:p>
    <w:p w14:paraId="73BD2278" w14:textId="07E19813" w:rsidR="008D4043" w:rsidRPr="00A0645F" w:rsidRDefault="00A0645F" w:rsidP="00516B43">
      <w:pPr>
        <w:pStyle w:val="Para1"/>
        <w:numPr>
          <w:ilvl w:val="1"/>
          <w:numId w:val="19"/>
        </w:numPr>
        <w:suppressLineNumbers/>
        <w:suppressAutoHyphens/>
        <w:spacing w:before="120"/>
        <w:jc w:val="both"/>
        <w:rPr>
          <w:kern w:val="22"/>
          <w:sz w:val="22"/>
          <w:szCs w:val="22"/>
          <w:lang w:val="fr-CA"/>
        </w:rPr>
      </w:pPr>
      <w:r>
        <w:rPr>
          <w:iCs/>
          <w:kern w:val="22"/>
          <w:sz w:val="22"/>
          <w:szCs w:val="22"/>
          <w:lang w:val="fr-CA"/>
        </w:rPr>
        <w:t>Il</w:t>
      </w:r>
      <w:r w:rsidR="00163A97" w:rsidRPr="00A0645F">
        <w:rPr>
          <w:iCs/>
          <w:kern w:val="22"/>
          <w:sz w:val="22"/>
          <w:szCs w:val="22"/>
          <w:lang w:val="fr-CA"/>
        </w:rPr>
        <w:t xml:space="preserve"> existe des méthodes de mise en œuvre permettant de réaliser tous les buts et objectifs du cadre</w:t>
      </w:r>
      <w:r w:rsidR="008D4043" w:rsidRPr="00A0645F">
        <w:rPr>
          <w:iCs/>
          <w:kern w:val="22"/>
          <w:sz w:val="22"/>
          <w:szCs w:val="22"/>
          <w:lang w:val="fr-CA"/>
        </w:rPr>
        <w:t>.</w:t>
      </w:r>
    </w:p>
    <w:p w14:paraId="6AA852C1" w14:textId="13358806" w:rsidR="00550615" w:rsidRPr="00A0645F" w:rsidRDefault="00163A97" w:rsidP="00516B43">
      <w:pPr>
        <w:pStyle w:val="Para1"/>
        <w:numPr>
          <w:ilvl w:val="0"/>
          <w:numId w:val="13"/>
        </w:numPr>
        <w:suppressLineNumbers/>
        <w:tabs>
          <w:tab w:val="num" w:pos="720"/>
        </w:tabs>
        <w:suppressAutoHyphens/>
        <w:spacing w:before="120"/>
        <w:ind w:left="0" w:firstLine="0"/>
        <w:jc w:val="both"/>
        <w:rPr>
          <w:bCs/>
          <w:kern w:val="22"/>
          <w:sz w:val="22"/>
          <w:szCs w:val="22"/>
          <w:lang w:val="fr-CA"/>
        </w:rPr>
      </w:pPr>
      <w:r w:rsidRPr="00A0645F">
        <w:rPr>
          <w:bCs/>
          <w:kern w:val="22"/>
          <w:sz w:val="22"/>
          <w:szCs w:val="22"/>
          <w:lang w:val="fr-CA"/>
        </w:rPr>
        <w:t>Quant aux cibles, l’avant-pr</w:t>
      </w:r>
      <w:r w:rsidR="00A0645F">
        <w:rPr>
          <w:bCs/>
          <w:kern w:val="22"/>
          <w:sz w:val="22"/>
          <w:szCs w:val="22"/>
          <w:lang w:val="fr-CA"/>
        </w:rPr>
        <w:t>ojet actualis</w:t>
      </w:r>
      <w:r w:rsidRPr="00A0645F">
        <w:rPr>
          <w:bCs/>
          <w:kern w:val="22"/>
          <w:sz w:val="22"/>
          <w:szCs w:val="22"/>
          <w:lang w:val="fr-CA"/>
        </w:rPr>
        <w:t>é du cadre mondial de la biodiversité pour l</w:t>
      </w:r>
      <w:r w:rsidR="007D6D34">
        <w:rPr>
          <w:bCs/>
          <w:kern w:val="22"/>
          <w:sz w:val="22"/>
          <w:szCs w:val="22"/>
          <w:lang w:val="fr-CA"/>
        </w:rPr>
        <w:t>’</w:t>
      </w:r>
      <w:r w:rsidRPr="00A0645F">
        <w:rPr>
          <w:bCs/>
          <w:kern w:val="22"/>
          <w:sz w:val="22"/>
          <w:szCs w:val="22"/>
          <w:lang w:val="fr-CA"/>
        </w:rPr>
        <w:t>après-2020 propose vingt cibles pragmatiques pour 2030 dont la réalisation contribuerait aux étapes de 2030 et aux objectifs axés sur les résultats de 2050. Il propose que les mesures prises pour atteindre ces cibles soient mises en œuvre de manière conséquente et en harmonie avec la Convention et ses Protocoles, et les autres obligations internationales pertinentes, en tenant compte des conditions socioéconomiques nationales</w:t>
      </w:r>
      <w:r w:rsidR="00550615" w:rsidRPr="00A0645F">
        <w:rPr>
          <w:bCs/>
          <w:kern w:val="22"/>
          <w:sz w:val="22"/>
          <w:szCs w:val="22"/>
          <w:lang w:val="fr-CA"/>
        </w:rPr>
        <w:t>.</w:t>
      </w:r>
      <w:r w:rsidR="00550615" w:rsidRPr="00A0645F">
        <w:rPr>
          <w:bCs/>
          <w:kern w:val="22"/>
          <w:sz w:val="22"/>
          <w:szCs w:val="22"/>
          <w:vertAlign w:val="superscript"/>
          <w:lang w:val="fr-CA"/>
        </w:rPr>
        <w:footnoteReference w:id="6"/>
      </w:r>
      <w:r w:rsidR="00011B6F" w:rsidRPr="00A0645F">
        <w:rPr>
          <w:bCs/>
          <w:kern w:val="22"/>
          <w:sz w:val="22"/>
          <w:szCs w:val="22"/>
          <w:lang w:val="fr-CA"/>
        </w:rPr>
        <w:t xml:space="preserve"> </w:t>
      </w:r>
      <w:r w:rsidRPr="00A0645F">
        <w:rPr>
          <w:bCs/>
          <w:kern w:val="22"/>
          <w:sz w:val="22"/>
          <w:szCs w:val="22"/>
          <w:lang w:val="fr-CA"/>
        </w:rPr>
        <w:t>Les vingt cibles pragmatiques pour 2030 sont regroupées sous les trois thèmes suivants</w:t>
      </w:r>
      <w:r w:rsidR="007D6D34">
        <w:rPr>
          <w:bCs/>
          <w:kern w:val="22"/>
          <w:sz w:val="22"/>
          <w:szCs w:val="22"/>
          <w:lang w:val="fr-CA"/>
        </w:rPr>
        <w:t> </w:t>
      </w:r>
      <w:r w:rsidR="003E3473" w:rsidRPr="00A0645F">
        <w:rPr>
          <w:bCs/>
          <w:kern w:val="22"/>
          <w:sz w:val="22"/>
          <w:szCs w:val="22"/>
          <w:lang w:val="fr-CA"/>
        </w:rPr>
        <w:t>:</w:t>
      </w:r>
    </w:p>
    <w:p w14:paraId="1E29997F" w14:textId="70E86C6D" w:rsidR="003E3473" w:rsidRPr="00A0645F" w:rsidRDefault="00163A97" w:rsidP="00516B43">
      <w:pPr>
        <w:pStyle w:val="Para1"/>
        <w:numPr>
          <w:ilvl w:val="1"/>
          <w:numId w:val="20"/>
        </w:numPr>
        <w:suppressLineNumbers/>
        <w:suppressAutoHyphens/>
        <w:spacing w:before="120"/>
        <w:jc w:val="both"/>
        <w:rPr>
          <w:kern w:val="22"/>
          <w:sz w:val="22"/>
          <w:szCs w:val="22"/>
          <w:lang w:val="fr-CA"/>
        </w:rPr>
      </w:pPr>
      <w:r w:rsidRPr="00A0645F">
        <w:rPr>
          <w:i/>
          <w:kern w:val="22"/>
          <w:sz w:val="22"/>
          <w:szCs w:val="22"/>
          <w:lang w:val="fr-CA"/>
        </w:rPr>
        <w:t xml:space="preserve">Réduire les menaces qui pèsent sur la biodiversité. </w:t>
      </w:r>
      <w:r w:rsidRPr="00A0645F">
        <w:rPr>
          <w:kern w:val="22"/>
          <w:sz w:val="22"/>
          <w:szCs w:val="22"/>
          <w:lang w:val="fr-CA"/>
        </w:rPr>
        <w:t>Sept cibles</w:t>
      </w:r>
      <w:r w:rsidR="00C314C3" w:rsidRPr="00A0645F">
        <w:rPr>
          <w:kern w:val="22"/>
          <w:sz w:val="22"/>
          <w:szCs w:val="22"/>
          <w:lang w:val="fr-CA"/>
        </w:rPr>
        <w:t xml:space="preserve"> portant de manière</w:t>
      </w:r>
      <w:r w:rsidR="0084290C" w:rsidRPr="00A0645F">
        <w:rPr>
          <w:kern w:val="22"/>
          <w:sz w:val="22"/>
          <w:szCs w:val="22"/>
          <w:lang w:val="fr-CA"/>
        </w:rPr>
        <w:t xml:space="preserve"> différente sur</w:t>
      </w:r>
      <w:r w:rsidR="007D6D34">
        <w:rPr>
          <w:kern w:val="22"/>
          <w:sz w:val="22"/>
          <w:szCs w:val="22"/>
          <w:lang w:val="fr-CA"/>
        </w:rPr>
        <w:t> </w:t>
      </w:r>
      <w:r w:rsidR="0084290C" w:rsidRPr="00A0645F">
        <w:rPr>
          <w:kern w:val="22"/>
          <w:sz w:val="22"/>
          <w:szCs w:val="22"/>
          <w:lang w:val="fr-CA"/>
        </w:rPr>
        <w:t>: la planificati</w:t>
      </w:r>
      <w:r w:rsidR="00C314C3" w:rsidRPr="00A0645F">
        <w:rPr>
          <w:kern w:val="22"/>
          <w:sz w:val="22"/>
          <w:szCs w:val="22"/>
          <w:lang w:val="fr-CA"/>
        </w:rPr>
        <w:t>on spatiale et la restauration des écosystèmes</w:t>
      </w:r>
      <w:r w:rsidR="007D6D34">
        <w:rPr>
          <w:kern w:val="22"/>
          <w:sz w:val="22"/>
          <w:szCs w:val="22"/>
          <w:lang w:val="fr-CA"/>
        </w:rPr>
        <w:t> </w:t>
      </w:r>
      <w:r w:rsidR="00C314C3" w:rsidRPr="00A0645F">
        <w:rPr>
          <w:kern w:val="22"/>
          <w:sz w:val="22"/>
          <w:szCs w:val="22"/>
          <w:lang w:val="fr-CA"/>
        </w:rPr>
        <w:t>; les aires protégées et autres mesures de conservation efficaces fondées sur les espaces</w:t>
      </w:r>
      <w:r w:rsidR="007D6D34">
        <w:rPr>
          <w:kern w:val="22"/>
          <w:sz w:val="22"/>
          <w:szCs w:val="22"/>
          <w:lang w:val="fr-CA"/>
        </w:rPr>
        <w:t> </w:t>
      </w:r>
      <w:r w:rsidR="00C314C3" w:rsidRPr="00A0645F">
        <w:rPr>
          <w:kern w:val="22"/>
          <w:sz w:val="22"/>
          <w:szCs w:val="22"/>
          <w:lang w:val="fr-CA"/>
        </w:rPr>
        <w:t>; les mesures de gestion favorisant la récupération et la conservation des espèc</w:t>
      </w:r>
      <w:r w:rsidR="0084290C" w:rsidRPr="00A0645F">
        <w:rPr>
          <w:kern w:val="22"/>
          <w:sz w:val="22"/>
          <w:szCs w:val="22"/>
          <w:lang w:val="fr-CA"/>
        </w:rPr>
        <w:t>e</w:t>
      </w:r>
      <w:r w:rsidR="00C314C3" w:rsidRPr="00A0645F">
        <w:rPr>
          <w:kern w:val="22"/>
          <w:sz w:val="22"/>
          <w:szCs w:val="22"/>
          <w:lang w:val="fr-CA"/>
        </w:rPr>
        <w:t>s sauvages</w:t>
      </w:r>
      <w:r w:rsidR="007D6D34">
        <w:rPr>
          <w:kern w:val="22"/>
          <w:sz w:val="22"/>
          <w:szCs w:val="22"/>
          <w:lang w:val="fr-CA"/>
        </w:rPr>
        <w:t> </w:t>
      </w:r>
      <w:r w:rsidR="00C314C3" w:rsidRPr="00A0645F">
        <w:rPr>
          <w:kern w:val="22"/>
          <w:sz w:val="22"/>
          <w:szCs w:val="22"/>
          <w:lang w:val="fr-CA"/>
        </w:rPr>
        <w:t>; la récolte, le commer</w:t>
      </w:r>
      <w:r w:rsidR="0084290C" w:rsidRPr="00A0645F">
        <w:rPr>
          <w:kern w:val="22"/>
          <w:sz w:val="22"/>
          <w:szCs w:val="22"/>
          <w:lang w:val="fr-CA"/>
        </w:rPr>
        <w:t>ce</w:t>
      </w:r>
      <w:r w:rsidR="00C314C3" w:rsidRPr="00A0645F">
        <w:rPr>
          <w:kern w:val="22"/>
          <w:sz w:val="22"/>
          <w:szCs w:val="22"/>
          <w:lang w:val="fr-CA"/>
        </w:rPr>
        <w:t xml:space="preserve"> et </w:t>
      </w:r>
      <w:r w:rsidR="0084290C" w:rsidRPr="00A0645F">
        <w:rPr>
          <w:kern w:val="22"/>
          <w:sz w:val="22"/>
          <w:szCs w:val="22"/>
          <w:lang w:val="fr-CA"/>
        </w:rPr>
        <w:t>l’utilisation</w:t>
      </w:r>
      <w:r w:rsidR="00C314C3" w:rsidRPr="00A0645F">
        <w:rPr>
          <w:kern w:val="22"/>
          <w:sz w:val="22"/>
          <w:szCs w:val="22"/>
          <w:lang w:val="fr-CA"/>
        </w:rPr>
        <w:t xml:space="preserve"> durable et sécuritaire des espèces sauvages</w:t>
      </w:r>
      <w:r w:rsidR="007D6D34">
        <w:rPr>
          <w:kern w:val="22"/>
          <w:sz w:val="22"/>
          <w:szCs w:val="22"/>
          <w:lang w:val="fr-CA"/>
        </w:rPr>
        <w:t> </w:t>
      </w:r>
      <w:r w:rsidR="00C314C3" w:rsidRPr="00A0645F">
        <w:rPr>
          <w:kern w:val="22"/>
          <w:sz w:val="22"/>
          <w:szCs w:val="22"/>
          <w:lang w:val="fr-CA"/>
        </w:rPr>
        <w:t>; les espèces exotiques envahissantes</w:t>
      </w:r>
      <w:r w:rsidR="007D6D34">
        <w:rPr>
          <w:kern w:val="22"/>
          <w:sz w:val="22"/>
          <w:szCs w:val="22"/>
          <w:lang w:val="fr-CA"/>
        </w:rPr>
        <w:t> </w:t>
      </w:r>
      <w:r w:rsidR="00C314C3" w:rsidRPr="00A0645F">
        <w:rPr>
          <w:kern w:val="22"/>
          <w:sz w:val="22"/>
          <w:szCs w:val="22"/>
          <w:lang w:val="fr-CA"/>
        </w:rPr>
        <w:t>; la pollution provenant de toutes les sources</w:t>
      </w:r>
      <w:r w:rsidR="007D6D34">
        <w:rPr>
          <w:kern w:val="22"/>
          <w:sz w:val="22"/>
          <w:szCs w:val="22"/>
          <w:lang w:val="fr-CA"/>
        </w:rPr>
        <w:t> </w:t>
      </w:r>
      <w:r w:rsidR="00C314C3" w:rsidRPr="00A0645F">
        <w:rPr>
          <w:kern w:val="22"/>
          <w:sz w:val="22"/>
          <w:szCs w:val="22"/>
          <w:lang w:val="fr-CA"/>
        </w:rPr>
        <w:t xml:space="preserve">; et les contributions </w:t>
      </w:r>
      <w:r w:rsidR="0084290C" w:rsidRPr="00A0645F">
        <w:rPr>
          <w:kern w:val="22"/>
          <w:sz w:val="22"/>
          <w:szCs w:val="22"/>
          <w:lang w:val="fr-CA"/>
        </w:rPr>
        <w:t>à l’adaptation aux</w:t>
      </w:r>
      <w:r w:rsidR="00C314C3" w:rsidRPr="00A0645F">
        <w:rPr>
          <w:kern w:val="22"/>
          <w:sz w:val="22"/>
          <w:szCs w:val="22"/>
          <w:lang w:val="fr-CA"/>
        </w:rPr>
        <w:t xml:space="preserve"> changements climatiques</w:t>
      </w:r>
      <w:r w:rsidR="0084290C" w:rsidRPr="00A0645F">
        <w:rPr>
          <w:kern w:val="22"/>
          <w:sz w:val="22"/>
          <w:szCs w:val="22"/>
          <w:lang w:val="fr-CA"/>
        </w:rPr>
        <w:t xml:space="preserve">, leur atténuation et la réduction des risques de catastrophe </w:t>
      </w:r>
      <w:r w:rsidR="00845981">
        <w:rPr>
          <w:kern w:val="22"/>
          <w:sz w:val="22"/>
          <w:szCs w:val="22"/>
          <w:lang w:val="fr-CA"/>
        </w:rPr>
        <w:t>grâce aux</w:t>
      </w:r>
      <w:r w:rsidR="0084290C" w:rsidRPr="00A0645F">
        <w:rPr>
          <w:kern w:val="22"/>
          <w:sz w:val="22"/>
          <w:szCs w:val="22"/>
          <w:lang w:val="fr-CA"/>
        </w:rPr>
        <w:t xml:space="preserve"> méthodes fondées sur les écosystèmes</w:t>
      </w:r>
      <w:r w:rsidR="007D6D34">
        <w:rPr>
          <w:kern w:val="22"/>
          <w:sz w:val="22"/>
          <w:szCs w:val="22"/>
          <w:lang w:val="fr-CA"/>
        </w:rPr>
        <w:t> </w:t>
      </w:r>
      <w:r w:rsidR="000F0B04" w:rsidRPr="00A0645F">
        <w:rPr>
          <w:kern w:val="22"/>
          <w:sz w:val="22"/>
          <w:szCs w:val="22"/>
          <w:lang w:val="fr-CA"/>
        </w:rPr>
        <w:t>;</w:t>
      </w:r>
    </w:p>
    <w:p w14:paraId="21FDD6DE" w14:textId="3B7101C4" w:rsidR="003E3473" w:rsidRPr="00845981" w:rsidRDefault="00AF6320" w:rsidP="00516B43">
      <w:pPr>
        <w:pStyle w:val="Para1"/>
        <w:numPr>
          <w:ilvl w:val="1"/>
          <w:numId w:val="19"/>
        </w:numPr>
        <w:suppressLineNumbers/>
        <w:suppressAutoHyphens/>
        <w:spacing w:before="120"/>
        <w:jc w:val="both"/>
        <w:rPr>
          <w:kern w:val="22"/>
          <w:sz w:val="22"/>
          <w:szCs w:val="22"/>
          <w:lang w:val="fr-CA"/>
        </w:rPr>
      </w:pPr>
      <w:r w:rsidRPr="00AF6320">
        <w:rPr>
          <w:i/>
          <w:kern w:val="22"/>
          <w:sz w:val="22"/>
          <w:szCs w:val="22"/>
          <w:lang w:val="fr-CA"/>
        </w:rPr>
        <w:t>Répondre aux besoin</w:t>
      </w:r>
      <w:r>
        <w:rPr>
          <w:i/>
          <w:kern w:val="22"/>
          <w:sz w:val="22"/>
          <w:szCs w:val="22"/>
          <w:lang w:val="fr-CA"/>
        </w:rPr>
        <w:t>s</w:t>
      </w:r>
      <w:r w:rsidRPr="00AF6320">
        <w:rPr>
          <w:i/>
          <w:kern w:val="22"/>
          <w:sz w:val="22"/>
          <w:szCs w:val="22"/>
          <w:lang w:val="fr-CA"/>
        </w:rPr>
        <w:t xml:space="preserve"> des personnes grâce à une utili</w:t>
      </w:r>
      <w:r>
        <w:rPr>
          <w:i/>
          <w:kern w:val="22"/>
          <w:sz w:val="22"/>
          <w:szCs w:val="22"/>
          <w:lang w:val="fr-CA"/>
        </w:rPr>
        <w:t>s</w:t>
      </w:r>
      <w:r w:rsidRPr="00AF6320">
        <w:rPr>
          <w:i/>
          <w:kern w:val="22"/>
          <w:sz w:val="22"/>
          <w:szCs w:val="22"/>
          <w:lang w:val="fr-CA"/>
        </w:rPr>
        <w:t xml:space="preserve">ation </w:t>
      </w:r>
      <w:r>
        <w:rPr>
          <w:i/>
          <w:kern w:val="22"/>
          <w:sz w:val="22"/>
          <w:szCs w:val="22"/>
          <w:lang w:val="fr-CA"/>
        </w:rPr>
        <w:t>dur</w:t>
      </w:r>
      <w:r w:rsidRPr="00AF6320">
        <w:rPr>
          <w:i/>
          <w:kern w:val="22"/>
          <w:sz w:val="22"/>
          <w:szCs w:val="22"/>
          <w:lang w:val="fr-CA"/>
        </w:rPr>
        <w:t xml:space="preserve">able et au partage des avantages. </w:t>
      </w:r>
      <w:r w:rsidRPr="00AF6320">
        <w:rPr>
          <w:kern w:val="22"/>
          <w:sz w:val="22"/>
          <w:szCs w:val="22"/>
          <w:lang w:val="fr-CA"/>
        </w:rPr>
        <w:t>Cinq cibles qui visent de diverses façons à transmettre les avantages aux personnes gr</w:t>
      </w:r>
      <w:r>
        <w:rPr>
          <w:kern w:val="22"/>
          <w:sz w:val="22"/>
          <w:szCs w:val="22"/>
          <w:lang w:val="fr-CA"/>
        </w:rPr>
        <w:t>âce à la gestion durable des espèces sauvages</w:t>
      </w:r>
      <w:r w:rsidR="007D6D34">
        <w:rPr>
          <w:kern w:val="22"/>
          <w:sz w:val="22"/>
          <w:szCs w:val="22"/>
          <w:lang w:val="fr-CA"/>
        </w:rPr>
        <w:t> </w:t>
      </w:r>
      <w:r>
        <w:rPr>
          <w:kern w:val="22"/>
          <w:sz w:val="22"/>
          <w:szCs w:val="22"/>
          <w:lang w:val="fr-CA"/>
        </w:rPr>
        <w:t>; la productivité, la durabilité et la rés</w:t>
      </w:r>
      <w:r w:rsidR="006874E6">
        <w:rPr>
          <w:kern w:val="22"/>
          <w:sz w:val="22"/>
          <w:szCs w:val="22"/>
          <w:lang w:val="fr-CA"/>
        </w:rPr>
        <w:t>i</w:t>
      </w:r>
      <w:r>
        <w:rPr>
          <w:kern w:val="22"/>
          <w:sz w:val="22"/>
          <w:szCs w:val="22"/>
          <w:lang w:val="fr-CA"/>
        </w:rPr>
        <w:t xml:space="preserve">lience de la biodiversité dans les écosystèmes agricoles et autres écosystèmes gérés grâce à la </w:t>
      </w:r>
      <w:r w:rsidRPr="00845981">
        <w:rPr>
          <w:kern w:val="22"/>
          <w:sz w:val="22"/>
          <w:szCs w:val="22"/>
          <w:lang w:val="fr-CA"/>
        </w:rPr>
        <w:t>conservat</w:t>
      </w:r>
      <w:r w:rsidR="006874E6" w:rsidRPr="00845981">
        <w:rPr>
          <w:kern w:val="22"/>
          <w:sz w:val="22"/>
          <w:szCs w:val="22"/>
          <w:lang w:val="fr-CA"/>
        </w:rPr>
        <w:t>i</w:t>
      </w:r>
      <w:r w:rsidRPr="00845981">
        <w:rPr>
          <w:kern w:val="22"/>
          <w:sz w:val="22"/>
          <w:szCs w:val="22"/>
          <w:lang w:val="fr-CA"/>
        </w:rPr>
        <w:t>on et l’utilisation durable</w:t>
      </w:r>
      <w:r w:rsidR="007D6D34">
        <w:rPr>
          <w:kern w:val="22"/>
          <w:sz w:val="22"/>
          <w:szCs w:val="22"/>
          <w:lang w:val="fr-CA"/>
        </w:rPr>
        <w:t> </w:t>
      </w:r>
      <w:r w:rsidRPr="00845981">
        <w:rPr>
          <w:kern w:val="22"/>
          <w:sz w:val="22"/>
          <w:szCs w:val="22"/>
          <w:lang w:val="fr-CA"/>
        </w:rPr>
        <w:t xml:space="preserve">; </w:t>
      </w:r>
      <w:r w:rsidR="00951021">
        <w:rPr>
          <w:kern w:val="22"/>
          <w:sz w:val="22"/>
          <w:szCs w:val="22"/>
          <w:lang w:val="fr-CA"/>
        </w:rPr>
        <w:t>l’apport</w:t>
      </w:r>
      <w:r w:rsidRPr="00845981">
        <w:rPr>
          <w:kern w:val="22"/>
          <w:sz w:val="22"/>
          <w:szCs w:val="22"/>
          <w:lang w:val="fr-CA"/>
        </w:rPr>
        <w:t xml:space="preserve"> des solutions fondées sur la nature et des </w:t>
      </w:r>
      <w:r w:rsidR="006874E6" w:rsidRPr="00845981">
        <w:rPr>
          <w:kern w:val="22"/>
          <w:sz w:val="22"/>
          <w:szCs w:val="22"/>
          <w:lang w:val="fr-CA"/>
        </w:rPr>
        <w:t>approches</w:t>
      </w:r>
      <w:r w:rsidRPr="00845981">
        <w:rPr>
          <w:kern w:val="22"/>
          <w:sz w:val="22"/>
          <w:szCs w:val="22"/>
          <w:lang w:val="fr-CA"/>
        </w:rPr>
        <w:t xml:space="preserve"> par écosystème contribuent à réguler la qualité de l’a</w:t>
      </w:r>
      <w:r w:rsidR="006874E6" w:rsidRPr="00845981">
        <w:rPr>
          <w:kern w:val="22"/>
          <w:sz w:val="22"/>
          <w:szCs w:val="22"/>
          <w:lang w:val="fr-CA"/>
        </w:rPr>
        <w:t>ir, les dangers et les événement</w:t>
      </w:r>
      <w:r w:rsidRPr="00845981">
        <w:rPr>
          <w:kern w:val="22"/>
          <w:sz w:val="22"/>
          <w:szCs w:val="22"/>
          <w:lang w:val="fr-CA"/>
        </w:rPr>
        <w:t>s extrêmes</w:t>
      </w:r>
      <w:r w:rsidR="006874E6" w:rsidRPr="00845981">
        <w:rPr>
          <w:kern w:val="22"/>
          <w:sz w:val="22"/>
          <w:szCs w:val="22"/>
          <w:lang w:val="fr-CA"/>
        </w:rPr>
        <w:t>, ainsi que la qualité et les quantités d’eau</w:t>
      </w:r>
      <w:r w:rsidR="007D6D34">
        <w:rPr>
          <w:kern w:val="22"/>
          <w:sz w:val="22"/>
          <w:szCs w:val="22"/>
          <w:lang w:val="fr-CA"/>
        </w:rPr>
        <w:t> </w:t>
      </w:r>
      <w:r w:rsidR="006874E6" w:rsidRPr="00845981">
        <w:rPr>
          <w:kern w:val="22"/>
          <w:sz w:val="22"/>
          <w:szCs w:val="22"/>
          <w:lang w:val="fr-CA"/>
        </w:rPr>
        <w:t>; l’accès aux espaces verts et bleus</w:t>
      </w:r>
      <w:r w:rsidR="007D6D34">
        <w:rPr>
          <w:kern w:val="22"/>
          <w:sz w:val="22"/>
          <w:szCs w:val="22"/>
          <w:lang w:val="fr-CA"/>
        </w:rPr>
        <w:t> </w:t>
      </w:r>
      <w:r w:rsidR="006874E6" w:rsidRPr="00845981">
        <w:rPr>
          <w:kern w:val="22"/>
          <w:sz w:val="22"/>
          <w:szCs w:val="22"/>
          <w:lang w:val="fr-CA"/>
        </w:rPr>
        <w:t>; et l’accès et le partage juste et équitable des avantages découlant de l’utilisation des ressources génétiques et des connaissances traditionnelles connexes</w:t>
      </w:r>
      <w:r w:rsidR="007D6D34">
        <w:rPr>
          <w:kern w:val="22"/>
          <w:sz w:val="22"/>
          <w:szCs w:val="22"/>
          <w:lang w:val="fr-CA"/>
        </w:rPr>
        <w:t> </w:t>
      </w:r>
      <w:r w:rsidR="003E3473" w:rsidRPr="00845981">
        <w:rPr>
          <w:kern w:val="22"/>
          <w:sz w:val="22"/>
          <w:szCs w:val="22"/>
          <w:lang w:val="fr-CA"/>
        </w:rPr>
        <w:t>;</w:t>
      </w:r>
    </w:p>
    <w:p w14:paraId="3CF2576E" w14:textId="497493E5" w:rsidR="003E3473" w:rsidRPr="006874E6" w:rsidRDefault="006874E6" w:rsidP="00516B43">
      <w:pPr>
        <w:pStyle w:val="Para1"/>
        <w:numPr>
          <w:ilvl w:val="1"/>
          <w:numId w:val="19"/>
        </w:numPr>
        <w:suppressLineNumbers/>
        <w:suppressAutoHyphens/>
        <w:spacing w:before="120"/>
        <w:jc w:val="both"/>
        <w:rPr>
          <w:kern w:val="22"/>
          <w:sz w:val="22"/>
          <w:szCs w:val="22"/>
          <w:lang w:val="fr-CA"/>
        </w:rPr>
      </w:pPr>
      <w:r w:rsidRPr="006874E6">
        <w:rPr>
          <w:i/>
          <w:kern w:val="22"/>
          <w:sz w:val="22"/>
          <w:szCs w:val="22"/>
          <w:lang w:val="fr-CA"/>
        </w:rPr>
        <w:t>Outils et solutions de mise en œuvre et d’intégration.</w:t>
      </w:r>
      <w:r w:rsidR="00F356F6" w:rsidRPr="006874E6">
        <w:rPr>
          <w:kern w:val="22"/>
          <w:sz w:val="22"/>
          <w:szCs w:val="22"/>
          <w:lang w:val="fr-CA"/>
        </w:rPr>
        <w:t xml:space="preserve"> </w:t>
      </w:r>
      <w:r w:rsidRPr="006874E6">
        <w:rPr>
          <w:kern w:val="22"/>
          <w:sz w:val="22"/>
          <w:szCs w:val="22"/>
          <w:lang w:val="fr-CA"/>
        </w:rPr>
        <w:t xml:space="preserve">Huit cibles </w:t>
      </w:r>
      <w:r>
        <w:rPr>
          <w:kern w:val="22"/>
          <w:sz w:val="22"/>
          <w:szCs w:val="22"/>
          <w:lang w:val="fr-CA"/>
        </w:rPr>
        <w:t>abordent de diverses façons</w:t>
      </w:r>
      <w:r w:rsidR="00E36576">
        <w:rPr>
          <w:kern w:val="22"/>
          <w:sz w:val="22"/>
          <w:szCs w:val="22"/>
          <w:lang w:val="fr-CA"/>
        </w:rPr>
        <w:t xml:space="preserve"> l’intégration des valeurs de la diversité biologique dans les politiques g</w:t>
      </w:r>
      <w:r w:rsidR="00FD6806">
        <w:rPr>
          <w:kern w:val="22"/>
          <w:sz w:val="22"/>
          <w:szCs w:val="22"/>
          <w:lang w:val="fr-CA"/>
        </w:rPr>
        <w:t>é</w:t>
      </w:r>
      <w:r w:rsidR="00E36576">
        <w:rPr>
          <w:kern w:val="22"/>
          <w:sz w:val="22"/>
          <w:szCs w:val="22"/>
          <w:lang w:val="fr-CA"/>
        </w:rPr>
        <w:t>nérales, les réglementations, la planification, les proc</w:t>
      </w:r>
      <w:r w:rsidR="00FD6806">
        <w:rPr>
          <w:kern w:val="22"/>
          <w:sz w:val="22"/>
          <w:szCs w:val="22"/>
          <w:lang w:val="fr-CA"/>
        </w:rPr>
        <w:t>essus de dével</w:t>
      </w:r>
      <w:r w:rsidR="00E36576">
        <w:rPr>
          <w:kern w:val="22"/>
          <w:sz w:val="22"/>
          <w:szCs w:val="22"/>
          <w:lang w:val="fr-CA"/>
        </w:rPr>
        <w:t>oppement, les st</w:t>
      </w:r>
      <w:r w:rsidR="00FD6806">
        <w:rPr>
          <w:kern w:val="22"/>
          <w:sz w:val="22"/>
          <w:szCs w:val="22"/>
          <w:lang w:val="fr-CA"/>
        </w:rPr>
        <w:t>ratégies de réduction de la pau</w:t>
      </w:r>
      <w:r w:rsidR="00E36576">
        <w:rPr>
          <w:kern w:val="22"/>
          <w:sz w:val="22"/>
          <w:szCs w:val="22"/>
          <w:lang w:val="fr-CA"/>
        </w:rPr>
        <w:t>vreté et les comptes</w:t>
      </w:r>
      <w:r w:rsidR="00845981">
        <w:rPr>
          <w:kern w:val="22"/>
          <w:sz w:val="22"/>
          <w:szCs w:val="22"/>
          <w:lang w:val="fr-CA"/>
        </w:rPr>
        <w:t xml:space="preserve"> de tous les niveaux, ainsi qu’à </w:t>
      </w:r>
      <w:r w:rsidR="00E36576">
        <w:rPr>
          <w:kern w:val="22"/>
          <w:sz w:val="22"/>
          <w:szCs w:val="22"/>
          <w:lang w:val="fr-CA"/>
        </w:rPr>
        <w:t>l’intégration des valeurs de la diversité biol</w:t>
      </w:r>
      <w:r w:rsidR="00845981">
        <w:rPr>
          <w:kern w:val="22"/>
          <w:sz w:val="22"/>
          <w:szCs w:val="22"/>
          <w:lang w:val="fr-CA"/>
        </w:rPr>
        <w:t>ogique dans tous les secteurs</w:t>
      </w:r>
      <w:r w:rsidR="007D6D34">
        <w:rPr>
          <w:kern w:val="22"/>
          <w:sz w:val="22"/>
          <w:szCs w:val="22"/>
          <w:lang w:val="fr-CA"/>
        </w:rPr>
        <w:t> </w:t>
      </w:r>
      <w:r w:rsidR="00845981">
        <w:rPr>
          <w:kern w:val="22"/>
          <w:sz w:val="22"/>
          <w:szCs w:val="22"/>
          <w:lang w:val="fr-CA"/>
        </w:rPr>
        <w:t>; l</w:t>
      </w:r>
      <w:r w:rsidR="008A0346">
        <w:rPr>
          <w:kern w:val="22"/>
          <w:sz w:val="22"/>
          <w:szCs w:val="22"/>
          <w:lang w:val="fr-CA"/>
        </w:rPr>
        <w:t>es pratiques de production et l</w:t>
      </w:r>
      <w:r w:rsidR="00E36576">
        <w:rPr>
          <w:kern w:val="22"/>
          <w:sz w:val="22"/>
          <w:szCs w:val="22"/>
          <w:lang w:val="fr-CA"/>
        </w:rPr>
        <w:t>es cha</w:t>
      </w:r>
      <w:r w:rsidR="00FD6806">
        <w:rPr>
          <w:kern w:val="22"/>
          <w:sz w:val="22"/>
          <w:szCs w:val="22"/>
          <w:lang w:val="fr-CA"/>
        </w:rPr>
        <w:t>î</w:t>
      </w:r>
      <w:r w:rsidR="00E36576">
        <w:rPr>
          <w:kern w:val="22"/>
          <w:sz w:val="22"/>
          <w:szCs w:val="22"/>
          <w:lang w:val="fr-CA"/>
        </w:rPr>
        <w:t>nes d’approvisionnement durables</w:t>
      </w:r>
      <w:r w:rsidR="007D6D34">
        <w:rPr>
          <w:kern w:val="22"/>
          <w:sz w:val="22"/>
          <w:szCs w:val="22"/>
          <w:lang w:val="fr-CA"/>
        </w:rPr>
        <w:t> </w:t>
      </w:r>
      <w:r w:rsidR="00E36576">
        <w:rPr>
          <w:kern w:val="22"/>
          <w:sz w:val="22"/>
          <w:szCs w:val="22"/>
          <w:lang w:val="fr-CA"/>
        </w:rPr>
        <w:t>; les habitudes de consommation durables</w:t>
      </w:r>
      <w:r w:rsidR="007D6D34">
        <w:rPr>
          <w:kern w:val="22"/>
          <w:sz w:val="22"/>
          <w:szCs w:val="22"/>
          <w:lang w:val="fr-CA"/>
        </w:rPr>
        <w:t> </w:t>
      </w:r>
      <w:r w:rsidR="00E36576">
        <w:rPr>
          <w:kern w:val="22"/>
          <w:sz w:val="22"/>
          <w:szCs w:val="22"/>
          <w:lang w:val="fr-CA"/>
        </w:rPr>
        <w:t>; les impacts possiblement négatifs de la biotechnologie sur la diversité biologique et la santé humaine</w:t>
      </w:r>
      <w:r w:rsidR="007D6D34">
        <w:rPr>
          <w:kern w:val="22"/>
          <w:sz w:val="22"/>
          <w:szCs w:val="22"/>
          <w:lang w:val="fr-CA"/>
        </w:rPr>
        <w:t> </w:t>
      </w:r>
      <w:r w:rsidR="00E36576">
        <w:rPr>
          <w:kern w:val="22"/>
          <w:sz w:val="22"/>
          <w:szCs w:val="22"/>
          <w:lang w:val="fr-CA"/>
        </w:rPr>
        <w:t>; des mesures d’encouragement nuisibles pour la diversité biologique</w:t>
      </w:r>
      <w:r w:rsidR="007D6D34">
        <w:rPr>
          <w:kern w:val="22"/>
          <w:sz w:val="22"/>
          <w:szCs w:val="22"/>
          <w:lang w:val="fr-CA"/>
        </w:rPr>
        <w:t> </w:t>
      </w:r>
      <w:r w:rsidR="00E36576">
        <w:rPr>
          <w:kern w:val="22"/>
          <w:sz w:val="22"/>
          <w:szCs w:val="22"/>
          <w:lang w:val="fr-CA"/>
        </w:rPr>
        <w:t xml:space="preserve">; </w:t>
      </w:r>
      <w:r w:rsidR="008A0346">
        <w:rPr>
          <w:kern w:val="22"/>
          <w:sz w:val="22"/>
          <w:szCs w:val="22"/>
          <w:lang w:val="fr-CA"/>
        </w:rPr>
        <w:t>l’assurance que</w:t>
      </w:r>
      <w:r w:rsidR="00E36576">
        <w:rPr>
          <w:kern w:val="22"/>
          <w:sz w:val="22"/>
          <w:szCs w:val="22"/>
          <w:lang w:val="fr-CA"/>
        </w:rPr>
        <w:t xml:space="preserve"> </w:t>
      </w:r>
      <w:r w:rsidR="008A0346">
        <w:rPr>
          <w:kern w:val="22"/>
          <w:sz w:val="22"/>
          <w:szCs w:val="22"/>
          <w:lang w:val="fr-CA"/>
        </w:rPr>
        <w:t>l</w:t>
      </w:r>
      <w:r w:rsidR="00E36576">
        <w:rPr>
          <w:kern w:val="22"/>
          <w:sz w:val="22"/>
          <w:szCs w:val="22"/>
          <w:lang w:val="fr-CA"/>
        </w:rPr>
        <w:t>es ressources financières, le renforcement des capacités et la coopération techn</w:t>
      </w:r>
      <w:r w:rsidR="008A0346">
        <w:rPr>
          <w:kern w:val="22"/>
          <w:sz w:val="22"/>
          <w:szCs w:val="22"/>
          <w:lang w:val="fr-CA"/>
        </w:rPr>
        <w:t>ique et scientifique corresponde</w:t>
      </w:r>
      <w:r w:rsidR="00E36576">
        <w:rPr>
          <w:kern w:val="22"/>
          <w:sz w:val="22"/>
          <w:szCs w:val="22"/>
          <w:lang w:val="fr-CA"/>
        </w:rPr>
        <w:t>nt aux ambitions des buts et objectifs du cadre</w:t>
      </w:r>
      <w:r w:rsidR="007D6D34">
        <w:rPr>
          <w:kern w:val="22"/>
          <w:sz w:val="22"/>
          <w:szCs w:val="22"/>
          <w:lang w:val="fr-CA"/>
        </w:rPr>
        <w:t> </w:t>
      </w:r>
      <w:r w:rsidR="00E36576">
        <w:rPr>
          <w:kern w:val="22"/>
          <w:sz w:val="22"/>
          <w:szCs w:val="22"/>
          <w:lang w:val="fr-CA"/>
        </w:rPr>
        <w:t xml:space="preserve">; </w:t>
      </w:r>
      <w:r w:rsidR="008A0346">
        <w:rPr>
          <w:kern w:val="22"/>
          <w:sz w:val="22"/>
          <w:szCs w:val="22"/>
          <w:lang w:val="fr-CA"/>
        </w:rPr>
        <w:t>l’assurance</w:t>
      </w:r>
      <w:r w:rsidR="00FD6806">
        <w:rPr>
          <w:kern w:val="22"/>
          <w:sz w:val="22"/>
          <w:szCs w:val="22"/>
          <w:lang w:val="fr-CA"/>
        </w:rPr>
        <w:t xml:space="preserve"> que les décideurs et le public profitent d’une information de qualité, dont les connaissances traditionnelles, afin d’assurer la gestion efficace de la diversité biologique par la promotion de la sensibilisation, de l’éducation et de la recherche</w:t>
      </w:r>
      <w:r w:rsidR="007D6D34">
        <w:rPr>
          <w:kern w:val="22"/>
          <w:sz w:val="22"/>
          <w:szCs w:val="22"/>
          <w:lang w:val="fr-CA"/>
        </w:rPr>
        <w:t> </w:t>
      </w:r>
      <w:r w:rsidR="00FD6806">
        <w:rPr>
          <w:kern w:val="22"/>
          <w:sz w:val="22"/>
          <w:szCs w:val="22"/>
          <w:lang w:val="fr-CA"/>
        </w:rPr>
        <w:t xml:space="preserve">; et </w:t>
      </w:r>
      <w:r w:rsidR="008A0346">
        <w:rPr>
          <w:kern w:val="22"/>
          <w:sz w:val="22"/>
          <w:szCs w:val="22"/>
          <w:lang w:val="fr-CA"/>
        </w:rPr>
        <w:t>l’assurance d’une participation équitable au</w:t>
      </w:r>
      <w:r w:rsidR="00FD6806">
        <w:rPr>
          <w:kern w:val="22"/>
          <w:sz w:val="22"/>
          <w:szCs w:val="22"/>
          <w:lang w:val="fr-CA"/>
        </w:rPr>
        <w:t xml:space="preserve"> processus décisionnel en matière de diversité biologique, ainsi que les droits concernant des ressources pertinentes des peuples autochtones et les communautés locales, des femmes, des filles et des jeunes</w:t>
      </w:r>
      <w:r w:rsidR="00011B6F" w:rsidRPr="006874E6">
        <w:rPr>
          <w:kern w:val="22"/>
          <w:sz w:val="22"/>
          <w:szCs w:val="22"/>
          <w:lang w:val="fr-CA"/>
        </w:rPr>
        <w:t>.</w:t>
      </w:r>
    </w:p>
    <w:p w14:paraId="5262BE99" w14:textId="638E7049" w:rsidR="003E3473" w:rsidRPr="00B142C7" w:rsidRDefault="002543A0" w:rsidP="00516B43">
      <w:pPr>
        <w:pStyle w:val="Para1"/>
        <w:numPr>
          <w:ilvl w:val="0"/>
          <w:numId w:val="13"/>
        </w:numPr>
        <w:suppressLineNumbers/>
        <w:tabs>
          <w:tab w:val="num" w:pos="720"/>
        </w:tabs>
        <w:suppressAutoHyphens/>
        <w:spacing w:before="120"/>
        <w:ind w:left="0" w:firstLine="0"/>
        <w:jc w:val="both"/>
        <w:rPr>
          <w:bCs/>
          <w:kern w:val="22"/>
          <w:sz w:val="22"/>
          <w:szCs w:val="22"/>
          <w:lang w:val="fr-CA"/>
        </w:rPr>
      </w:pPr>
      <w:r>
        <w:rPr>
          <w:bCs/>
          <w:kern w:val="22"/>
          <w:sz w:val="22"/>
          <w:szCs w:val="22"/>
          <w:lang w:val="fr-CA"/>
        </w:rPr>
        <w:lastRenderedPageBreak/>
        <w:t xml:space="preserve">Le cadre quadriennal des priorités du programme pourrait aussi tenir compte du caractère essentiel de l’assistance du FEM </w:t>
      </w:r>
      <w:r w:rsidR="00D43D38">
        <w:rPr>
          <w:bCs/>
          <w:kern w:val="22"/>
          <w:sz w:val="22"/>
          <w:szCs w:val="22"/>
          <w:lang w:val="fr-CA"/>
        </w:rPr>
        <w:t>pour la mise en œuvre des mécanismes de soutien prévus dans le cadre mondial de la biodiversité pour l</w:t>
      </w:r>
      <w:r w:rsidR="007D6D34">
        <w:rPr>
          <w:bCs/>
          <w:kern w:val="22"/>
          <w:sz w:val="22"/>
          <w:szCs w:val="22"/>
          <w:lang w:val="fr-CA"/>
        </w:rPr>
        <w:t>’</w:t>
      </w:r>
      <w:r w:rsidR="00D43D38">
        <w:rPr>
          <w:bCs/>
          <w:kern w:val="22"/>
          <w:sz w:val="22"/>
          <w:szCs w:val="22"/>
          <w:lang w:val="fr-CA"/>
        </w:rPr>
        <w:t>après-2020</w:t>
      </w:r>
      <w:r w:rsidR="008A0346">
        <w:rPr>
          <w:bCs/>
          <w:kern w:val="22"/>
          <w:sz w:val="22"/>
          <w:szCs w:val="22"/>
          <w:lang w:val="fr-CA"/>
        </w:rPr>
        <w:t>,</w:t>
      </w:r>
      <w:r w:rsidR="00E26DC5">
        <w:rPr>
          <w:bCs/>
          <w:kern w:val="22"/>
          <w:sz w:val="22"/>
          <w:szCs w:val="22"/>
          <w:lang w:val="fr-CA"/>
        </w:rPr>
        <w:t xml:space="preserve"> proposé</w:t>
      </w:r>
      <w:r w:rsidR="00D43D38">
        <w:rPr>
          <w:bCs/>
          <w:kern w:val="22"/>
          <w:sz w:val="22"/>
          <w:szCs w:val="22"/>
          <w:lang w:val="fr-CA"/>
        </w:rPr>
        <w:t xml:space="preserve"> </w:t>
      </w:r>
      <w:r w:rsidR="008A0346">
        <w:rPr>
          <w:bCs/>
          <w:kern w:val="22"/>
          <w:sz w:val="22"/>
          <w:szCs w:val="22"/>
          <w:lang w:val="fr-CA"/>
        </w:rPr>
        <w:t>comme suit dans l’avant-projet actualisé</w:t>
      </w:r>
      <w:r w:rsidR="007D6D34">
        <w:rPr>
          <w:bCs/>
          <w:kern w:val="22"/>
          <w:sz w:val="22"/>
          <w:szCs w:val="22"/>
          <w:lang w:val="fr-CA"/>
        </w:rPr>
        <w:t> </w:t>
      </w:r>
      <w:r w:rsidR="00EF15C6" w:rsidRPr="00B142C7">
        <w:rPr>
          <w:bCs/>
          <w:kern w:val="22"/>
          <w:sz w:val="22"/>
          <w:szCs w:val="22"/>
          <w:lang w:val="fr-CA"/>
        </w:rPr>
        <w:t>:</w:t>
      </w:r>
    </w:p>
    <w:p w14:paraId="7B4DDAD9" w14:textId="722389A4" w:rsidR="00EF15C6" w:rsidRPr="00B142C7" w:rsidRDefault="00D43D38" w:rsidP="0011729F">
      <w:pPr>
        <w:pStyle w:val="Para1"/>
        <w:numPr>
          <w:ilvl w:val="1"/>
          <w:numId w:val="13"/>
        </w:numPr>
        <w:suppressLineNumbers/>
        <w:suppressAutoHyphens/>
        <w:spacing w:before="120"/>
        <w:ind w:left="0" w:firstLine="709"/>
        <w:jc w:val="both"/>
        <w:rPr>
          <w:bCs/>
          <w:kern w:val="22"/>
          <w:sz w:val="22"/>
          <w:szCs w:val="22"/>
          <w:lang w:val="fr-CA"/>
        </w:rPr>
      </w:pPr>
      <w:r>
        <w:rPr>
          <w:bCs/>
          <w:kern w:val="22"/>
          <w:sz w:val="22"/>
          <w:szCs w:val="22"/>
          <w:lang w:val="fr-CA"/>
        </w:rPr>
        <w:t>La mobilisation des ressources suffisantes essentielles à la mise en œuvre du cadre et la réalisation de ses buts et objectifs</w:t>
      </w:r>
      <w:r w:rsidR="007D6D34">
        <w:rPr>
          <w:bCs/>
          <w:kern w:val="22"/>
          <w:sz w:val="22"/>
          <w:szCs w:val="22"/>
          <w:lang w:val="fr-CA"/>
        </w:rPr>
        <w:t> </w:t>
      </w:r>
      <w:r w:rsidR="00EF15C6" w:rsidRPr="00B142C7">
        <w:rPr>
          <w:bCs/>
          <w:kern w:val="22"/>
          <w:sz w:val="22"/>
          <w:szCs w:val="22"/>
          <w:lang w:val="fr-CA"/>
        </w:rPr>
        <w:t>;</w:t>
      </w:r>
    </w:p>
    <w:p w14:paraId="54075A33" w14:textId="5864528F" w:rsidR="00EF15C6" w:rsidRPr="00B142C7" w:rsidRDefault="00D43D38" w:rsidP="0011729F">
      <w:pPr>
        <w:pStyle w:val="Para1"/>
        <w:numPr>
          <w:ilvl w:val="1"/>
          <w:numId w:val="13"/>
        </w:numPr>
        <w:suppressLineNumbers/>
        <w:suppressAutoHyphens/>
        <w:spacing w:before="120"/>
        <w:ind w:left="0" w:firstLine="709"/>
        <w:jc w:val="both"/>
        <w:rPr>
          <w:bCs/>
          <w:kern w:val="22"/>
          <w:sz w:val="22"/>
          <w:szCs w:val="22"/>
          <w:lang w:val="fr-CA"/>
        </w:rPr>
      </w:pPr>
      <w:r>
        <w:rPr>
          <w:bCs/>
          <w:kern w:val="22"/>
          <w:sz w:val="22"/>
          <w:szCs w:val="22"/>
          <w:lang w:val="fr-CA"/>
        </w:rPr>
        <w:t>Le renforcement des capacités</w:t>
      </w:r>
      <w:r w:rsidR="007D6D34">
        <w:rPr>
          <w:bCs/>
          <w:kern w:val="22"/>
          <w:sz w:val="22"/>
          <w:szCs w:val="22"/>
          <w:lang w:val="fr-CA"/>
        </w:rPr>
        <w:t> </w:t>
      </w:r>
      <w:r w:rsidR="00EF15C6" w:rsidRPr="00B142C7">
        <w:rPr>
          <w:bCs/>
          <w:kern w:val="22"/>
          <w:sz w:val="22"/>
          <w:szCs w:val="22"/>
          <w:lang w:val="fr-CA"/>
        </w:rPr>
        <w:t>;</w:t>
      </w:r>
    </w:p>
    <w:p w14:paraId="27B33847" w14:textId="6A769CD3" w:rsidR="00EF15C6" w:rsidRPr="00B142C7" w:rsidRDefault="00D43D38" w:rsidP="0011729F">
      <w:pPr>
        <w:pStyle w:val="Para1"/>
        <w:numPr>
          <w:ilvl w:val="1"/>
          <w:numId w:val="13"/>
        </w:numPr>
        <w:suppressLineNumbers/>
        <w:suppressAutoHyphens/>
        <w:spacing w:before="120"/>
        <w:ind w:left="0" w:firstLine="709"/>
        <w:jc w:val="both"/>
        <w:rPr>
          <w:bCs/>
          <w:kern w:val="22"/>
          <w:sz w:val="22"/>
          <w:szCs w:val="22"/>
          <w:lang w:val="fr-CA"/>
        </w:rPr>
      </w:pPr>
      <w:r>
        <w:rPr>
          <w:bCs/>
          <w:kern w:val="22"/>
          <w:sz w:val="22"/>
          <w:szCs w:val="22"/>
          <w:lang w:val="fr-CA"/>
        </w:rPr>
        <w:t xml:space="preserve">La création, la gestion et le partage de connaissances afin de garantir </w:t>
      </w:r>
      <w:r w:rsidR="00C907E6">
        <w:rPr>
          <w:bCs/>
          <w:kern w:val="22"/>
          <w:sz w:val="22"/>
          <w:szCs w:val="22"/>
          <w:lang w:val="fr-CA"/>
        </w:rPr>
        <w:t>la</w:t>
      </w:r>
      <w:r>
        <w:rPr>
          <w:bCs/>
          <w:kern w:val="22"/>
          <w:sz w:val="22"/>
          <w:szCs w:val="22"/>
          <w:lang w:val="fr-CA"/>
        </w:rPr>
        <w:t xml:space="preserve"> planification de la diversité biologique, la prise de décisions, la mise en œuvre et la transparence</w:t>
      </w:r>
      <w:r w:rsidR="00E26DC5">
        <w:rPr>
          <w:bCs/>
          <w:kern w:val="22"/>
          <w:sz w:val="22"/>
          <w:szCs w:val="22"/>
          <w:lang w:val="fr-CA"/>
        </w:rPr>
        <w:t>,</w:t>
      </w:r>
      <w:r>
        <w:rPr>
          <w:bCs/>
          <w:kern w:val="22"/>
          <w:sz w:val="22"/>
          <w:szCs w:val="22"/>
          <w:lang w:val="fr-CA"/>
        </w:rPr>
        <w:t xml:space="preserve"> et la responsabilité efficaces</w:t>
      </w:r>
      <w:r w:rsidR="007D6D34">
        <w:rPr>
          <w:bCs/>
          <w:kern w:val="22"/>
          <w:sz w:val="22"/>
          <w:szCs w:val="22"/>
          <w:lang w:val="fr-CA"/>
        </w:rPr>
        <w:t> </w:t>
      </w:r>
      <w:r w:rsidR="00EF15C6" w:rsidRPr="00B142C7">
        <w:rPr>
          <w:bCs/>
          <w:kern w:val="22"/>
          <w:sz w:val="22"/>
          <w:szCs w:val="22"/>
          <w:lang w:val="fr-CA"/>
        </w:rPr>
        <w:t>;</w:t>
      </w:r>
      <w:r>
        <w:rPr>
          <w:bCs/>
          <w:kern w:val="22"/>
          <w:sz w:val="22"/>
          <w:szCs w:val="22"/>
          <w:lang w:val="fr-CA"/>
        </w:rPr>
        <w:t xml:space="preserve"> et</w:t>
      </w:r>
    </w:p>
    <w:p w14:paraId="3F7BD982" w14:textId="5965348B" w:rsidR="00EF15C6" w:rsidRPr="00B142C7" w:rsidRDefault="00DF6CC5" w:rsidP="0011729F">
      <w:pPr>
        <w:pStyle w:val="Para1"/>
        <w:numPr>
          <w:ilvl w:val="1"/>
          <w:numId w:val="13"/>
        </w:numPr>
        <w:suppressLineNumbers/>
        <w:suppressAutoHyphens/>
        <w:spacing w:before="120"/>
        <w:ind w:left="0" w:firstLine="709"/>
        <w:jc w:val="both"/>
        <w:rPr>
          <w:bCs/>
          <w:kern w:val="22"/>
          <w:sz w:val="22"/>
          <w:szCs w:val="22"/>
          <w:lang w:val="fr-CA"/>
        </w:rPr>
      </w:pPr>
      <w:r>
        <w:rPr>
          <w:bCs/>
          <w:kern w:val="22"/>
          <w:sz w:val="22"/>
          <w:szCs w:val="22"/>
          <w:lang w:val="fr-CA"/>
        </w:rPr>
        <w:t>La coopération technique et scientifique, le transfert de technologie et l’innovation</w:t>
      </w:r>
      <w:r w:rsidR="00B81B1B" w:rsidRPr="00B142C7">
        <w:rPr>
          <w:bCs/>
          <w:kern w:val="22"/>
          <w:sz w:val="22"/>
          <w:szCs w:val="22"/>
          <w:lang w:val="fr-CA"/>
        </w:rPr>
        <w:t>.</w:t>
      </w:r>
    </w:p>
    <w:p w14:paraId="3136D7B0" w14:textId="0A3D54EE" w:rsidR="003E3473" w:rsidRPr="00B142C7" w:rsidRDefault="00DF6CC5" w:rsidP="00516B43">
      <w:pPr>
        <w:pStyle w:val="Para1"/>
        <w:numPr>
          <w:ilvl w:val="0"/>
          <w:numId w:val="13"/>
        </w:numPr>
        <w:suppressLineNumbers/>
        <w:tabs>
          <w:tab w:val="num" w:pos="720"/>
        </w:tabs>
        <w:suppressAutoHyphens/>
        <w:spacing w:before="120"/>
        <w:ind w:left="0" w:firstLine="0"/>
        <w:jc w:val="both"/>
        <w:rPr>
          <w:bCs/>
          <w:kern w:val="22"/>
          <w:sz w:val="22"/>
          <w:szCs w:val="22"/>
          <w:lang w:val="fr-CA"/>
        </w:rPr>
      </w:pPr>
      <w:r>
        <w:rPr>
          <w:bCs/>
          <w:kern w:val="22"/>
          <w:sz w:val="22"/>
          <w:szCs w:val="22"/>
          <w:lang w:val="fr-CA"/>
        </w:rPr>
        <w:t>De plus, le cadre quadriennal des</w:t>
      </w:r>
      <w:r w:rsidR="00C907E6">
        <w:rPr>
          <w:bCs/>
          <w:kern w:val="22"/>
          <w:sz w:val="22"/>
          <w:szCs w:val="22"/>
          <w:lang w:val="fr-CA"/>
        </w:rPr>
        <w:t xml:space="preserve"> priorités du programme pourrai</w:t>
      </w:r>
      <w:r>
        <w:rPr>
          <w:bCs/>
          <w:kern w:val="22"/>
          <w:sz w:val="22"/>
          <w:szCs w:val="22"/>
          <w:lang w:val="fr-CA"/>
        </w:rPr>
        <w:t xml:space="preserve">t tenir compte de l’importance de l’assistance du FEM </w:t>
      </w:r>
      <w:r w:rsidR="00C907E6">
        <w:rPr>
          <w:bCs/>
          <w:kern w:val="22"/>
          <w:sz w:val="22"/>
          <w:szCs w:val="22"/>
          <w:lang w:val="fr-CA"/>
        </w:rPr>
        <w:t>pour les conditions de facilitation</w:t>
      </w:r>
      <w:r>
        <w:rPr>
          <w:bCs/>
          <w:kern w:val="22"/>
          <w:sz w:val="22"/>
          <w:szCs w:val="22"/>
          <w:lang w:val="fr-CA"/>
        </w:rPr>
        <w:t xml:space="preserve"> prévues dans le cadre mondial de la biodiversité pour l</w:t>
      </w:r>
      <w:r w:rsidR="007D6D34">
        <w:rPr>
          <w:bCs/>
          <w:kern w:val="22"/>
          <w:sz w:val="22"/>
          <w:szCs w:val="22"/>
          <w:lang w:val="fr-CA"/>
        </w:rPr>
        <w:t>’</w:t>
      </w:r>
      <w:r>
        <w:rPr>
          <w:bCs/>
          <w:kern w:val="22"/>
          <w:sz w:val="22"/>
          <w:szCs w:val="22"/>
          <w:lang w:val="fr-CA"/>
        </w:rPr>
        <w:t>après-2020. L’avant-projet actualisé propose treize conditions de facilitation nécessaires à la mise en œuvre du cadre, dont les suivantes</w:t>
      </w:r>
      <w:r w:rsidR="007D6D34">
        <w:rPr>
          <w:bCs/>
          <w:kern w:val="22"/>
          <w:sz w:val="22"/>
          <w:szCs w:val="22"/>
          <w:lang w:val="fr-CA"/>
        </w:rPr>
        <w:t> </w:t>
      </w:r>
      <w:r w:rsidR="007B1B88" w:rsidRPr="00B142C7">
        <w:rPr>
          <w:bCs/>
          <w:kern w:val="22"/>
          <w:sz w:val="22"/>
          <w:szCs w:val="22"/>
          <w:lang w:val="fr-CA"/>
        </w:rPr>
        <w:t>:</w:t>
      </w:r>
    </w:p>
    <w:p w14:paraId="2566BFFC" w14:textId="6DEFE6F4" w:rsidR="007B1B88" w:rsidRPr="00B142C7" w:rsidRDefault="00DF6CC5" w:rsidP="0011729F">
      <w:pPr>
        <w:pStyle w:val="Para1"/>
        <w:numPr>
          <w:ilvl w:val="1"/>
          <w:numId w:val="13"/>
        </w:numPr>
        <w:suppressLineNumbers/>
        <w:suppressAutoHyphens/>
        <w:spacing w:before="120"/>
        <w:ind w:left="0" w:firstLine="709"/>
        <w:jc w:val="both"/>
        <w:rPr>
          <w:bCs/>
          <w:kern w:val="22"/>
          <w:sz w:val="22"/>
          <w:szCs w:val="22"/>
          <w:lang w:val="fr-CA"/>
        </w:rPr>
      </w:pPr>
      <w:r>
        <w:rPr>
          <w:bCs/>
          <w:kern w:val="22"/>
          <w:sz w:val="22"/>
          <w:szCs w:val="22"/>
          <w:lang w:val="fr-CA"/>
        </w:rPr>
        <w:t xml:space="preserve">La participation des peuples autochtones et </w:t>
      </w:r>
      <w:r w:rsidR="00C907E6">
        <w:rPr>
          <w:bCs/>
          <w:kern w:val="22"/>
          <w:sz w:val="22"/>
          <w:szCs w:val="22"/>
          <w:lang w:val="fr-CA"/>
        </w:rPr>
        <w:t>des</w:t>
      </w:r>
      <w:r>
        <w:rPr>
          <w:bCs/>
          <w:kern w:val="22"/>
          <w:sz w:val="22"/>
          <w:szCs w:val="22"/>
          <w:lang w:val="fr-CA"/>
        </w:rPr>
        <w:t xml:space="preserve"> communautés locales et la reconnaissance de leurs droits en ce qui concerne la mise en œuvre du cadre</w:t>
      </w:r>
      <w:r w:rsidR="007D6D34">
        <w:rPr>
          <w:bCs/>
          <w:kern w:val="22"/>
          <w:sz w:val="22"/>
          <w:szCs w:val="22"/>
          <w:lang w:val="fr-CA"/>
        </w:rPr>
        <w:t> </w:t>
      </w:r>
      <w:r w:rsidR="007B1B88" w:rsidRPr="00B142C7">
        <w:rPr>
          <w:bCs/>
          <w:kern w:val="22"/>
          <w:sz w:val="22"/>
          <w:szCs w:val="22"/>
          <w:lang w:val="fr-CA"/>
        </w:rPr>
        <w:t>;</w:t>
      </w:r>
    </w:p>
    <w:p w14:paraId="56D66E6D" w14:textId="7C1E4D74" w:rsidR="007B1B88" w:rsidRPr="00C907E6" w:rsidRDefault="00DF6CC5" w:rsidP="0011729F">
      <w:pPr>
        <w:pStyle w:val="Para1"/>
        <w:numPr>
          <w:ilvl w:val="1"/>
          <w:numId w:val="13"/>
        </w:numPr>
        <w:suppressLineNumbers/>
        <w:suppressAutoHyphens/>
        <w:spacing w:before="120"/>
        <w:ind w:left="0" w:firstLine="709"/>
        <w:jc w:val="both"/>
        <w:rPr>
          <w:bCs/>
          <w:kern w:val="22"/>
          <w:sz w:val="22"/>
          <w:szCs w:val="22"/>
          <w:lang w:val="fr-CA"/>
        </w:rPr>
      </w:pPr>
      <w:r>
        <w:rPr>
          <w:bCs/>
          <w:kern w:val="22"/>
          <w:sz w:val="22"/>
          <w:szCs w:val="22"/>
          <w:lang w:val="fr-CA"/>
        </w:rPr>
        <w:t>La participation de toutes les parties prenantes</w:t>
      </w:r>
      <w:r w:rsidR="00DF212F">
        <w:rPr>
          <w:bCs/>
          <w:kern w:val="22"/>
          <w:sz w:val="22"/>
          <w:szCs w:val="22"/>
          <w:lang w:val="fr-CA"/>
        </w:rPr>
        <w:t xml:space="preserve"> </w:t>
      </w:r>
      <w:r w:rsidR="00DF212F" w:rsidRPr="00C907E6">
        <w:rPr>
          <w:bCs/>
          <w:kern w:val="22"/>
          <w:sz w:val="22"/>
          <w:szCs w:val="22"/>
          <w:lang w:val="fr-CA"/>
        </w:rPr>
        <w:t>concernées</w:t>
      </w:r>
      <w:r w:rsidRPr="00C907E6">
        <w:rPr>
          <w:bCs/>
          <w:kern w:val="22"/>
          <w:sz w:val="22"/>
          <w:szCs w:val="22"/>
          <w:lang w:val="fr-CA"/>
        </w:rPr>
        <w:t xml:space="preserve">, </w:t>
      </w:r>
      <w:r w:rsidR="00DF212F" w:rsidRPr="00C907E6">
        <w:rPr>
          <w:bCs/>
          <w:kern w:val="22"/>
          <w:sz w:val="22"/>
          <w:szCs w:val="22"/>
          <w:lang w:val="fr-CA"/>
        </w:rPr>
        <w:t xml:space="preserve">des </w:t>
      </w:r>
      <w:r w:rsidRPr="00C907E6">
        <w:rPr>
          <w:bCs/>
          <w:kern w:val="22"/>
          <w:sz w:val="22"/>
          <w:szCs w:val="22"/>
          <w:lang w:val="fr-CA"/>
        </w:rPr>
        <w:t xml:space="preserve">organisations non gouvernementales, </w:t>
      </w:r>
      <w:r w:rsidR="00DF212F" w:rsidRPr="00C907E6">
        <w:rPr>
          <w:bCs/>
          <w:kern w:val="22"/>
          <w:sz w:val="22"/>
          <w:szCs w:val="22"/>
          <w:lang w:val="fr-CA"/>
        </w:rPr>
        <w:t>des jeunes, de la société civile, des autorités locales et infranationales, du secteur privé, du milieu universitaire et des institutions scientifique</w:t>
      </w:r>
      <w:r w:rsidR="00C907E6">
        <w:rPr>
          <w:bCs/>
          <w:kern w:val="22"/>
          <w:sz w:val="22"/>
          <w:szCs w:val="22"/>
          <w:lang w:val="fr-CA"/>
        </w:rPr>
        <w:t>s</w:t>
      </w:r>
      <w:r w:rsidR="00DF212F" w:rsidRPr="00C907E6">
        <w:rPr>
          <w:bCs/>
          <w:kern w:val="22"/>
          <w:sz w:val="22"/>
          <w:szCs w:val="22"/>
          <w:lang w:val="fr-CA"/>
        </w:rPr>
        <w:t xml:space="preserve"> grâce à une démarche impliquant la société toute entière </w:t>
      </w:r>
      <w:r w:rsidR="00C907E6">
        <w:rPr>
          <w:bCs/>
          <w:kern w:val="22"/>
          <w:sz w:val="22"/>
          <w:szCs w:val="22"/>
          <w:lang w:val="fr-CA"/>
        </w:rPr>
        <w:t>et</w:t>
      </w:r>
      <w:r w:rsidR="0037123F">
        <w:rPr>
          <w:bCs/>
          <w:kern w:val="22"/>
          <w:sz w:val="22"/>
          <w:szCs w:val="22"/>
          <w:lang w:val="fr-CA"/>
        </w:rPr>
        <w:t xml:space="preserve"> </w:t>
      </w:r>
      <w:r w:rsidR="00DF212F" w:rsidRPr="00C907E6">
        <w:rPr>
          <w:bCs/>
          <w:kern w:val="22"/>
          <w:sz w:val="22"/>
          <w:szCs w:val="22"/>
          <w:lang w:val="fr-CA"/>
        </w:rPr>
        <w:t>des plateformes inclusives et repr</w:t>
      </w:r>
      <w:r w:rsidR="00C907E6">
        <w:rPr>
          <w:bCs/>
          <w:kern w:val="22"/>
          <w:sz w:val="22"/>
          <w:szCs w:val="22"/>
          <w:lang w:val="fr-CA"/>
        </w:rPr>
        <w:t>ésentatives auxquelles participe</w:t>
      </w:r>
      <w:r w:rsidR="00DF212F" w:rsidRPr="00C907E6">
        <w:rPr>
          <w:bCs/>
          <w:kern w:val="22"/>
          <w:sz w:val="22"/>
          <w:szCs w:val="22"/>
          <w:lang w:val="fr-CA"/>
        </w:rPr>
        <w:t>nt plusieurs parties prenantes et secteurs</w:t>
      </w:r>
      <w:r w:rsidR="007D6D34">
        <w:rPr>
          <w:bCs/>
          <w:kern w:val="22"/>
          <w:sz w:val="22"/>
          <w:szCs w:val="22"/>
          <w:lang w:val="fr-CA"/>
        </w:rPr>
        <w:t> </w:t>
      </w:r>
      <w:r w:rsidR="007B1B88" w:rsidRPr="00C907E6">
        <w:rPr>
          <w:bCs/>
          <w:kern w:val="22"/>
          <w:sz w:val="22"/>
          <w:szCs w:val="22"/>
          <w:lang w:val="fr-CA"/>
        </w:rPr>
        <w:t>;</w:t>
      </w:r>
    </w:p>
    <w:p w14:paraId="714C1EB5" w14:textId="5F78D90F" w:rsidR="007B1B88" w:rsidRPr="00C907E6" w:rsidRDefault="00DF212F" w:rsidP="0011729F">
      <w:pPr>
        <w:pStyle w:val="Para1"/>
        <w:numPr>
          <w:ilvl w:val="1"/>
          <w:numId w:val="13"/>
        </w:numPr>
        <w:suppressLineNumbers/>
        <w:suppressAutoHyphens/>
        <w:spacing w:before="120"/>
        <w:ind w:left="0" w:firstLine="709"/>
        <w:jc w:val="both"/>
        <w:rPr>
          <w:bCs/>
          <w:kern w:val="22"/>
          <w:sz w:val="22"/>
          <w:szCs w:val="22"/>
          <w:lang w:val="fr-CA"/>
        </w:rPr>
      </w:pPr>
      <w:r w:rsidRPr="00C907E6">
        <w:rPr>
          <w:bCs/>
          <w:kern w:val="22"/>
          <w:sz w:val="22"/>
          <w:szCs w:val="22"/>
          <w:lang w:val="fr-CA"/>
        </w:rPr>
        <w:t>Les synergies entre les accords multilatéraux sur l’environnement pertinents et autres processus internationaux, notamment en renforçant et en créant des mécanismes de coopération</w:t>
      </w:r>
      <w:r w:rsidR="007D6D34">
        <w:rPr>
          <w:bCs/>
          <w:kern w:val="22"/>
          <w:sz w:val="22"/>
          <w:szCs w:val="22"/>
          <w:lang w:val="fr-CA"/>
        </w:rPr>
        <w:t> </w:t>
      </w:r>
      <w:r w:rsidR="007B1B88" w:rsidRPr="00C907E6">
        <w:rPr>
          <w:bCs/>
          <w:kern w:val="22"/>
          <w:sz w:val="22"/>
          <w:szCs w:val="22"/>
          <w:lang w:val="fr-CA"/>
        </w:rPr>
        <w:t>;</w:t>
      </w:r>
    </w:p>
    <w:p w14:paraId="401A3732" w14:textId="3A2C02BF" w:rsidR="007B1B88" w:rsidRPr="00C907E6" w:rsidRDefault="00DF212F" w:rsidP="0011729F">
      <w:pPr>
        <w:pStyle w:val="Para1"/>
        <w:numPr>
          <w:ilvl w:val="1"/>
          <w:numId w:val="13"/>
        </w:numPr>
        <w:suppressLineNumbers/>
        <w:suppressAutoHyphens/>
        <w:spacing w:before="120"/>
        <w:ind w:left="0" w:firstLine="709"/>
        <w:jc w:val="both"/>
        <w:rPr>
          <w:bCs/>
          <w:kern w:val="22"/>
          <w:sz w:val="22"/>
          <w:szCs w:val="22"/>
          <w:lang w:val="fr-CA"/>
        </w:rPr>
      </w:pPr>
      <w:r w:rsidRPr="00C907E6">
        <w:rPr>
          <w:bCs/>
          <w:kern w:val="22"/>
          <w:sz w:val="22"/>
          <w:szCs w:val="22"/>
          <w:lang w:val="fr-CA"/>
        </w:rPr>
        <w:t>Des partenariats pour offrir des activités et programmes durables à tous les niveaux</w:t>
      </w:r>
      <w:r w:rsidR="007D6D34">
        <w:rPr>
          <w:bCs/>
          <w:kern w:val="22"/>
          <w:sz w:val="22"/>
          <w:szCs w:val="22"/>
          <w:lang w:val="fr-CA"/>
        </w:rPr>
        <w:t> </w:t>
      </w:r>
      <w:r w:rsidR="007B1B88" w:rsidRPr="00C907E6">
        <w:rPr>
          <w:bCs/>
          <w:kern w:val="22"/>
          <w:sz w:val="22"/>
          <w:szCs w:val="22"/>
          <w:lang w:val="fr-CA"/>
        </w:rPr>
        <w:t>;</w:t>
      </w:r>
    </w:p>
    <w:p w14:paraId="78CC9FA8" w14:textId="45721B40" w:rsidR="007B1B88" w:rsidRPr="00C907E6" w:rsidRDefault="00DF212F" w:rsidP="0011729F">
      <w:pPr>
        <w:pStyle w:val="Para1"/>
        <w:numPr>
          <w:ilvl w:val="1"/>
          <w:numId w:val="13"/>
        </w:numPr>
        <w:suppressLineNumbers/>
        <w:suppressAutoHyphens/>
        <w:spacing w:before="120"/>
        <w:ind w:left="0" w:firstLine="709"/>
        <w:jc w:val="both"/>
        <w:rPr>
          <w:bCs/>
          <w:kern w:val="22"/>
          <w:sz w:val="22"/>
          <w:szCs w:val="22"/>
          <w:lang w:val="fr-CA"/>
        </w:rPr>
      </w:pPr>
      <w:r w:rsidRPr="00C907E6">
        <w:rPr>
          <w:bCs/>
          <w:kern w:val="22"/>
          <w:sz w:val="22"/>
          <w:szCs w:val="22"/>
          <w:lang w:val="fr-CA"/>
        </w:rPr>
        <w:t>Une gouvernance inclusive et intégrante</w:t>
      </w:r>
      <w:r w:rsidR="001D0A49">
        <w:rPr>
          <w:bCs/>
          <w:kern w:val="22"/>
          <w:sz w:val="22"/>
          <w:szCs w:val="22"/>
          <w:lang w:val="fr-CA"/>
        </w:rPr>
        <w:t>, ainsi que</w:t>
      </w:r>
      <w:r w:rsidRPr="00C907E6">
        <w:rPr>
          <w:bCs/>
          <w:kern w:val="22"/>
          <w:sz w:val="22"/>
          <w:szCs w:val="22"/>
          <w:lang w:val="fr-CA"/>
        </w:rPr>
        <w:t xml:space="preserve"> des approches pangouvernementales afin de garantir la cohérence et l’efficacité des politiques pour la mise en œuvre du cadre</w:t>
      </w:r>
      <w:r w:rsidR="007D6D34">
        <w:rPr>
          <w:bCs/>
          <w:kern w:val="22"/>
          <w:sz w:val="22"/>
          <w:szCs w:val="22"/>
          <w:lang w:val="fr-CA"/>
        </w:rPr>
        <w:t> </w:t>
      </w:r>
      <w:r w:rsidR="007B1B88" w:rsidRPr="00C907E6">
        <w:rPr>
          <w:bCs/>
          <w:kern w:val="22"/>
          <w:sz w:val="22"/>
          <w:szCs w:val="22"/>
          <w:lang w:val="fr-CA"/>
        </w:rPr>
        <w:t>;</w:t>
      </w:r>
    </w:p>
    <w:p w14:paraId="69BAF594" w14:textId="767AFBEE" w:rsidR="007B1B88" w:rsidRPr="00C907E6" w:rsidRDefault="00DF212F" w:rsidP="0011729F">
      <w:pPr>
        <w:pStyle w:val="Para1"/>
        <w:numPr>
          <w:ilvl w:val="1"/>
          <w:numId w:val="13"/>
        </w:numPr>
        <w:suppressLineNumbers/>
        <w:suppressAutoHyphens/>
        <w:spacing w:before="120"/>
        <w:ind w:left="0" w:firstLine="709"/>
        <w:jc w:val="both"/>
        <w:rPr>
          <w:bCs/>
          <w:kern w:val="22"/>
          <w:sz w:val="22"/>
          <w:szCs w:val="22"/>
          <w:lang w:val="fr-CA"/>
        </w:rPr>
      </w:pPr>
      <w:r w:rsidRPr="00C907E6">
        <w:rPr>
          <w:bCs/>
          <w:kern w:val="22"/>
          <w:sz w:val="22"/>
          <w:szCs w:val="22"/>
          <w:lang w:val="fr-CA"/>
        </w:rPr>
        <w:t>L’intégration de la diversité biologique à tous les secteurs</w:t>
      </w:r>
      <w:r w:rsidR="007B1B88" w:rsidRPr="00C907E6">
        <w:rPr>
          <w:bCs/>
          <w:kern w:val="22"/>
          <w:sz w:val="22"/>
          <w:szCs w:val="22"/>
          <w:lang w:val="fr-CA"/>
        </w:rPr>
        <w:t>.</w:t>
      </w:r>
    </w:p>
    <w:p w14:paraId="57C70AFA" w14:textId="705F40F8" w:rsidR="00CC5E64" w:rsidRPr="00C907E6" w:rsidRDefault="00047858" w:rsidP="00516B43">
      <w:pPr>
        <w:pStyle w:val="Para1"/>
        <w:numPr>
          <w:ilvl w:val="0"/>
          <w:numId w:val="13"/>
        </w:numPr>
        <w:suppressLineNumbers/>
        <w:tabs>
          <w:tab w:val="num" w:pos="720"/>
        </w:tabs>
        <w:suppressAutoHyphens/>
        <w:spacing w:before="120"/>
        <w:ind w:left="0" w:firstLine="0"/>
        <w:jc w:val="both"/>
        <w:rPr>
          <w:bCs/>
          <w:kern w:val="22"/>
          <w:sz w:val="22"/>
          <w:szCs w:val="22"/>
          <w:lang w:val="fr-CA"/>
        </w:rPr>
      </w:pPr>
      <w:r w:rsidRPr="00C907E6">
        <w:rPr>
          <w:bCs/>
          <w:kern w:val="22"/>
          <w:sz w:val="22"/>
          <w:szCs w:val="22"/>
          <w:lang w:val="fr-CA"/>
        </w:rPr>
        <w:t>De plus, le cadre quadriennal des priorités du programme pourr</w:t>
      </w:r>
      <w:r w:rsidR="001D0A49">
        <w:rPr>
          <w:bCs/>
          <w:kern w:val="22"/>
          <w:sz w:val="22"/>
          <w:szCs w:val="22"/>
          <w:lang w:val="fr-CA"/>
        </w:rPr>
        <w:t>a</w:t>
      </w:r>
      <w:r w:rsidRPr="00C907E6">
        <w:rPr>
          <w:bCs/>
          <w:kern w:val="22"/>
          <w:sz w:val="22"/>
          <w:szCs w:val="22"/>
          <w:lang w:val="fr-CA"/>
        </w:rPr>
        <w:t xml:space="preserve">it aussi tenir compte </w:t>
      </w:r>
      <w:r w:rsidR="001D0A49">
        <w:rPr>
          <w:bCs/>
          <w:kern w:val="22"/>
          <w:sz w:val="22"/>
          <w:szCs w:val="22"/>
          <w:lang w:val="fr-CA"/>
        </w:rPr>
        <w:t>de</w:t>
      </w:r>
      <w:r w:rsidRPr="00C907E6">
        <w:rPr>
          <w:bCs/>
          <w:kern w:val="22"/>
          <w:sz w:val="22"/>
          <w:szCs w:val="22"/>
          <w:lang w:val="fr-CA"/>
        </w:rPr>
        <w:t xml:space="preserve"> l’importance du soutien du FEM pour le système général de planification, d’établissement de rapports et d’examen envisagé dans l’avant-projet actualisé du cadre mondial de la biodiversité pour l</w:t>
      </w:r>
      <w:r w:rsidR="007D6D34">
        <w:rPr>
          <w:bCs/>
          <w:kern w:val="22"/>
          <w:sz w:val="22"/>
          <w:szCs w:val="22"/>
          <w:lang w:val="fr-CA"/>
        </w:rPr>
        <w:t>’</w:t>
      </w:r>
      <w:r w:rsidRPr="00C907E6">
        <w:rPr>
          <w:bCs/>
          <w:kern w:val="22"/>
          <w:sz w:val="22"/>
          <w:szCs w:val="22"/>
          <w:lang w:val="fr-CA"/>
        </w:rPr>
        <w:t>après-2020, afin de garantir la responsabilité et la transparence, ainsi que pour les efforts envisagés pour le rayonnement, la sensibilisation et l’adoption du cadre mondial de la biodiversité pour l</w:t>
      </w:r>
      <w:r w:rsidR="007D6D34">
        <w:rPr>
          <w:bCs/>
          <w:kern w:val="22"/>
          <w:sz w:val="22"/>
          <w:szCs w:val="22"/>
          <w:lang w:val="fr-CA"/>
        </w:rPr>
        <w:t>’</w:t>
      </w:r>
      <w:r w:rsidRPr="00C907E6">
        <w:rPr>
          <w:bCs/>
          <w:kern w:val="22"/>
          <w:sz w:val="22"/>
          <w:szCs w:val="22"/>
          <w:lang w:val="fr-CA"/>
        </w:rPr>
        <w:t>après-2020</w:t>
      </w:r>
      <w:r w:rsidR="00CC5E64" w:rsidRPr="00C907E6">
        <w:rPr>
          <w:bCs/>
          <w:kern w:val="22"/>
          <w:sz w:val="22"/>
          <w:szCs w:val="22"/>
          <w:lang w:val="fr-CA"/>
        </w:rPr>
        <w:t>.</w:t>
      </w:r>
    </w:p>
    <w:p w14:paraId="103398E5" w14:textId="3E8EE74F" w:rsidR="00E71D60" w:rsidRPr="00C907E6" w:rsidRDefault="00047858" w:rsidP="00516B43">
      <w:pPr>
        <w:pStyle w:val="Para1"/>
        <w:numPr>
          <w:ilvl w:val="0"/>
          <w:numId w:val="13"/>
        </w:numPr>
        <w:suppressLineNumbers/>
        <w:tabs>
          <w:tab w:val="num" w:pos="720"/>
        </w:tabs>
        <w:suppressAutoHyphens/>
        <w:spacing w:before="120"/>
        <w:ind w:left="0" w:firstLine="0"/>
        <w:jc w:val="both"/>
        <w:rPr>
          <w:bCs/>
          <w:kern w:val="22"/>
          <w:sz w:val="22"/>
          <w:szCs w:val="22"/>
          <w:lang w:val="fr-CA"/>
        </w:rPr>
      </w:pPr>
      <w:r w:rsidRPr="00C907E6">
        <w:rPr>
          <w:bCs/>
          <w:kern w:val="22"/>
          <w:sz w:val="22"/>
          <w:szCs w:val="22"/>
          <w:lang w:val="fr-CA"/>
        </w:rPr>
        <w:t xml:space="preserve">En ce qui concerne les mécanismes </w:t>
      </w:r>
      <w:r w:rsidR="00640F8D" w:rsidRPr="00C907E6">
        <w:rPr>
          <w:bCs/>
          <w:kern w:val="22"/>
          <w:sz w:val="22"/>
          <w:szCs w:val="22"/>
          <w:lang w:val="fr-CA"/>
        </w:rPr>
        <w:t xml:space="preserve">liés au soutien à la mise en œuvre, aux conditions de facilitation et à la responsabilité et la transparence, </w:t>
      </w:r>
      <w:r w:rsidR="0037123F">
        <w:rPr>
          <w:bCs/>
          <w:kern w:val="22"/>
          <w:sz w:val="22"/>
          <w:szCs w:val="22"/>
          <w:lang w:val="fr-CA"/>
        </w:rPr>
        <w:t>il est attendu</w:t>
      </w:r>
      <w:r w:rsidR="00640F8D" w:rsidRPr="00C907E6">
        <w:rPr>
          <w:bCs/>
          <w:kern w:val="22"/>
          <w:sz w:val="22"/>
          <w:szCs w:val="22"/>
          <w:lang w:val="fr-CA"/>
        </w:rPr>
        <w:t xml:space="preserve"> que le cadre quadriennal des priorités du programme tienne fermement compte des décisions de la Conférence des Parties et de la Conférence des Parties siégeant en tant que réunion des Parties aux Protocoles sur de nombreux enjeux tels que ceux abordés par l’Organe subsidiaire chargé de l</w:t>
      </w:r>
      <w:r w:rsidR="007D6D34">
        <w:rPr>
          <w:bCs/>
          <w:kern w:val="22"/>
          <w:sz w:val="22"/>
          <w:szCs w:val="22"/>
          <w:lang w:val="fr-CA"/>
        </w:rPr>
        <w:t>’</w:t>
      </w:r>
      <w:r w:rsidR="00640F8D" w:rsidRPr="00C907E6">
        <w:rPr>
          <w:bCs/>
          <w:kern w:val="22"/>
          <w:sz w:val="22"/>
          <w:szCs w:val="22"/>
          <w:lang w:val="fr-CA"/>
        </w:rPr>
        <w:t>application à sa troisième réunion et pour lesquels le besoin essentiel d</w:t>
      </w:r>
      <w:r w:rsidR="001D0A49">
        <w:rPr>
          <w:bCs/>
          <w:kern w:val="22"/>
          <w:sz w:val="22"/>
          <w:szCs w:val="22"/>
          <w:lang w:val="fr-CA"/>
        </w:rPr>
        <w:t xml:space="preserve">u soutien du FEM pourrait être </w:t>
      </w:r>
      <w:r w:rsidR="00640F8D" w:rsidRPr="00C907E6">
        <w:rPr>
          <w:bCs/>
          <w:kern w:val="22"/>
          <w:sz w:val="22"/>
          <w:szCs w:val="22"/>
          <w:lang w:val="fr-CA"/>
        </w:rPr>
        <w:t>priorisé, notamment : la mobilisation des ressources</w:t>
      </w:r>
      <w:r w:rsidR="007D6D34">
        <w:rPr>
          <w:bCs/>
          <w:kern w:val="22"/>
          <w:sz w:val="22"/>
          <w:szCs w:val="22"/>
          <w:lang w:val="fr-CA"/>
        </w:rPr>
        <w:t> </w:t>
      </w:r>
      <w:r w:rsidR="00640F8D" w:rsidRPr="00C907E6">
        <w:rPr>
          <w:bCs/>
          <w:kern w:val="22"/>
          <w:sz w:val="22"/>
          <w:szCs w:val="22"/>
          <w:lang w:val="fr-CA"/>
        </w:rPr>
        <w:t>; le cadre stratégique à long terme pour le renforcement des capacités après 2020 et le plan d’action pour le renforcement des capacités pour le Protocole de Cartagena</w:t>
      </w:r>
      <w:r w:rsidR="007D6D34">
        <w:rPr>
          <w:bCs/>
          <w:kern w:val="22"/>
          <w:sz w:val="22"/>
          <w:szCs w:val="22"/>
          <w:lang w:val="fr-CA"/>
        </w:rPr>
        <w:t> </w:t>
      </w:r>
      <w:r w:rsidR="00640F8D" w:rsidRPr="00C907E6">
        <w:rPr>
          <w:bCs/>
          <w:kern w:val="22"/>
          <w:sz w:val="22"/>
          <w:szCs w:val="22"/>
          <w:lang w:val="fr-CA"/>
        </w:rPr>
        <w:t>; la démarche à long terme pour l’intégration de la diversité biologique</w:t>
      </w:r>
      <w:r w:rsidR="007D6D34">
        <w:rPr>
          <w:bCs/>
          <w:kern w:val="22"/>
          <w:sz w:val="22"/>
          <w:szCs w:val="22"/>
          <w:lang w:val="fr-CA"/>
        </w:rPr>
        <w:t> </w:t>
      </w:r>
      <w:r w:rsidR="00640F8D" w:rsidRPr="00C907E6">
        <w:rPr>
          <w:bCs/>
          <w:kern w:val="22"/>
          <w:sz w:val="22"/>
          <w:szCs w:val="22"/>
          <w:lang w:val="fr-CA"/>
        </w:rPr>
        <w:t>; et les mécanismes de planification, d’établissement de rapports, d’évaluation et d’examen</w:t>
      </w:r>
      <w:r w:rsidR="00D83647" w:rsidRPr="00C907E6">
        <w:rPr>
          <w:bCs/>
          <w:kern w:val="22"/>
          <w:sz w:val="22"/>
          <w:szCs w:val="22"/>
          <w:lang w:val="fr-CA"/>
        </w:rPr>
        <w:t>.</w:t>
      </w:r>
    </w:p>
    <w:p w14:paraId="702F94D3" w14:textId="0EC92302" w:rsidR="002751D6" w:rsidRPr="00DF212F" w:rsidRDefault="00640F8D" w:rsidP="00516B43">
      <w:pPr>
        <w:pStyle w:val="Para1"/>
        <w:numPr>
          <w:ilvl w:val="0"/>
          <w:numId w:val="13"/>
        </w:numPr>
        <w:suppressLineNumbers/>
        <w:tabs>
          <w:tab w:val="num" w:pos="720"/>
        </w:tabs>
        <w:suppressAutoHyphens/>
        <w:spacing w:before="120"/>
        <w:ind w:left="0" w:firstLine="0"/>
        <w:jc w:val="both"/>
        <w:rPr>
          <w:bCs/>
          <w:kern w:val="22"/>
          <w:sz w:val="22"/>
          <w:szCs w:val="22"/>
          <w:lang w:val="fr-CA"/>
        </w:rPr>
      </w:pPr>
      <w:r>
        <w:rPr>
          <w:bCs/>
          <w:kern w:val="22"/>
          <w:sz w:val="22"/>
          <w:szCs w:val="22"/>
          <w:lang w:val="fr-CA"/>
        </w:rPr>
        <w:lastRenderedPageBreak/>
        <w:t>L</w:t>
      </w:r>
      <w:r w:rsidR="00FE143A">
        <w:rPr>
          <w:bCs/>
          <w:kern w:val="22"/>
          <w:sz w:val="22"/>
          <w:szCs w:val="22"/>
          <w:lang w:val="fr-CA"/>
        </w:rPr>
        <w:t>a na</w:t>
      </w:r>
      <w:r>
        <w:rPr>
          <w:bCs/>
          <w:kern w:val="22"/>
          <w:sz w:val="22"/>
          <w:szCs w:val="22"/>
          <w:lang w:val="fr-CA"/>
        </w:rPr>
        <w:t>ture «</w:t>
      </w:r>
      <w:r w:rsidR="007D6D34">
        <w:rPr>
          <w:bCs/>
          <w:kern w:val="22"/>
          <w:sz w:val="22"/>
          <w:szCs w:val="22"/>
          <w:lang w:val="fr-CA"/>
        </w:rPr>
        <w:t> </w:t>
      </w:r>
      <w:r>
        <w:rPr>
          <w:bCs/>
          <w:kern w:val="22"/>
          <w:sz w:val="22"/>
          <w:szCs w:val="22"/>
          <w:lang w:val="fr-CA"/>
        </w:rPr>
        <w:t>mondiale » du cadre est un</w:t>
      </w:r>
      <w:r w:rsidR="007D6D34">
        <w:rPr>
          <w:bCs/>
          <w:kern w:val="22"/>
          <w:sz w:val="22"/>
          <w:szCs w:val="22"/>
          <w:lang w:val="fr-CA"/>
        </w:rPr>
        <w:t>e</w:t>
      </w:r>
      <w:r>
        <w:rPr>
          <w:bCs/>
          <w:kern w:val="22"/>
          <w:sz w:val="22"/>
          <w:szCs w:val="22"/>
          <w:lang w:val="fr-CA"/>
        </w:rPr>
        <w:t xml:space="preserve"> </w:t>
      </w:r>
      <w:r w:rsidR="000E2858">
        <w:rPr>
          <w:bCs/>
          <w:kern w:val="22"/>
          <w:sz w:val="22"/>
          <w:szCs w:val="22"/>
          <w:lang w:val="fr-CA"/>
        </w:rPr>
        <w:t>caractéristique</w:t>
      </w:r>
      <w:r>
        <w:rPr>
          <w:bCs/>
          <w:kern w:val="22"/>
          <w:sz w:val="22"/>
          <w:szCs w:val="22"/>
          <w:lang w:val="fr-CA"/>
        </w:rPr>
        <w:t xml:space="preserve"> important</w:t>
      </w:r>
      <w:r w:rsidR="000E2858">
        <w:rPr>
          <w:bCs/>
          <w:kern w:val="22"/>
          <w:sz w:val="22"/>
          <w:szCs w:val="22"/>
          <w:lang w:val="fr-CA"/>
        </w:rPr>
        <w:t>e</w:t>
      </w:r>
      <w:r>
        <w:rPr>
          <w:bCs/>
          <w:kern w:val="22"/>
          <w:sz w:val="22"/>
          <w:szCs w:val="22"/>
          <w:lang w:val="fr-CA"/>
        </w:rPr>
        <w:t xml:space="preserve"> de celui-ci</w:t>
      </w:r>
      <w:r w:rsidR="00FE143A">
        <w:rPr>
          <w:bCs/>
          <w:kern w:val="22"/>
          <w:sz w:val="22"/>
          <w:szCs w:val="22"/>
          <w:lang w:val="fr-CA"/>
        </w:rPr>
        <w:t xml:space="preserve">, car il est non seulement envisagé comme plan stratégique de la Convention sur la diversité biologique, mais aussi comme un instrument qu’adopteront tous les gouvernements, parties prenantes, accords multilatéraux sur l’environnement apparentés et organisations internationales hautement pertinents, </w:t>
      </w:r>
      <w:r w:rsidR="000E2858">
        <w:rPr>
          <w:bCs/>
          <w:kern w:val="22"/>
          <w:sz w:val="22"/>
          <w:szCs w:val="22"/>
          <w:lang w:val="fr-CA"/>
        </w:rPr>
        <w:t xml:space="preserve">et </w:t>
      </w:r>
      <w:r w:rsidR="00FE143A">
        <w:rPr>
          <w:bCs/>
          <w:kern w:val="22"/>
          <w:sz w:val="22"/>
          <w:szCs w:val="22"/>
          <w:lang w:val="fr-CA"/>
        </w:rPr>
        <w:t xml:space="preserve">qui favorisera et profitera d’une démarche intégrée pour sa mise en œuvre. </w:t>
      </w:r>
      <w:r w:rsidR="000E2858">
        <w:rPr>
          <w:bCs/>
          <w:kern w:val="22"/>
          <w:sz w:val="22"/>
          <w:szCs w:val="22"/>
          <w:lang w:val="fr-CA"/>
        </w:rPr>
        <w:t>Ceux-ci comprennent</w:t>
      </w:r>
      <w:r w:rsidR="00BD070D">
        <w:rPr>
          <w:bCs/>
          <w:kern w:val="22"/>
          <w:sz w:val="22"/>
          <w:szCs w:val="22"/>
          <w:lang w:val="fr-CA"/>
        </w:rPr>
        <w:t xml:space="preserve"> toutes les conventions desservies par le FEM, dont les Conventions de Rio et les Conventions de Minamata et de Stockholm, ainsi que les accords sur les mers régionales. Il ne fait aucun doute que le FEM aura aussi un rôle important à jouer dans la création d’approches intégrées pour la mise en œuvre qui touchera t</w:t>
      </w:r>
      <w:r w:rsidR="00015385">
        <w:rPr>
          <w:bCs/>
          <w:kern w:val="22"/>
          <w:sz w:val="22"/>
          <w:szCs w:val="22"/>
          <w:lang w:val="fr-CA"/>
        </w:rPr>
        <w:t>ous les domaines d’intervention et</w:t>
      </w:r>
      <w:r w:rsidR="00BD070D">
        <w:rPr>
          <w:bCs/>
          <w:kern w:val="22"/>
          <w:sz w:val="22"/>
          <w:szCs w:val="22"/>
          <w:lang w:val="fr-CA"/>
        </w:rPr>
        <w:t xml:space="preserve"> qui offriront </w:t>
      </w:r>
      <w:r w:rsidR="00015385">
        <w:rPr>
          <w:bCs/>
          <w:kern w:val="22"/>
          <w:sz w:val="22"/>
          <w:szCs w:val="22"/>
          <w:lang w:val="fr-CA"/>
        </w:rPr>
        <w:t xml:space="preserve">chacune </w:t>
      </w:r>
      <w:r w:rsidR="00BD070D">
        <w:rPr>
          <w:bCs/>
          <w:kern w:val="22"/>
          <w:sz w:val="22"/>
          <w:szCs w:val="22"/>
          <w:lang w:val="fr-CA"/>
        </w:rPr>
        <w:t>tous des avantages pour la diversité biologique</w:t>
      </w:r>
      <w:r w:rsidR="002751D6" w:rsidRPr="00DF212F">
        <w:rPr>
          <w:bCs/>
          <w:kern w:val="22"/>
          <w:sz w:val="22"/>
          <w:szCs w:val="22"/>
          <w:lang w:val="fr-CA"/>
        </w:rPr>
        <w:t>.</w:t>
      </w:r>
    </w:p>
    <w:p w14:paraId="3A600A19" w14:textId="05BF4502" w:rsidR="00E71D60" w:rsidRPr="00DF212F" w:rsidRDefault="00D76FD0" w:rsidP="00516B43">
      <w:pPr>
        <w:pStyle w:val="Para1"/>
        <w:numPr>
          <w:ilvl w:val="0"/>
          <w:numId w:val="13"/>
        </w:numPr>
        <w:suppressLineNumbers/>
        <w:tabs>
          <w:tab w:val="num" w:pos="720"/>
        </w:tabs>
        <w:suppressAutoHyphens/>
        <w:spacing w:before="120"/>
        <w:ind w:left="0" w:firstLine="0"/>
        <w:jc w:val="both"/>
        <w:rPr>
          <w:bCs/>
          <w:kern w:val="22"/>
          <w:sz w:val="22"/>
          <w:szCs w:val="22"/>
          <w:lang w:val="fr-CA"/>
        </w:rPr>
      </w:pPr>
      <w:r>
        <w:rPr>
          <w:bCs/>
          <w:kern w:val="22"/>
          <w:sz w:val="22"/>
          <w:szCs w:val="22"/>
          <w:lang w:val="fr-CA"/>
        </w:rPr>
        <w:t>Le cadre mondial de la biodiversité pour l</w:t>
      </w:r>
      <w:r w:rsidR="007D6D34">
        <w:rPr>
          <w:bCs/>
          <w:kern w:val="22"/>
          <w:sz w:val="22"/>
          <w:szCs w:val="22"/>
          <w:lang w:val="fr-CA"/>
        </w:rPr>
        <w:t>’</w:t>
      </w:r>
      <w:r>
        <w:rPr>
          <w:bCs/>
          <w:kern w:val="22"/>
          <w:sz w:val="22"/>
          <w:szCs w:val="22"/>
          <w:lang w:val="fr-CA"/>
        </w:rPr>
        <w:t xml:space="preserve">après-2020 devrait servir de cadre pour tous les accords multilatéraux sur l’environnement pertinents. Les </w:t>
      </w:r>
      <w:r w:rsidR="00ED135B">
        <w:rPr>
          <w:bCs/>
          <w:kern w:val="22"/>
          <w:sz w:val="22"/>
          <w:szCs w:val="22"/>
          <w:lang w:val="fr-CA"/>
        </w:rPr>
        <w:t>avis</w:t>
      </w:r>
      <w:r>
        <w:rPr>
          <w:bCs/>
          <w:kern w:val="22"/>
          <w:sz w:val="22"/>
          <w:szCs w:val="22"/>
          <w:lang w:val="fr-CA"/>
        </w:rPr>
        <w:t xml:space="preserve"> reçus des conventions relatives à la diversité biologique seront aussi pertinents pour le cadre quadrie</w:t>
      </w:r>
      <w:r w:rsidR="00015385">
        <w:rPr>
          <w:bCs/>
          <w:kern w:val="22"/>
          <w:sz w:val="22"/>
          <w:szCs w:val="22"/>
          <w:lang w:val="fr-CA"/>
        </w:rPr>
        <w:t>nnal des priorités du programme. Ils</w:t>
      </w:r>
      <w:r>
        <w:rPr>
          <w:bCs/>
          <w:kern w:val="22"/>
          <w:sz w:val="22"/>
          <w:szCs w:val="22"/>
          <w:lang w:val="fr-CA"/>
        </w:rPr>
        <w:t xml:space="preserve"> sont abordés dans la partie V, ci-dessous.</w:t>
      </w:r>
    </w:p>
    <w:p w14:paraId="5BAA4AB1" w14:textId="28AA7215" w:rsidR="00C21DDD" w:rsidRPr="00DF212F" w:rsidRDefault="00D76FD0" w:rsidP="00516B43">
      <w:pPr>
        <w:pStyle w:val="Para1"/>
        <w:numPr>
          <w:ilvl w:val="0"/>
          <w:numId w:val="13"/>
        </w:numPr>
        <w:suppressLineNumbers/>
        <w:tabs>
          <w:tab w:val="num" w:pos="720"/>
        </w:tabs>
        <w:suppressAutoHyphens/>
        <w:spacing w:before="120"/>
        <w:ind w:left="0" w:firstLine="0"/>
        <w:jc w:val="both"/>
        <w:rPr>
          <w:bCs/>
          <w:kern w:val="22"/>
          <w:sz w:val="22"/>
          <w:szCs w:val="22"/>
          <w:lang w:val="fr-CA"/>
        </w:rPr>
      </w:pPr>
      <w:r>
        <w:rPr>
          <w:bCs/>
          <w:kern w:val="22"/>
          <w:sz w:val="22"/>
          <w:szCs w:val="22"/>
          <w:lang w:val="fr-CA"/>
        </w:rPr>
        <w:t>Outre le contenu éventuel du cadre mondial de la biodiversité pour l</w:t>
      </w:r>
      <w:r w:rsidR="007D6D34">
        <w:rPr>
          <w:bCs/>
          <w:kern w:val="22"/>
          <w:sz w:val="22"/>
          <w:szCs w:val="22"/>
          <w:lang w:val="fr-CA"/>
        </w:rPr>
        <w:t>’</w:t>
      </w:r>
      <w:r>
        <w:rPr>
          <w:bCs/>
          <w:kern w:val="22"/>
          <w:sz w:val="22"/>
          <w:szCs w:val="22"/>
          <w:lang w:val="fr-CA"/>
        </w:rPr>
        <w:t xml:space="preserve">après-2020 et </w:t>
      </w:r>
      <w:r w:rsidR="00015385">
        <w:rPr>
          <w:bCs/>
          <w:kern w:val="22"/>
          <w:sz w:val="22"/>
          <w:szCs w:val="22"/>
          <w:lang w:val="fr-CA"/>
        </w:rPr>
        <w:t>le</w:t>
      </w:r>
      <w:r>
        <w:rPr>
          <w:bCs/>
          <w:kern w:val="22"/>
          <w:sz w:val="22"/>
          <w:szCs w:val="22"/>
          <w:lang w:val="fr-CA"/>
        </w:rPr>
        <w:t xml:space="preserve"> plan de mise en œuvre du Protocole de Cartagena sur la prévention des risques biotechnologiques, les conclusions de la cinquième édition des </w:t>
      </w:r>
      <w:r w:rsidRPr="00015385">
        <w:rPr>
          <w:bCs/>
          <w:i/>
          <w:kern w:val="22"/>
          <w:sz w:val="22"/>
          <w:szCs w:val="22"/>
          <w:lang w:val="fr-CA"/>
        </w:rPr>
        <w:t>Perspectives mondiales de la diversité biologique</w:t>
      </w:r>
      <w:r>
        <w:rPr>
          <w:bCs/>
          <w:kern w:val="22"/>
          <w:sz w:val="22"/>
          <w:szCs w:val="22"/>
          <w:lang w:val="fr-CA"/>
        </w:rPr>
        <w:t xml:space="preserve"> pourraient elles aussi être pertinentes et utiles</w:t>
      </w:r>
      <w:r w:rsidR="002C0B6B">
        <w:rPr>
          <w:bCs/>
          <w:kern w:val="22"/>
          <w:sz w:val="22"/>
          <w:szCs w:val="22"/>
          <w:lang w:val="fr-CA"/>
        </w:rPr>
        <w:t xml:space="preserve"> pour encadrer le</w:t>
      </w:r>
      <w:r>
        <w:rPr>
          <w:bCs/>
          <w:kern w:val="22"/>
          <w:sz w:val="22"/>
          <w:szCs w:val="22"/>
          <w:lang w:val="fr-CA"/>
        </w:rPr>
        <w:t>s</w:t>
      </w:r>
      <w:r w:rsidR="002C0B6B">
        <w:rPr>
          <w:bCs/>
          <w:kern w:val="22"/>
          <w:sz w:val="22"/>
          <w:szCs w:val="22"/>
          <w:lang w:val="fr-CA"/>
        </w:rPr>
        <w:t xml:space="preserve"> </w:t>
      </w:r>
      <w:r>
        <w:rPr>
          <w:bCs/>
          <w:kern w:val="22"/>
          <w:sz w:val="22"/>
          <w:szCs w:val="22"/>
          <w:lang w:val="fr-CA"/>
        </w:rPr>
        <w:t xml:space="preserve">priorités du programme de la huitième période de reconstitution </w:t>
      </w:r>
      <w:r w:rsidR="00DE48E1">
        <w:rPr>
          <w:bCs/>
          <w:kern w:val="22"/>
          <w:sz w:val="22"/>
          <w:szCs w:val="22"/>
          <w:lang w:val="fr-CA"/>
        </w:rPr>
        <w:t>du FEM</w:t>
      </w:r>
      <w:r w:rsidR="002C0B6B">
        <w:rPr>
          <w:bCs/>
          <w:kern w:val="22"/>
          <w:sz w:val="22"/>
          <w:szCs w:val="22"/>
          <w:lang w:val="fr-CA"/>
        </w:rPr>
        <w:t xml:space="preserve">. Cette particularité a l’avantage d’avoir déjà été abordée au titre du processus de la Convention sur la diversité biologique et rejoint les changements transformationnels que le </w:t>
      </w:r>
      <w:r w:rsidR="007D6D34">
        <w:rPr>
          <w:bCs/>
          <w:kern w:val="22"/>
          <w:sz w:val="22"/>
          <w:szCs w:val="22"/>
          <w:lang w:val="fr-CA"/>
        </w:rPr>
        <w:t>cadre mondial de la biodiversité pour l’après-2020</w:t>
      </w:r>
      <w:r w:rsidR="002C0B6B">
        <w:rPr>
          <w:bCs/>
          <w:kern w:val="22"/>
          <w:sz w:val="22"/>
          <w:szCs w:val="22"/>
          <w:lang w:val="fr-CA"/>
        </w:rPr>
        <w:t xml:space="preserve"> cherchera à motiver</w:t>
      </w:r>
      <w:r w:rsidR="00330EBA" w:rsidRPr="00DF212F">
        <w:rPr>
          <w:bCs/>
          <w:kern w:val="22"/>
          <w:sz w:val="22"/>
          <w:szCs w:val="22"/>
          <w:lang w:val="fr-CA"/>
        </w:rPr>
        <w:t>.</w:t>
      </w:r>
    </w:p>
    <w:p w14:paraId="4C37D78D" w14:textId="2B062580" w:rsidR="00AE4B03" w:rsidRPr="00DF212F" w:rsidRDefault="002C0B6B" w:rsidP="00516B43">
      <w:pPr>
        <w:pStyle w:val="Para1"/>
        <w:numPr>
          <w:ilvl w:val="0"/>
          <w:numId w:val="13"/>
        </w:numPr>
        <w:suppressLineNumbers/>
        <w:tabs>
          <w:tab w:val="num" w:pos="720"/>
        </w:tabs>
        <w:suppressAutoHyphens/>
        <w:spacing w:before="120"/>
        <w:ind w:left="0" w:firstLine="0"/>
        <w:jc w:val="both"/>
        <w:rPr>
          <w:bCs/>
          <w:kern w:val="22"/>
          <w:sz w:val="22"/>
          <w:szCs w:val="22"/>
          <w:lang w:val="fr-CA"/>
        </w:rPr>
      </w:pPr>
      <w:r>
        <w:rPr>
          <w:bCs/>
          <w:kern w:val="22"/>
          <w:sz w:val="22"/>
          <w:szCs w:val="22"/>
          <w:lang w:val="fr-CA"/>
        </w:rPr>
        <w:t xml:space="preserve">La cinquième édition des </w:t>
      </w:r>
      <w:r w:rsidRPr="00015385">
        <w:rPr>
          <w:bCs/>
          <w:i/>
          <w:kern w:val="22"/>
          <w:sz w:val="22"/>
          <w:szCs w:val="22"/>
          <w:lang w:val="fr-CA"/>
        </w:rPr>
        <w:t>Perspectives mondiales de la diversité biologique</w:t>
      </w:r>
      <w:r w:rsidR="00015385">
        <w:rPr>
          <w:bCs/>
          <w:kern w:val="22"/>
          <w:sz w:val="22"/>
          <w:szCs w:val="22"/>
          <w:lang w:val="fr-CA"/>
        </w:rPr>
        <w:t xml:space="preserve"> présente les h</w:t>
      </w:r>
      <w:r>
        <w:rPr>
          <w:bCs/>
          <w:kern w:val="22"/>
          <w:sz w:val="22"/>
          <w:szCs w:val="22"/>
          <w:lang w:val="fr-CA"/>
        </w:rPr>
        <w:t>uit transitions nécessaires qui reconnaissent la valeur de la diversité biologique et la nécessité de restaure</w:t>
      </w:r>
      <w:r w:rsidR="00015385">
        <w:rPr>
          <w:bCs/>
          <w:kern w:val="22"/>
          <w:sz w:val="22"/>
          <w:szCs w:val="22"/>
          <w:lang w:val="fr-CA"/>
        </w:rPr>
        <w:t>r les écosystèmes dont dépend</w:t>
      </w:r>
      <w:r>
        <w:rPr>
          <w:bCs/>
          <w:kern w:val="22"/>
          <w:sz w:val="22"/>
          <w:szCs w:val="22"/>
          <w:lang w:val="fr-CA"/>
        </w:rPr>
        <w:t xml:space="preserve"> toute l’activité humaine, et l’urgence de réduire les conséquences négatives de cette activité</w:t>
      </w:r>
      <w:r w:rsidR="007D6D34">
        <w:rPr>
          <w:bCs/>
          <w:kern w:val="22"/>
          <w:sz w:val="22"/>
          <w:szCs w:val="22"/>
          <w:lang w:val="fr-CA"/>
        </w:rPr>
        <w:t> </w:t>
      </w:r>
      <w:r w:rsidR="00174C7A" w:rsidRPr="00DF212F">
        <w:rPr>
          <w:bCs/>
          <w:kern w:val="22"/>
          <w:sz w:val="22"/>
          <w:szCs w:val="22"/>
          <w:lang w:val="fr-CA"/>
        </w:rPr>
        <w:t>:</w:t>
      </w:r>
    </w:p>
    <w:p w14:paraId="16C32B78" w14:textId="25D966C2" w:rsidR="00AE4B03" w:rsidRPr="00DF212F" w:rsidRDefault="009436DE" w:rsidP="0011729F">
      <w:pPr>
        <w:pStyle w:val="Para1"/>
        <w:numPr>
          <w:ilvl w:val="1"/>
          <w:numId w:val="13"/>
        </w:numPr>
        <w:suppressLineNumbers/>
        <w:suppressAutoHyphens/>
        <w:spacing w:before="120"/>
        <w:ind w:left="0" w:firstLine="709"/>
        <w:jc w:val="both"/>
        <w:rPr>
          <w:bCs/>
          <w:kern w:val="22"/>
          <w:sz w:val="22"/>
          <w:szCs w:val="22"/>
          <w:lang w:val="fr-CA"/>
        </w:rPr>
      </w:pPr>
      <w:r>
        <w:rPr>
          <w:bCs/>
          <w:kern w:val="22"/>
          <w:sz w:val="22"/>
          <w:szCs w:val="22"/>
          <w:lang w:val="fr-CA"/>
        </w:rPr>
        <w:t xml:space="preserve">La transition </w:t>
      </w:r>
      <w:r w:rsidRPr="009436DE">
        <w:rPr>
          <w:bCs/>
          <w:i/>
          <w:kern w:val="22"/>
          <w:sz w:val="22"/>
          <w:szCs w:val="22"/>
          <w:lang w:val="fr-CA"/>
        </w:rPr>
        <w:t>des terres et des forêts</w:t>
      </w:r>
      <w:r>
        <w:rPr>
          <w:bCs/>
          <w:kern w:val="22"/>
          <w:sz w:val="22"/>
          <w:szCs w:val="22"/>
          <w:lang w:val="fr-CA"/>
        </w:rPr>
        <w:t> : garder intacts les écosystèmes, restaurer les écosystèmes, combattre et renverser la dégradation, et utiliser la planification des espaces pour éviter, réduire et atténuer les changements dans l’utilisation des terres</w:t>
      </w:r>
      <w:r w:rsidR="007D6D34">
        <w:rPr>
          <w:bCs/>
          <w:kern w:val="22"/>
          <w:sz w:val="22"/>
          <w:szCs w:val="22"/>
          <w:lang w:val="fr-CA"/>
        </w:rPr>
        <w:t> </w:t>
      </w:r>
      <w:r w:rsidR="00AE4B03" w:rsidRPr="00DF212F">
        <w:rPr>
          <w:bCs/>
          <w:kern w:val="22"/>
          <w:sz w:val="22"/>
          <w:szCs w:val="22"/>
          <w:lang w:val="fr-CA"/>
        </w:rPr>
        <w:t>;</w:t>
      </w:r>
    </w:p>
    <w:p w14:paraId="58675E1A" w14:textId="02DC784D" w:rsidR="00AE4B03" w:rsidRPr="00DF212F" w:rsidRDefault="009436DE" w:rsidP="0011729F">
      <w:pPr>
        <w:pStyle w:val="Para1"/>
        <w:numPr>
          <w:ilvl w:val="1"/>
          <w:numId w:val="13"/>
        </w:numPr>
        <w:suppressLineNumbers/>
        <w:suppressAutoHyphens/>
        <w:spacing w:before="120"/>
        <w:ind w:left="0" w:firstLine="709"/>
        <w:jc w:val="both"/>
        <w:rPr>
          <w:bCs/>
          <w:kern w:val="22"/>
          <w:sz w:val="22"/>
          <w:szCs w:val="22"/>
          <w:lang w:val="fr-CA"/>
        </w:rPr>
      </w:pPr>
      <w:r>
        <w:rPr>
          <w:bCs/>
          <w:kern w:val="22"/>
          <w:sz w:val="22"/>
          <w:szCs w:val="22"/>
          <w:lang w:val="fr-CA"/>
        </w:rPr>
        <w:t xml:space="preserve">La transition à une </w:t>
      </w:r>
      <w:r w:rsidRPr="009436DE">
        <w:rPr>
          <w:bCs/>
          <w:i/>
          <w:kern w:val="22"/>
          <w:sz w:val="22"/>
          <w:szCs w:val="22"/>
          <w:lang w:val="fr-CA"/>
        </w:rPr>
        <w:t>agriculture durable</w:t>
      </w:r>
      <w:r>
        <w:rPr>
          <w:bCs/>
          <w:kern w:val="22"/>
          <w:sz w:val="22"/>
          <w:szCs w:val="22"/>
          <w:lang w:val="fr-CA"/>
        </w:rPr>
        <w:t> : redessiner les systèmes agricoles en utilisant une démarche agroécologique ou autre démarche innovatrice afin d’accroître la productivité tout en réduisant au minimum les conséquences négatives sur la biodiversité</w:t>
      </w:r>
      <w:r w:rsidR="007D6D34">
        <w:rPr>
          <w:bCs/>
          <w:kern w:val="22"/>
          <w:sz w:val="22"/>
          <w:szCs w:val="22"/>
          <w:lang w:val="fr-CA"/>
        </w:rPr>
        <w:t> </w:t>
      </w:r>
      <w:r>
        <w:rPr>
          <w:bCs/>
          <w:kern w:val="22"/>
          <w:sz w:val="22"/>
          <w:szCs w:val="22"/>
          <w:lang w:val="fr-CA"/>
        </w:rPr>
        <w:t>;</w:t>
      </w:r>
    </w:p>
    <w:p w14:paraId="1091FE8A" w14:textId="0AA464A0" w:rsidR="00AE4B03" w:rsidRPr="00DF212F" w:rsidRDefault="00854BF0" w:rsidP="0011729F">
      <w:pPr>
        <w:pStyle w:val="Para1"/>
        <w:numPr>
          <w:ilvl w:val="1"/>
          <w:numId w:val="13"/>
        </w:numPr>
        <w:suppressLineNumbers/>
        <w:suppressAutoHyphens/>
        <w:spacing w:before="120"/>
        <w:ind w:left="0" w:firstLine="709"/>
        <w:jc w:val="both"/>
        <w:rPr>
          <w:bCs/>
          <w:kern w:val="22"/>
          <w:sz w:val="22"/>
          <w:szCs w:val="22"/>
          <w:lang w:val="fr-CA"/>
        </w:rPr>
      </w:pPr>
      <w:r>
        <w:rPr>
          <w:bCs/>
          <w:kern w:val="22"/>
          <w:sz w:val="22"/>
          <w:szCs w:val="22"/>
          <w:lang w:val="fr-CA"/>
        </w:rPr>
        <w:t xml:space="preserve">La transition à des </w:t>
      </w:r>
      <w:r w:rsidRPr="00854BF0">
        <w:rPr>
          <w:bCs/>
          <w:i/>
          <w:kern w:val="22"/>
          <w:sz w:val="22"/>
          <w:szCs w:val="22"/>
          <w:lang w:val="fr-CA"/>
        </w:rPr>
        <w:t>systèmes alimentaires</w:t>
      </w:r>
      <w:r>
        <w:rPr>
          <w:bCs/>
          <w:kern w:val="22"/>
          <w:sz w:val="22"/>
          <w:szCs w:val="22"/>
          <w:lang w:val="fr-CA"/>
        </w:rPr>
        <w:t xml:space="preserve"> durables : favoriser des régimes alimentaires durables et sains en mettant l’accent sur une plus grande diversité d’aliments, surtout des végétaux, et une consommation plus modérée de viande et de poisson, ainsi </w:t>
      </w:r>
      <w:r w:rsidR="007F7417">
        <w:rPr>
          <w:bCs/>
          <w:kern w:val="22"/>
          <w:sz w:val="22"/>
          <w:szCs w:val="22"/>
          <w:lang w:val="fr-CA"/>
        </w:rPr>
        <w:t>qu’une réduction draconienne</w:t>
      </w:r>
      <w:r>
        <w:rPr>
          <w:bCs/>
          <w:kern w:val="22"/>
          <w:sz w:val="22"/>
          <w:szCs w:val="22"/>
          <w:lang w:val="fr-CA"/>
        </w:rPr>
        <w:t xml:space="preserve"> du gaspillage associé à la chaîne alimentaire et la consommation</w:t>
      </w:r>
      <w:r w:rsidR="007D6D34">
        <w:rPr>
          <w:bCs/>
          <w:kern w:val="22"/>
          <w:sz w:val="22"/>
          <w:szCs w:val="22"/>
          <w:lang w:val="fr-CA"/>
        </w:rPr>
        <w:t> </w:t>
      </w:r>
      <w:r w:rsidR="00AE4B03" w:rsidRPr="00DF212F">
        <w:rPr>
          <w:bCs/>
          <w:kern w:val="22"/>
          <w:sz w:val="22"/>
          <w:szCs w:val="22"/>
          <w:lang w:val="fr-CA"/>
        </w:rPr>
        <w:t>;</w:t>
      </w:r>
    </w:p>
    <w:p w14:paraId="4BDEA79C" w14:textId="1941BC38" w:rsidR="00AE4B03" w:rsidRPr="007F7417" w:rsidRDefault="00737ABB" w:rsidP="0011729F">
      <w:pPr>
        <w:pStyle w:val="Para1"/>
        <w:numPr>
          <w:ilvl w:val="1"/>
          <w:numId w:val="13"/>
        </w:numPr>
        <w:suppressLineNumbers/>
        <w:suppressAutoHyphens/>
        <w:spacing w:before="120"/>
        <w:ind w:left="0" w:firstLine="709"/>
        <w:jc w:val="both"/>
        <w:rPr>
          <w:bCs/>
          <w:kern w:val="22"/>
          <w:sz w:val="22"/>
          <w:szCs w:val="22"/>
          <w:lang w:val="fr-CA"/>
        </w:rPr>
      </w:pPr>
      <w:r>
        <w:rPr>
          <w:bCs/>
          <w:kern w:val="22"/>
          <w:sz w:val="22"/>
          <w:szCs w:val="22"/>
          <w:lang w:val="fr-CA"/>
        </w:rPr>
        <w:t xml:space="preserve">La transition à la </w:t>
      </w:r>
      <w:r w:rsidRPr="00737ABB">
        <w:rPr>
          <w:bCs/>
          <w:i/>
          <w:kern w:val="22"/>
          <w:sz w:val="22"/>
          <w:szCs w:val="22"/>
          <w:lang w:val="fr-CA"/>
        </w:rPr>
        <w:t>pêche et aux océans durables</w:t>
      </w:r>
      <w:r>
        <w:rPr>
          <w:bCs/>
          <w:kern w:val="22"/>
          <w:sz w:val="22"/>
          <w:szCs w:val="22"/>
          <w:lang w:val="fr-CA"/>
        </w:rPr>
        <w:t> </w:t>
      </w:r>
      <w:r w:rsidRPr="007F7417">
        <w:rPr>
          <w:bCs/>
          <w:kern w:val="22"/>
          <w:sz w:val="22"/>
          <w:szCs w:val="22"/>
          <w:lang w:val="fr-CA"/>
        </w:rPr>
        <w:t>: protéger et restaurer les écosystèmes marins et côtiers, rebâtir la pêche et gérer l’aquaculture et les autres utilisations des océans</w:t>
      </w:r>
      <w:r w:rsidR="007F7417">
        <w:rPr>
          <w:bCs/>
          <w:kern w:val="22"/>
          <w:sz w:val="22"/>
          <w:szCs w:val="22"/>
          <w:lang w:val="fr-CA"/>
        </w:rPr>
        <w:t>,</w:t>
      </w:r>
      <w:r w:rsidRPr="007F7417">
        <w:rPr>
          <w:bCs/>
          <w:kern w:val="22"/>
          <w:sz w:val="22"/>
          <w:szCs w:val="22"/>
          <w:lang w:val="fr-CA"/>
        </w:rPr>
        <w:t xml:space="preserve"> afin de garantir leur pérennité et d’améliorer la sécurité des aliments et les moyens de subsistance</w:t>
      </w:r>
      <w:r w:rsidR="007D6D34">
        <w:rPr>
          <w:bCs/>
          <w:kern w:val="22"/>
          <w:sz w:val="22"/>
          <w:szCs w:val="22"/>
          <w:lang w:val="fr-CA"/>
        </w:rPr>
        <w:t> </w:t>
      </w:r>
      <w:r w:rsidR="00AE4B03" w:rsidRPr="007F7417">
        <w:rPr>
          <w:bCs/>
          <w:kern w:val="22"/>
          <w:sz w:val="22"/>
          <w:szCs w:val="22"/>
          <w:lang w:val="fr-CA"/>
        </w:rPr>
        <w:t>;</w:t>
      </w:r>
    </w:p>
    <w:p w14:paraId="37D0DD58" w14:textId="32FA720C" w:rsidR="00AE4B03" w:rsidRPr="007F7417" w:rsidRDefault="00737ABB" w:rsidP="0011729F">
      <w:pPr>
        <w:pStyle w:val="Para1"/>
        <w:numPr>
          <w:ilvl w:val="1"/>
          <w:numId w:val="13"/>
        </w:numPr>
        <w:suppressLineNumbers/>
        <w:suppressAutoHyphens/>
        <w:spacing w:before="120"/>
        <w:ind w:left="0" w:firstLine="709"/>
        <w:jc w:val="both"/>
        <w:rPr>
          <w:bCs/>
          <w:kern w:val="22"/>
          <w:sz w:val="22"/>
          <w:szCs w:val="22"/>
          <w:lang w:val="fr-CA"/>
        </w:rPr>
      </w:pPr>
      <w:r w:rsidRPr="007F7417">
        <w:rPr>
          <w:bCs/>
          <w:kern w:val="22"/>
          <w:sz w:val="22"/>
          <w:szCs w:val="22"/>
          <w:lang w:val="fr-CA"/>
        </w:rPr>
        <w:t xml:space="preserve">La transition des </w:t>
      </w:r>
      <w:r w:rsidRPr="007F7417">
        <w:rPr>
          <w:bCs/>
          <w:i/>
          <w:kern w:val="22"/>
          <w:sz w:val="22"/>
          <w:szCs w:val="22"/>
          <w:lang w:val="fr-CA"/>
        </w:rPr>
        <w:t>villes et des infrastructures</w:t>
      </w:r>
      <w:r w:rsidRPr="007F7417">
        <w:rPr>
          <w:bCs/>
          <w:kern w:val="22"/>
          <w:sz w:val="22"/>
          <w:szCs w:val="22"/>
          <w:lang w:val="fr-CA"/>
        </w:rPr>
        <w:t> : déployer une « infrastructure verte</w:t>
      </w:r>
      <w:r w:rsidR="007D6D34">
        <w:rPr>
          <w:bCs/>
          <w:kern w:val="22"/>
          <w:sz w:val="22"/>
          <w:szCs w:val="22"/>
          <w:lang w:val="fr-CA"/>
        </w:rPr>
        <w:t> </w:t>
      </w:r>
      <w:r w:rsidRPr="007F7417">
        <w:rPr>
          <w:bCs/>
          <w:kern w:val="22"/>
          <w:sz w:val="22"/>
          <w:szCs w:val="22"/>
          <w:lang w:val="fr-CA"/>
        </w:rPr>
        <w:t>» et prévoir de l’espace pour la nature dans les infrastructures bâties</w:t>
      </w:r>
      <w:r w:rsidR="007F7417">
        <w:rPr>
          <w:bCs/>
          <w:kern w:val="22"/>
          <w:sz w:val="22"/>
          <w:szCs w:val="22"/>
          <w:lang w:val="fr-CA"/>
        </w:rPr>
        <w:t>,</w:t>
      </w:r>
      <w:r w:rsidRPr="007F7417">
        <w:rPr>
          <w:bCs/>
          <w:kern w:val="22"/>
          <w:sz w:val="22"/>
          <w:szCs w:val="22"/>
          <w:lang w:val="fr-CA"/>
        </w:rPr>
        <w:t xml:space="preserve"> afin d’améliorer la santé et la qualité de vie des citoyens et de réduire l’empreinte environnementale des villes et des infrastructures</w:t>
      </w:r>
      <w:r w:rsidR="007D6D34">
        <w:rPr>
          <w:bCs/>
          <w:kern w:val="22"/>
          <w:sz w:val="22"/>
          <w:szCs w:val="22"/>
          <w:lang w:val="fr-CA"/>
        </w:rPr>
        <w:t> </w:t>
      </w:r>
      <w:r w:rsidR="00AE4B03" w:rsidRPr="007F7417">
        <w:rPr>
          <w:bCs/>
          <w:kern w:val="22"/>
          <w:sz w:val="22"/>
          <w:szCs w:val="22"/>
          <w:lang w:val="fr-CA"/>
        </w:rPr>
        <w:t>;</w:t>
      </w:r>
    </w:p>
    <w:p w14:paraId="62C8525B" w14:textId="5E1AFFA4" w:rsidR="00AE4B03" w:rsidRPr="007F7417" w:rsidRDefault="00936B37" w:rsidP="0011729F">
      <w:pPr>
        <w:pStyle w:val="Para1"/>
        <w:numPr>
          <w:ilvl w:val="1"/>
          <w:numId w:val="13"/>
        </w:numPr>
        <w:suppressLineNumbers/>
        <w:suppressAutoHyphens/>
        <w:spacing w:before="120"/>
        <w:ind w:left="0" w:firstLine="709"/>
        <w:jc w:val="both"/>
        <w:rPr>
          <w:bCs/>
          <w:kern w:val="22"/>
          <w:sz w:val="22"/>
          <w:szCs w:val="22"/>
          <w:lang w:val="fr-CA"/>
        </w:rPr>
      </w:pPr>
      <w:r w:rsidRPr="007F7417">
        <w:rPr>
          <w:bCs/>
          <w:kern w:val="22"/>
          <w:sz w:val="22"/>
          <w:szCs w:val="22"/>
          <w:lang w:val="fr-CA"/>
        </w:rPr>
        <w:t xml:space="preserve">La transition à une </w:t>
      </w:r>
      <w:r w:rsidRPr="007F7417">
        <w:rPr>
          <w:bCs/>
          <w:i/>
          <w:kern w:val="22"/>
          <w:sz w:val="22"/>
          <w:szCs w:val="22"/>
          <w:lang w:val="fr-CA"/>
        </w:rPr>
        <w:t>eau douce</w:t>
      </w:r>
      <w:r w:rsidRPr="007F7417">
        <w:rPr>
          <w:bCs/>
          <w:kern w:val="22"/>
          <w:sz w:val="22"/>
          <w:szCs w:val="22"/>
          <w:lang w:val="fr-CA"/>
        </w:rPr>
        <w:t xml:space="preserve"> durable : une démarche intégr</w:t>
      </w:r>
      <w:r w:rsidR="007F7417">
        <w:rPr>
          <w:bCs/>
          <w:kern w:val="22"/>
          <w:sz w:val="22"/>
          <w:szCs w:val="22"/>
          <w:lang w:val="fr-CA"/>
        </w:rPr>
        <w:t>ée qui garantit le débit d’</w:t>
      </w:r>
      <w:r w:rsidRPr="007F7417">
        <w:rPr>
          <w:bCs/>
          <w:kern w:val="22"/>
          <w:sz w:val="22"/>
          <w:szCs w:val="22"/>
          <w:lang w:val="fr-CA"/>
        </w:rPr>
        <w:t xml:space="preserve">eau exigé par la nature et les personnes, améliore la qualité de l’eau, </w:t>
      </w:r>
      <w:r w:rsidR="002944F4">
        <w:rPr>
          <w:bCs/>
          <w:kern w:val="22"/>
          <w:sz w:val="22"/>
          <w:szCs w:val="22"/>
          <w:lang w:val="fr-CA"/>
        </w:rPr>
        <w:t>protège</w:t>
      </w:r>
      <w:r w:rsidRPr="007F7417">
        <w:rPr>
          <w:bCs/>
          <w:kern w:val="22"/>
          <w:sz w:val="22"/>
          <w:szCs w:val="22"/>
          <w:lang w:val="fr-CA"/>
        </w:rPr>
        <w:t xml:space="preserve"> les habitats critiques, contrôle les espèces exotiques envahissantes et </w:t>
      </w:r>
      <w:r w:rsidR="006901E1">
        <w:rPr>
          <w:bCs/>
          <w:kern w:val="22"/>
          <w:sz w:val="22"/>
          <w:szCs w:val="22"/>
          <w:lang w:val="fr-CA"/>
        </w:rPr>
        <w:t>protège</w:t>
      </w:r>
      <w:r w:rsidRPr="007F7417">
        <w:rPr>
          <w:bCs/>
          <w:kern w:val="22"/>
          <w:sz w:val="22"/>
          <w:szCs w:val="22"/>
          <w:lang w:val="fr-CA"/>
        </w:rPr>
        <w:t xml:space="preserve"> la connectivité qui permet la récupération des réseaux de d’eau douce provenant des montagnes et de la côte</w:t>
      </w:r>
      <w:r w:rsidR="007D6D34">
        <w:rPr>
          <w:bCs/>
          <w:kern w:val="22"/>
          <w:sz w:val="22"/>
          <w:szCs w:val="22"/>
          <w:lang w:val="fr-CA"/>
        </w:rPr>
        <w:t> </w:t>
      </w:r>
      <w:r w:rsidR="00AE4B03" w:rsidRPr="007F7417">
        <w:rPr>
          <w:bCs/>
          <w:kern w:val="22"/>
          <w:sz w:val="22"/>
          <w:szCs w:val="22"/>
          <w:lang w:val="fr-CA"/>
        </w:rPr>
        <w:t>;</w:t>
      </w:r>
    </w:p>
    <w:p w14:paraId="3A0C61A6" w14:textId="164B6C8A" w:rsidR="00AE4B03" w:rsidRPr="007F7417" w:rsidRDefault="00936B37" w:rsidP="0011729F">
      <w:pPr>
        <w:pStyle w:val="Para1"/>
        <w:numPr>
          <w:ilvl w:val="1"/>
          <w:numId w:val="13"/>
        </w:numPr>
        <w:suppressLineNumbers/>
        <w:suppressAutoHyphens/>
        <w:spacing w:before="120"/>
        <w:ind w:left="0" w:firstLine="709"/>
        <w:jc w:val="both"/>
        <w:rPr>
          <w:bCs/>
          <w:kern w:val="22"/>
          <w:sz w:val="22"/>
          <w:szCs w:val="22"/>
          <w:lang w:val="fr-CA"/>
        </w:rPr>
      </w:pPr>
      <w:r w:rsidRPr="007F7417">
        <w:rPr>
          <w:bCs/>
          <w:kern w:val="22"/>
          <w:sz w:val="22"/>
          <w:szCs w:val="22"/>
          <w:lang w:val="fr-CA"/>
        </w:rPr>
        <w:lastRenderedPageBreak/>
        <w:t xml:space="preserve">La transition à une </w:t>
      </w:r>
      <w:r w:rsidRPr="007F7417">
        <w:rPr>
          <w:bCs/>
          <w:i/>
          <w:kern w:val="22"/>
          <w:sz w:val="22"/>
          <w:szCs w:val="22"/>
          <w:lang w:val="fr-CA"/>
        </w:rPr>
        <w:t>action climatique</w:t>
      </w:r>
      <w:r w:rsidRPr="007F7417">
        <w:rPr>
          <w:bCs/>
          <w:kern w:val="22"/>
          <w:sz w:val="22"/>
          <w:szCs w:val="22"/>
          <w:lang w:val="fr-CA"/>
        </w:rPr>
        <w:t xml:space="preserve"> durable : employer des solutions fondées sur la nature parallèlement à la réduction progressive des combustibles fossiles, réduire l’envergure et les impacts des changements climatiques tout en offrant des avantages positifs pour la biodiversité et les autres objectifs de développement durable</w:t>
      </w:r>
      <w:r w:rsidR="007D6D34">
        <w:rPr>
          <w:bCs/>
          <w:kern w:val="22"/>
          <w:sz w:val="22"/>
          <w:szCs w:val="22"/>
          <w:lang w:val="fr-CA"/>
        </w:rPr>
        <w:t> </w:t>
      </w:r>
      <w:r w:rsidR="00AE4B03" w:rsidRPr="007F7417">
        <w:rPr>
          <w:bCs/>
          <w:kern w:val="22"/>
          <w:sz w:val="22"/>
          <w:szCs w:val="22"/>
          <w:lang w:val="fr-CA"/>
        </w:rPr>
        <w:t>;</w:t>
      </w:r>
    </w:p>
    <w:p w14:paraId="080AE910" w14:textId="25FDA30A" w:rsidR="00AE4B03" w:rsidRPr="007F7417" w:rsidRDefault="00936B37" w:rsidP="0011729F">
      <w:pPr>
        <w:pStyle w:val="Para1"/>
        <w:numPr>
          <w:ilvl w:val="1"/>
          <w:numId w:val="13"/>
        </w:numPr>
        <w:suppressLineNumbers/>
        <w:suppressAutoHyphens/>
        <w:spacing w:before="120"/>
        <w:ind w:left="0" w:firstLine="709"/>
        <w:jc w:val="both"/>
        <w:rPr>
          <w:bCs/>
          <w:kern w:val="22"/>
          <w:sz w:val="22"/>
          <w:szCs w:val="22"/>
          <w:lang w:val="fr-CA"/>
        </w:rPr>
      </w:pPr>
      <w:r w:rsidRPr="007F7417">
        <w:rPr>
          <w:bCs/>
          <w:kern w:val="22"/>
          <w:sz w:val="22"/>
          <w:szCs w:val="22"/>
          <w:lang w:val="fr-CA"/>
        </w:rPr>
        <w:t xml:space="preserve">La transition à </w:t>
      </w:r>
      <w:r w:rsidR="00D81855" w:rsidRPr="007F7417">
        <w:rPr>
          <w:bCs/>
          <w:i/>
          <w:kern w:val="22"/>
          <w:sz w:val="22"/>
          <w:szCs w:val="22"/>
          <w:lang w:val="fr-CA"/>
        </w:rPr>
        <w:t>Un monde, une santé</w:t>
      </w:r>
      <w:r w:rsidR="00D81855" w:rsidRPr="007F7417">
        <w:rPr>
          <w:bCs/>
          <w:kern w:val="22"/>
          <w:sz w:val="22"/>
          <w:szCs w:val="22"/>
          <w:lang w:val="fr-CA"/>
        </w:rPr>
        <w:t xml:space="preserve"> qui comprend la biodiversité : gérer les écosystèmes, agricoles </w:t>
      </w:r>
      <w:r w:rsidR="00545C7A">
        <w:rPr>
          <w:bCs/>
          <w:kern w:val="22"/>
          <w:sz w:val="22"/>
          <w:szCs w:val="22"/>
          <w:lang w:val="fr-CA"/>
        </w:rPr>
        <w:t>et urbains</w:t>
      </w:r>
      <w:r w:rsidR="00D81855" w:rsidRPr="007F7417">
        <w:rPr>
          <w:bCs/>
          <w:kern w:val="22"/>
          <w:sz w:val="22"/>
          <w:szCs w:val="22"/>
          <w:lang w:val="fr-CA"/>
        </w:rPr>
        <w:t>, ainsi que l’utilisation de la vie sauvage, grâce à une approche intégrée, afin de favoriser les écosystèmes sains et les populations saines</w:t>
      </w:r>
      <w:r w:rsidR="004D609F" w:rsidRPr="007F7417">
        <w:rPr>
          <w:bCs/>
          <w:kern w:val="22"/>
          <w:sz w:val="22"/>
          <w:szCs w:val="22"/>
          <w:lang w:val="fr-CA"/>
        </w:rPr>
        <w:t>.</w:t>
      </w:r>
    </w:p>
    <w:p w14:paraId="79024582" w14:textId="6B2599CD" w:rsidR="005F02CC" w:rsidRPr="007F7417" w:rsidRDefault="00774F83" w:rsidP="00516B43">
      <w:pPr>
        <w:pStyle w:val="Para1"/>
        <w:numPr>
          <w:ilvl w:val="0"/>
          <w:numId w:val="13"/>
        </w:numPr>
        <w:suppressLineNumbers/>
        <w:tabs>
          <w:tab w:val="num" w:pos="720"/>
        </w:tabs>
        <w:suppressAutoHyphens/>
        <w:spacing w:before="120"/>
        <w:ind w:left="0" w:firstLine="0"/>
        <w:jc w:val="both"/>
        <w:rPr>
          <w:bCs/>
          <w:kern w:val="22"/>
          <w:sz w:val="22"/>
          <w:szCs w:val="22"/>
          <w:lang w:val="fr-CA"/>
        </w:rPr>
      </w:pPr>
      <w:r w:rsidRPr="007F7417">
        <w:rPr>
          <w:bCs/>
          <w:kern w:val="22"/>
          <w:sz w:val="22"/>
          <w:szCs w:val="22"/>
          <w:lang w:val="fr-CA"/>
        </w:rPr>
        <w:t xml:space="preserve">Il est également </w:t>
      </w:r>
      <w:r w:rsidR="00545C7A">
        <w:rPr>
          <w:bCs/>
          <w:kern w:val="22"/>
          <w:sz w:val="22"/>
          <w:szCs w:val="22"/>
          <w:lang w:val="fr-CA"/>
        </w:rPr>
        <w:t xml:space="preserve">pertinent </w:t>
      </w:r>
      <w:r w:rsidRPr="007F7417">
        <w:rPr>
          <w:bCs/>
          <w:kern w:val="22"/>
          <w:sz w:val="22"/>
          <w:szCs w:val="22"/>
          <w:lang w:val="fr-CA"/>
        </w:rPr>
        <w:t>de garder à l’</w:t>
      </w:r>
      <w:r w:rsidR="007018B2" w:rsidRPr="007F7417">
        <w:rPr>
          <w:bCs/>
          <w:kern w:val="22"/>
          <w:sz w:val="22"/>
          <w:szCs w:val="22"/>
          <w:lang w:val="fr-CA"/>
        </w:rPr>
        <w:t>esprit la possibilité de ten</w:t>
      </w:r>
      <w:r w:rsidRPr="007F7417">
        <w:rPr>
          <w:bCs/>
          <w:kern w:val="22"/>
          <w:sz w:val="22"/>
          <w:szCs w:val="22"/>
          <w:lang w:val="fr-CA"/>
        </w:rPr>
        <w:t>ir compte de la mise en œuvre logique, séquentielle et holistique du cadre mondial de la biodiversité pour l</w:t>
      </w:r>
      <w:r w:rsidR="007D6D34">
        <w:rPr>
          <w:bCs/>
          <w:kern w:val="22"/>
          <w:sz w:val="22"/>
          <w:szCs w:val="22"/>
          <w:lang w:val="fr-CA"/>
        </w:rPr>
        <w:t>’</w:t>
      </w:r>
      <w:r w:rsidRPr="007F7417">
        <w:rPr>
          <w:bCs/>
          <w:kern w:val="22"/>
          <w:sz w:val="22"/>
          <w:szCs w:val="22"/>
          <w:lang w:val="fr-CA"/>
        </w:rPr>
        <w:t xml:space="preserve">après-2020 au cours des trois </w:t>
      </w:r>
      <w:r w:rsidR="007018B2" w:rsidRPr="007F7417">
        <w:rPr>
          <w:bCs/>
          <w:kern w:val="22"/>
          <w:sz w:val="22"/>
          <w:szCs w:val="22"/>
          <w:lang w:val="fr-CA"/>
        </w:rPr>
        <w:t>périodes</w:t>
      </w:r>
      <w:r w:rsidRPr="007F7417">
        <w:rPr>
          <w:bCs/>
          <w:kern w:val="22"/>
          <w:sz w:val="22"/>
          <w:szCs w:val="22"/>
          <w:lang w:val="fr-CA"/>
        </w:rPr>
        <w:t xml:space="preserve"> de reconstitution, </w:t>
      </w:r>
      <w:r w:rsidR="00545C7A">
        <w:rPr>
          <w:bCs/>
          <w:kern w:val="22"/>
          <w:sz w:val="22"/>
          <w:szCs w:val="22"/>
          <w:lang w:val="fr-CA"/>
        </w:rPr>
        <w:t>c’est-à-dire</w:t>
      </w:r>
      <w:r w:rsidRPr="007F7417">
        <w:rPr>
          <w:bCs/>
          <w:kern w:val="22"/>
          <w:sz w:val="22"/>
          <w:szCs w:val="22"/>
          <w:lang w:val="fr-CA"/>
        </w:rPr>
        <w:t xml:space="preserve"> la fin de la septi</w:t>
      </w:r>
      <w:r w:rsidR="007018B2" w:rsidRPr="007F7417">
        <w:rPr>
          <w:bCs/>
          <w:kern w:val="22"/>
          <w:sz w:val="22"/>
          <w:szCs w:val="22"/>
          <w:lang w:val="fr-CA"/>
        </w:rPr>
        <w:t>ème pério</w:t>
      </w:r>
      <w:r w:rsidRPr="007F7417">
        <w:rPr>
          <w:bCs/>
          <w:kern w:val="22"/>
          <w:sz w:val="22"/>
          <w:szCs w:val="22"/>
          <w:lang w:val="fr-CA"/>
        </w:rPr>
        <w:t>de de reconsti</w:t>
      </w:r>
      <w:r w:rsidR="00545C7A">
        <w:rPr>
          <w:bCs/>
          <w:kern w:val="22"/>
          <w:sz w:val="22"/>
          <w:szCs w:val="22"/>
          <w:lang w:val="fr-CA"/>
        </w:rPr>
        <w:t>tution (juillet 2018 à juin 2022</w:t>
      </w:r>
      <w:r w:rsidRPr="007F7417">
        <w:rPr>
          <w:bCs/>
          <w:kern w:val="22"/>
          <w:sz w:val="22"/>
          <w:szCs w:val="22"/>
          <w:lang w:val="fr-CA"/>
        </w:rPr>
        <w:t>), la huitième période de reconstitution (juillet 2022 à juin 2026) et la neuvième période de reconstitution (juillet 2026 à juin 2030). À cet ég</w:t>
      </w:r>
      <w:r w:rsidR="007018B2" w:rsidRPr="007F7417">
        <w:rPr>
          <w:bCs/>
          <w:kern w:val="22"/>
          <w:sz w:val="22"/>
          <w:szCs w:val="22"/>
          <w:lang w:val="fr-CA"/>
        </w:rPr>
        <w:t>a</w:t>
      </w:r>
      <w:r w:rsidRPr="007F7417">
        <w:rPr>
          <w:bCs/>
          <w:kern w:val="22"/>
          <w:sz w:val="22"/>
          <w:szCs w:val="22"/>
          <w:lang w:val="fr-CA"/>
        </w:rPr>
        <w:t>rd, les priorités éventuelles de la neuvième période de reconstitution pourr</w:t>
      </w:r>
      <w:r w:rsidR="007018B2" w:rsidRPr="007F7417">
        <w:rPr>
          <w:bCs/>
          <w:kern w:val="22"/>
          <w:sz w:val="22"/>
          <w:szCs w:val="22"/>
          <w:lang w:val="fr-CA"/>
        </w:rPr>
        <w:t>a</w:t>
      </w:r>
      <w:r w:rsidRPr="007F7417">
        <w:rPr>
          <w:bCs/>
          <w:kern w:val="22"/>
          <w:sz w:val="22"/>
          <w:szCs w:val="22"/>
          <w:lang w:val="fr-CA"/>
        </w:rPr>
        <w:t>ient entrer en ligne de compte</w:t>
      </w:r>
      <w:r w:rsidR="007018B2" w:rsidRPr="007F7417">
        <w:rPr>
          <w:bCs/>
          <w:kern w:val="22"/>
          <w:sz w:val="22"/>
          <w:szCs w:val="22"/>
          <w:lang w:val="fr-CA"/>
        </w:rPr>
        <w:t xml:space="preserve"> lors de la préparation du cadre quadriennal pragmatique des priorités du programme pour la huitième période de reconstitution, par exemple l’intention d’assurer la continuité, et une orientation supplémentaire pourrait être fournie concernant le soutien nécessaire à la mise en œuvre hâtive du cadre mondial de la biodiversité pour l</w:t>
      </w:r>
      <w:r w:rsidR="007D6D34">
        <w:rPr>
          <w:bCs/>
          <w:kern w:val="22"/>
          <w:sz w:val="22"/>
          <w:szCs w:val="22"/>
          <w:lang w:val="fr-CA"/>
        </w:rPr>
        <w:t>’</w:t>
      </w:r>
      <w:r w:rsidR="007018B2" w:rsidRPr="007F7417">
        <w:rPr>
          <w:bCs/>
          <w:kern w:val="22"/>
          <w:sz w:val="22"/>
          <w:szCs w:val="22"/>
          <w:lang w:val="fr-CA"/>
        </w:rPr>
        <w:t>après-2020 qui pourrait être fournie dans les derniers mois de la septième période de reconstitu</w:t>
      </w:r>
      <w:r w:rsidR="00915112" w:rsidRPr="007F7417">
        <w:rPr>
          <w:bCs/>
          <w:kern w:val="22"/>
          <w:sz w:val="22"/>
          <w:szCs w:val="22"/>
          <w:lang w:val="fr-CA"/>
        </w:rPr>
        <w:t>tion (voir la partie VI, ci-des</w:t>
      </w:r>
      <w:r w:rsidR="007018B2" w:rsidRPr="007F7417">
        <w:rPr>
          <w:bCs/>
          <w:kern w:val="22"/>
          <w:sz w:val="22"/>
          <w:szCs w:val="22"/>
          <w:lang w:val="fr-CA"/>
        </w:rPr>
        <w:t>sous</w:t>
      </w:r>
      <w:r w:rsidR="005705B8" w:rsidRPr="007F7417">
        <w:rPr>
          <w:bCs/>
          <w:kern w:val="22"/>
          <w:sz w:val="22"/>
          <w:szCs w:val="22"/>
          <w:lang w:val="fr-CA"/>
        </w:rPr>
        <w:t>).</w:t>
      </w:r>
    </w:p>
    <w:p w14:paraId="0313B0BC" w14:textId="3241626F" w:rsidR="008971C3" w:rsidRPr="000E5529" w:rsidRDefault="00915112" w:rsidP="000E5529">
      <w:pPr>
        <w:pStyle w:val="Para1"/>
        <w:numPr>
          <w:ilvl w:val="0"/>
          <w:numId w:val="13"/>
        </w:numPr>
        <w:suppressLineNumbers/>
        <w:tabs>
          <w:tab w:val="num" w:pos="720"/>
        </w:tabs>
        <w:suppressAutoHyphens/>
        <w:spacing w:before="120"/>
        <w:ind w:left="0" w:firstLine="0"/>
        <w:jc w:val="both"/>
        <w:rPr>
          <w:bCs/>
          <w:kern w:val="22"/>
          <w:sz w:val="22"/>
          <w:szCs w:val="22"/>
          <w:lang w:val="fr-CA"/>
        </w:rPr>
      </w:pPr>
      <w:r w:rsidRPr="007F7417">
        <w:rPr>
          <w:bCs/>
          <w:kern w:val="22"/>
          <w:sz w:val="22"/>
          <w:szCs w:val="22"/>
          <w:lang w:val="fr-CA"/>
        </w:rPr>
        <w:t xml:space="preserve">L’approche consistant </w:t>
      </w:r>
      <w:r w:rsidR="00FF155C" w:rsidRPr="007F7417">
        <w:rPr>
          <w:bCs/>
          <w:kern w:val="22"/>
          <w:sz w:val="22"/>
          <w:szCs w:val="22"/>
          <w:lang w:val="fr-CA"/>
        </w:rPr>
        <w:t>à dével</w:t>
      </w:r>
      <w:r w:rsidRPr="007F7417">
        <w:rPr>
          <w:bCs/>
          <w:kern w:val="22"/>
          <w:sz w:val="22"/>
          <w:szCs w:val="22"/>
          <w:lang w:val="fr-CA"/>
        </w:rPr>
        <w:t>opper le cadre des priorités du programme adopté pour la sep</w:t>
      </w:r>
      <w:r w:rsidR="000E5529">
        <w:rPr>
          <w:bCs/>
          <w:kern w:val="22"/>
          <w:sz w:val="22"/>
          <w:szCs w:val="22"/>
          <w:lang w:val="fr-CA"/>
        </w:rPr>
        <w:t>tième période de reconstitution présenté</w:t>
      </w:r>
      <w:r w:rsidRPr="007F7417">
        <w:rPr>
          <w:bCs/>
          <w:kern w:val="22"/>
          <w:sz w:val="22"/>
          <w:szCs w:val="22"/>
          <w:lang w:val="fr-CA"/>
        </w:rPr>
        <w:t xml:space="preserve"> à l’annexe I de la décision XIII/21</w:t>
      </w:r>
      <w:r w:rsidR="00ED135B" w:rsidRPr="007F7417">
        <w:rPr>
          <w:bCs/>
          <w:kern w:val="22"/>
          <w:sz w:val="22"/>
          <w:szCs w:val="22"/>
          <w:lang w:val="fr-CA"/>
        </w:rPr>
        <w:t>, révisé</w:t>
      </w:r>
      <w:r w:rsidR="00FF155C" w:rsidRPr="007F7417">
        <w:rPr>
          <w:bCs/>
          <w:kern w:val="22"/>
          <w:sz w:val="22"/>
          <w:szCs w:val="22"/>
          <w:lang w:val="fr-CA"/>
        </w:rPr>
        <w:t xml:space="preserve"> comme il convient et dont le contenu </w:t>
      </w:r>
      <w:r w:rsidR="00ED135B" w:rsidRPr="007F7417">
        <w:rPr>
          <w:bCs/>
          <w:kern w:val="22"/>
          <w:sz w:val="22"/>
          <w:szCs w:val="22"/>
          <w:lang w:val="fr-CA"/>
        </w:rPr>
        <w:t xml:space="preserve">serait </w:t>
      </w:r>
      <w:r w:rsidR="00FF155C" w:rsidRPr="007F7417">
        <w:rPr>
          <w:bCs/>
          <w:kern w:val="22"/>
          <w:sz w:val="22"/>
          <w:szCs w:val="22"/>
          <w:lang w:val="fr-CA"/>
        </w:rPr>
        <w:t xml:space="preserve">augmenté et modifié grâce à de la matière en lien </w:t>
      </w:r>
      <w:r w:rsidR="000E5529">
        <w:rPr>
          <w:bCs/>
          <w:kern w:val="22"/>
          <w:sz w:val="22"/>
          <w:szCs w:val="22"/>
          <w:lang w:val="fr-CA"/>
        </w:rPr>
        <w:t>avec le</w:t>
      </w:r>
      <w:r w:rsidR="00FF155C" w:rsidRPr="000E5529">
        <w:rPr>
          <w:bCs/>
          <w:kern w:val="22"/>
          <w:sz w:val="22"/>
          <w:szCs w:val="22"/>
          <w:lang w:val="fr-CA"/>
        </w:rPr>
        <w:t xml:space="preserve"> cadre mondial de la biodiversité pour l</w:t>
      </w:r>
      <w:r w:rsidR="007D6D34">
        <w:rPr>
          <w:bCs/>
          <w:kern w:val="22"/>
          <w:sz w:val="22"/>
          <w:szCs w:val="22"/>
          <w:lang w:val="fr-CA"/>
        </w:rPr>
        <w:t>’</w:t>
      </w:r>
      <w:r w:rsidR="00FF155C" w:rsidRPr="000E5529">
        <w:rPr>
          <w:bCs/>
          <w:kern w:val="22"/>
          <w:sz w:val="22"/>
          <w:szCs w:val="22"/>
          <w:lang w:val="fr-CA"/>
        </w:rPr>
        <w:t>après-2020, son cadre de suivi et autres sources mentionnées ci-dessus,</w:t>
      </w:r>
      <w:r w:rsidRPr="000E5529">
        <w:rPr>
          <w:bCs/>
          <w:kern w:val="22"/>
          <w:sz w:val="22"/>
          <w:szCs w:val="22"/>
          <w:lang w:val="fr-CA"/>
        </w:rPr>
        <w:t xml:space="preserve"> </w:t>
      </w:r>
      <w:r w:rsidR="000E5529">
        <w:rPr>
          <w:bCs/>
          <w:kern w:val="22"/>
          <w:sz w:val="22"/>
          <w:szCs w:val="22"/>
          <w:lang w:val="fr-CA"/>
        </w:rPr>
        <w:t xml:space="preserve">et issue de ceux-ci, </w:t>
      </w:r>
      <w:r w:rsidRPr="000E5529">
        <w:rPr>
          <w:bCs/>
          <w:kern w:val="22"/>
          <w:sz w:val="22"/>
          <w:szCs w:val="22"/>
          <w:lang w:val="fr-CA"/>
        </w:rPr>
        <w:t>pou</w:t>
      </w:r>
      <w:r w:rsidR="00FF155C" w:rsidRPr="000E5529">
        <w:rPr>
          <w:bCs/>
          <w:kern w:val="22"/>
          <w:sz w:val="22"/>
          <w:szCs w:val="22"/>
          <w:lang w:val="fr-CA"/>
        </w:rPr>
        <w:t>r</w:t>
      </w:r>
      <w:r w:rsidRPr="000E5529">
        <w:rPr>
          <w:bCs/>
          <w:kern w:val="22"/>
          <w:sz w:val="22"/>
          <w:szCs w:val="22"/>
          <w:lang w:val="fr-CA"/>
        </w:rPr>
        <w:t xml:space="preserve">rait être </w:t>
      </w:r>
      <w:r w:rsidR="000E5529">
        <w:rPr>
          <w:bCs/>
          <w:kern w:val="22"/>
          <w:sz w:val="22"/>
          <w:szCs w:val="22"/>
          <w:lang w:val="fr-CA"/>
        </w:rPr>
        <w:t>utilisée</w:t>
      </w:r>
      <w:r w:rsidRPr="000E5529">
        <w:rPr>
          <w:bCs/>
          <w:kern w:val="22"/>
          <w:sz w:val="22"/>
          <w:szCs w:val="22"/>
          <w:lang w:val="fr-CA"/>
        </w:rPr>
        <w:t xml:space="preserve"> dans la préparation du cadre quadriennal des priorités du programme axé sur les résultats pour la huitième période de reconstitution</w:t>
      </w:r>
      <w:r w:rsidR="00A27FC4" w:rsidRPr="000E5529">
        <w:rPr>
          <w:bCs/>
          <w:kern w:val="22"/>
          <w:sz w:val="22"/>
          <w:szCs w:val="22"/>
          <w:lang w:val="fr-CA"/>
        </w:rPr>
        <w:t>.</w:t>
      </w:r>
      <w:r w:rsidR="00FF155C" w:rsidRPr="000E5529">
        <w:rPr>
          <w:bCs/>
          <w:kern w:val="22"/>
          <w:sz w:val="22"/>
          <w:szCs w:val="22"/>
          <w:lang w:val="fr-CA"/>
        </w:rPr>
        <w:t xml:space="preserve"> Les résultats pourraient mis en correspondance avec les étapes et les cibles du cadre mondial de la biodiversité pour l</w:t>
      </w:r>
      <w:r w:rsidR="007D6D34">
        <w:rPr>
          <w:bCs/>
          <w:kern w:val="22"/>
          <w:sz w:val="22"/>
          <w:szCs w:val="22"/>
          <w:lang w:val="fr-CA"/>
        </w:rPr>
        <w:t>’</w:t>
      </w:r>
      <w:r w:rsidR="00FF155C" w:rsidRPr="000E5529">
        <w:rPr>
          <w:bCs/>
          <w:kern w:val="22"/>
          <w:sz w:val="22"/>
          <w:szCs w:val="22"/>
          <w:lang w:val="fr-CA"/>
        </w:rPr>
        <w:t>après-2020, son cadre de suivi et les indicateurs principaux qu’il peut contenir.</w:t>
      </w:r>
    </w:p>
    <w:p w14:paraId="568D7233" w14:textId="145604CA" w:rsidR="00EF77A2" w:rsidRPr="007F7417" w:rsidRDefault="00E373A1" w:rsidP="0011729F">
      <w:pPr>
        <w:pStyle w:val="Titre1"/>
        <w:suppressLineNumbers/>
        <w:tabs>
          <w:tab w:val="clear" w:pos="720"/>
        </w:tabs>
        <w:suppressAutoHyphens/>
        <w:spacing w:before="120" w:line="235" w:lineRule="auto"/>
        <w:ind w:left="1135" w:hanging="568"/>
        <w:jc w:val="left"/>
        <w:rPr>
          <w:bCs/>
          <w:kern w:val="22"/>
          <w:sz w:val="22"/>
          <w:szCs w:val="22"/>
          <w:lang w:val="fr-CA"/>
        </w:rPr>
      </w:pPr>
      <w:r w:rsidRPr="007F7417">
        <w:rPr>
          <w:iCs/>
          <w:snapToGrid w:val="0"/>
          <w:kern w:val="22"/>
          <w:sz w:val="22"/>
          <w:szCs w:val="22"/>
          <w:lang w:val="fr-CA"/>
        </w:rPr>
        <w:t>V.</w:t>
      </w:r>
      <w:r w:rsidRPr="007F7417">
        <w:rPr>
          <w:iCs/>
          <w:snapToGrid w:val="0"/>
          <w:kern w:val="22"/>
          <w:sz w:val="22"/>
          <w:szCs w:val="22"/>
          <w:lang w:val="fr-CA"/>
        </w:rPr>
        <w:tab/>
      </w:r>
      <w:r w:rsidR="00ED135B" w:rsidRPr="007F7417">
        <w:rPr>
          <w:iCs/>
          <w:snapToGrid w:val="0"/>
          <w:kern w:val="22"/>
          <w:sz w:val="22"/>
          <w:szCs w:val="22"/>
          <w:lang w:val="fr-CA"/>
        </w:rPr>
        <w:t>synergies des programmes des conventions relatives à la diversité biologique : éléments d’avis reçus en vertu de la décision xiii/21</w:t>
      </w:r>
    </w:p>
    <w:p w14:paraId="41D40E63" w14:textId="1D111397" w:rsidR="001F5977" w:rsidRPr="007F7417" w:rsidRDefault="00ED135B" w:rsidP="00516B43">
      <w:pPr>
        <w:pStyle w:val="Para1"/>
        <w:numPr>
          <w:ilvl w:val="0"/>
          <w:numId w:val="13"/>
        </w:numPr>
        <w:suppressLineNumbers/>
        <w:tabs>
          <w:tab w:val="num" w:pos="720"/>
        </w:tabs>
        <w:suppressAutoHyphens/>
        <w:spacing w:before="120"/>
        <w:ind w:left="0" w:firstLine="0"/>
        <w:jc w:val="both"/>
        <w:rPr>
          <w:bCs/>
          <w:kern w:val="22"/>
          <w:sz w:val="22"/>
          <w:szCs w:val="22"/>
          <w:lang w:val="fr-CA"/>
        </w:rPr>
      </w:pPr>
      <w:r w:rsidRPr="007F7417">
        <w:rPr>
          <w:bCs/>
          <w:kern w:val="22"/>
          <w:sz w:val="22"/>
          <w:szCs w:val="22"/>
          <w:lang w:val="fr-CA"/>
        </w:rPr>
        <w:t>Les éléments d’avis reçus des conventions relatives à la diversité biologique</w:t>
      </w:r>
      <w:r w:rsidR="00B32919" w:rsidRPr="007F7417">
        <w:rPr>
          <w:bCs/>
          <w:kern w:val="22"/>
          <w:sz w:val="22"/>
          <w:szCs w:val="22"/>
          <w:lang w:val="fr-CA"/>
        </w:rPr>
        <w:t xml:space="preserve"> afin de contribuer à l’élaboration de l’orientation stratégique pour la huitième période de reconstitution </w:t>
      </w:r>
      <w:r w:rsidR="00DE48E1" w:rsidRPr="007F7417">
        <w:rPr>
          <w:bCs/>
          <w:kern w:val="22"/>
          <w:sz w:val="22"/>
          <w:szCs w:val="22"/>
          <w:lang w:val="fr-CA"/>
        </w:rPr>
        <w:t xml:space="preserve">des ressources </w:t>
      </w:r>
      <w:r w:rsidR="00B32919" w:rsidRPr="007F7417">
        <w:rPr>
          <w:bCs/>
          <w:kern w:val="22"/>
          <w:sz w:val="22"/>
          <w:szCs w:val="22"/>
          <w:lang w:val="fr-CA"/>
        </w:rPr>
        <w:t xml:space="preserve">de la Caisse du </w:t>
      </w:r>
      <w:r w:rsidR="000E5529">
        <w:rPr>
          <w:bCs/>
          <w:kern w:val="22"/>
          <w:sz w:val="22"/>
          <w:szCs w:val="22"/>
          <w:lang w:val="fr-CA"/>
        </w:rPr>
        <w:t>FEM</w:t>
      </w:r>
      <w:r w:rsidR="00B32919" w:rsidRPr="007F7417">
        <w:rPr>
          <w:bCs/>
          <w:kern w:val="22"/>
          <w:sz w:val="22"/>
          <w:szCs w:val="22"/>
          <w:lang w:val="fr-CA"/>
        </w:rPr>
        <w:t xml:space="preserve"> sont présentés dans le document</w:t>
      </w:r>
      <w:r w:rsidR="00A2683D" w:rsidRPr="007F7417">
        <w:rPr>
          <w:bCs/>
          <w:kern w:val="22"/>
          <w:sz w:val="22"/>
          <w:szCs w:val="22"/>
          <w:lang w:val="fr-CA"/>
        </w:rPr>
        <w:t xml:space="preserve"> CBD/SBI/3/6/Add.3</w:t>
      </w:r>
      <w:r w:rsidR="00163E99" w:rsidRPr="007F7417">
        <w:rPr>
          <w:bCs/>
          <w:kern w:val="22"/>
          <w:sz w:val="22"/>
          <w:szCs w:val="22"/>
          <w:lang w:val="fr-CA"/>
        </w:rPr>
        <w:t>.</w:t>
      </w:r>
    </w:p>
    <w:p w14:paraId="646F985C" w14:textId="2CD5C6F5" w:rsidR="00A2683D" w:rsidRPr="007F7417" w:rsidRDefault="00B32919" w:rsidP="00516B43">
      <w:pPr>
        <w:pStyle w:val="Para1"/>
        <w:numPr>
          <w:ilvl w:val="0"/>
          <w:numId w:val="13"/>
        </w:numPr>
        <w:suppressLineNumbers/>
        <w:tabs>
          <w:tab w:val="num" w:pos="720"/>
        </w:tabs>
        <w:suppressAutoHyphens/>
        <w:spacing w:before="120"/>
        <w:ind w:left="0" w:firstLine="0"/>
        <w:jc w:val="both"/>
        <w:rPr>
          <w:bCs/>
          <w:kern w:val="22"/>
          <w:sz w:val="22"/>
          <w:szCs w:val="22"/>
          <w:lang w:val="fr-CA"/>
        </w:rPr>
      </w:pPr>
      <w:r w:rsidRPr="007F7417">
        <w:rPr>
          <w:bCs/>
          <w:kern w:val="22"/>
          <w:sz w:val="22"/>
          <w:szCs w:val="22"/>
          <w:lang w:val="fr-CA"/>
        </w:rPr>
        <w:t xml:space="preserve">Outre les priorités liées aux objectifs de la Convention et de ses Protocoles concernant directement la Convention sur les espèces migratrices, la Convention sur les zones humides et le Traité international sur les ressources phytogénétiques pour l’alimentation et l’agriculture, les domaines suivants </w:t>
      </w:r>
      <w:r w:rsidR="004A46FB">
        <w:rPr>
          <w:bCs/>
          <w:kern w:val="22"/>
          <w:sz w:val="22"/>
          <w:szCs w:val="22"/>
          <w:lang w:val="fr-CA"/>
        </w:rPr>
        <w:t>faisaient l’objet du même niveau de</w:t>
      </w:r>
      <w:r w:rsidRPr="007F7417">
        <w:rPr>
          <w:bCs/>
          <w:kern w:val="22"/>
          <w:sz w:val="22"/>
          <w:szCs w:val="22"/>
          <w:lang w:val="fr-CA"/>
        </w:rPr>
        <w:t xml:space="preserve"> priorité</w:t>
      </w:r>
      <w:r w:rsidR="007D6D34">
        <w:rPr>
          <w:bCs/>
          <w:kern w:val="22"/>
          <w:sz w:val="22"/>
          <w:szCs w:val="22"/>
          <w:lang w:val="fr-CA"/>
        </w:rPr>
        <w:t> </w:t>
      </w:r>
      <w:r w:rsidR="00A2683D" w:rsidRPr="007F7417">
        <w:rPr>
          <w:bCs/>
          <w:kern w:val="22"/>
          <w:sz w:val="22"/>
          <w:szCs w:val="22"/>
          <w:lang w:val="fr-CA"/>
        </w:rPr>
        <w:t>:</w:t>
      </w:r>
    </w:p>
    <w:p w14:paraId="38B6C34F" w14:textId="2DE75071" w:rsidR="00A2683D" w:rsidRPr="007F7417" w:rsidRDefault="00B14D46" w:rsidP="0011729F">
      <w:pPr>
        <w:pStyle w:val="Para1"/>
        <w:numPr>
          <w:ilvl w:val="1"/>
          <w:numId w:val="13"/>
        </w:numPr>
        <w:suppressLineNumbers/>
        <w:suppressAutoHyphens/>
        <w:spacing w:before="120"/>
        <w:ind w:left="0" w:firstLine="709"/>
        <w:jc w:val="both"/>
        <w:rPr>
          <w:bCs/>
          <w:kern w:val="22"/>
          <w:sz w:val="22"/>
          <w:szCs w:val="22"/>
          <w:lang w:val="fr-CA"/>
        </w:rPr>
      </w:pPr>
      <w:r w:rsidRPr="007F7417">
        <w:rPr>
          <w:bCs/>
          <w:i/>
          <w:kern w:val="22"/>
          <w:sz w:val="22"/>
          <w:szCs w:val="22"/>
          <w:lang w:val="fr-CA"/>
        </w:rPr>
        <w:t xml:space="preserve">SPANB : </w:t>
      </w:r>
      <w:r w:rsidRPr="007F7417">
        <w:rPr>
          <w:bCs/>
          <w:kern w:val="22"/>
          <w:sz w:val="22"/>
          <w:szCs w:val="22"/>
          <w:lang w:val="fr-CA"/>
        </w:rPr>
        <w:t>le besoin prioritaire de soutien afin de garantir l’intégration des objectifs et priorités apparentés des conventions sur la diversité biologique (</w:t>
      </w:r>
      <w:r w:rsidRPr="007F7417">
        <w:rPr>
          <w:rFonts w:eastAsia="Calibri"/>
          <w:bCs/>
          <w:iCs/>
          <w:sz w:val="22"/>
          <w:szCs w:val="22"/>
          <w:lang w:val="fr-CA"/>
        </w:rPr>
        <w:t>ressources phytogénétiques pour l’alimentation et l’agriculture, zones humides, engagements relatifs aux espèces migratrices) dans la révision ou l’actualisation des stratégies et plans d’action nationaux pour la biodiversité et autres plans nationaux de développement, budget</w:t>
      </w:r>
      <w:r w:rsidR="007D6D34">
        <w:rPr>
          <w:rFonts w:eastAsia="Calibri"/>
          <w:bCs/>
          <w:iCs/>
          <w:sz w:val="22"/>
          <w:szCs w:val="22"/>
          <w:lang w:val="fr-CA"/>
        </w:rPr>
        <w:t>s</w:t>
      </w:r>
      <w:r w:rsidRPr="007F7417">
        <w:rPr>
          <w:rFonts w:eastAsia="Calibri"/>
          <w:bCs/>
          <w:iCs/>
          <w:sz w:val="22"/>
          <w:szCs w:val="22"/>
          <w:lang w:val="fr-CA"/>
        </w:rPr>
        <w:t xml:space="preserve"> nationaux et priorités</w:t>
      </w:r>
      <w:r w:rsidR="007D6D34">
        <w:rPr>
          <w:rFonts w:eastAsia="Calibri"/>
          <w:bCs/>
          <w:iCs/>
          <w:sz w:val="22"/>
          <w:szCs w:val="22"/>
          <w:lang w:val="fr-CA"/>
        </w:rPr>
        <w:t> </w:t>
      </w:r>
      <w:r w:rsidR="00A2683D" w:rsidRPr="007F7417">
        <w:rPr>
          <w:bCs/>
          <w:kern w:val="22"/>
          <w:sz w:val="22"/>
          <w:szCs w:val="22"/>
          <w:lang w:val="fr-CA"/>
        </w:rPr>
        <w:t>;</w:t>
      </w:r>
    </w:p>
    <w:p w14:paraId="566F8165" w14:textId="18755791" w:rsidR="00A2683D" w:rsidRPr="007F7417" w:rsidRDefault="00B14D46" w:rsidP="0011729F">
      <w:pPr>
        <w:pStyle w:val="Para1"/>
        <w:numPr>
          <w:ilvl w:val="1"/>
          <w:numId w:val="13"/>
        </w:numPr>
        <w:suppressLineNumbers/>
        <w:suppressAutoHyphens/>
        <w:spacing w:before="120"/>
        <w:ind w:left="0" w:firstLine="709"/>
        <w:jc w:val="both"/>
        <w:rPr>
          <w:bCs/>
          <w:kern w:val="22"/>
          <w:sz w:val="22"/>
          <w:szCs w:val="22"/>
          <w:lang w:val="fr-CA"/>
        </w:rPr>
      </w:pPr>
      <w:r w:rsidRPr="007F7417">
        <w:rPr>
          <w:bCs/>
          <w:i/>
          <w:kern w:val="22"/>
          <w:sz w:val="22"/>
          <w:szCs w:val="22"/>
          <w:lang w:val="fr-CA"/>
        </w:rPr>
        <w:t xml:space="preserve">Approches de soutien mutuel : </w:t>
      </w:r>
      <w:r w:rsidR="004A46FB">
        <w:rPr>
          <w:bCs/>
          <w:kern w:val="22"/>
          <w:sz w:val="22"/>
          <w:szCs w:val="22"/>
          <w:lang w:val="fr-CA"/>
        </w:rPr>
        <w:t>un besoin</w:t>
      </w:r>
      <w:r w:rsidR="00CE6CB8" w:rsidRPr="007F7417">
        <w:rPr>
          <w:bCs/>
          <w:kern w:val="22"/>
          <w:sz w:val="22"/>
          <w:szCs w:val="22"/>
          <w:lang w:val="fr-CA"/>
        </w:rPr>
        <w:t xml:space="preserve"> prioritaire </w:t>
      </w:r>
      <w:r w:rsidR="004A46FB">
        <w:rPr>
          <w:bCs/>
          <w:kern w:val="22"/>
          <w:sz w:val="22"/>
          <w:szCs w:val="22"/>
          <w:lang w:val="fr-CA"/>
        </w:rPr>
        <w:t>d’offrir</w:t>
      </w:r>
      <w:r w:rsidR="00CE6CB8" w:rsidRPr="007F7417">
        <w:rPr>
          <w:bCs/>
          <w:kern w:val="22"/>
          <w:sz w:val="22"/>
          <w:szCs w:val="22"/>
          <w:lang w:val="fr-CA"/>
        </w:rPr>
        <w:t xml:space="preserve"> </w:t>
      </w:r>
      <w:r w:rsidR="00CE6CB8" w:rsidRPr="007F7417">
        <w:rPr>
          <w:rFonts w:eastAsia="Calibri"/>
          <w:bCs/>
          <w:iCs/>
          <w:sz w:val="22"/>
          <w:szCs w:val="22"/>
          <w:lang w:val="fr-CA"/>
        </w:rPr>
        <w:t>des projets et des investissements qui soutiennent mutuellement les objectifs de plusieurs conventions</w:t>
      </w:r>
      <w:r w:rsidR="007D6D34">
        <w:rPr>
          <w:rFonts w:eastAsia="Calibri"/>
          <w:bCs/>
          <w:iCs/>
          <w:sz w:val="22"/>
          <w:szCs w:val="22"/>
          <w:lang w:val="fr-CA"/>
        </w:rPr>
        <w:t> </w:t>
      </w:r>
      <w:r w:rsidR="00F56932" w:rsidRPr="007F7417">
        <w:rPr>
          <w:bCs/>
          <w:kern w:val="22"/>
          <w:sz w:val="22"/>
          <w:szCs w:val="22"/>
          <w:lang w:val="fr-CA"/>
        </w:rPr>
        <w:t>;</w:t>
      </w:r>
    </w:p>
    <w:p w14:paraId="0EC3D56A" w14:textId="567983FB" w:rsidR="00A2683D" w:rsidRPr="007F7417" w:rsidRDefault="00CE6CB8" w:rsidP="0011729F">
      <w:pPr>
        <w:pStyle w:val="Para1"/>
        <w:numPr>
          <w:ilvl w:val="1"/>
          <w:numId w:val="13"/>
        </w:numPr>
        <w:suppressLineNumbers/>
        <w:suppressAutoHyphens/>
        <w:spacing w:before="120"/>
        <w:ind w:left="0" w:firstLine="709"/>
        <w:jc w:val="both"/>
        <w:rPr>
          <w:bCs/>
          <w:kern w:val="22"/>
          <w:sz w:val="22"/>
          <w:szCs w:val="22"/>
          <w:lang w:val="fr-CA"/>
        </w:rPr>
      </w:pPr>
      <w:r w:rsidRPr="007F7417">
        <w:rPr>
          <w:bCs/>
          <w:i/>
          <w:kern w:val="22"/>
          <w:sz w:val="22"/>
          <w:szCs w:val="22"/>
          <w:lang w:val="fr-CA"/>
        </w:rPr>
        <w:t xml:space="preserve">Intégration : </w:t>
      </w:r>
      <w:r w:rsidRPr="007F7417">
        <w:rPr>
          <w:bCs/>
          <w:kern w:val="22"/>
          <w:sz w:val="22"/>
          <w:szCs w:val="22"/>
          <w:lang w:val="fr-CA"/>
        </w:rPr>
        <w:t xml:space="preserve">besoin prioritaire de soutien </w:t>
      </w:r>
      <w:r w:rsidRPr="007F7417">
        <w:rPr>
          <w:rFonts w:eastAsia="Calibri"/>
          <w:bCs/>
          <w:iCs/>
          <w:sz w:val="22"/>
          <w:szCs w:val="22"/>
          <w:lang w:val="fr-CA"/>
        </w:rPr>
        <w:t>à l’intégration de la diversité biologique : dans le secteur agricole en ce qui concerne le Traité</w:t>
      </w:r>
      <w:r w:rsidR="007D6D34">
        <w:rPr>
          <w:rFonts w:eastAsia="Calibri"/>
          <w:bCs/>
          <w:iCs/>
          <w:sz w:val="22"/>
          <w:szCs w:val="22"/>
          <w:lang w:val="fr-CA"/>
        </w:rPr>
        <w:t> </w:t>
      </w:r>
      <w:r w:rsidRPr="007F7417">
        <w:rPr>
          <w:rFonts w:eastAsia="Calibri"/>
          <w:bCs/>
          <w:iCs/>
          <w:sz w:val="22"/>
          <w:szCs w:val="22"/>
          <w:lang w:val="fr-CA"/>
        </w:rPr>
        <w:t xml:space="preserve">; l’intégration des zones humides et de leur biodiversité dans tous les secteurs, paysages et paysages marins en ce qui concerne la Convention sur les zones humides, et </w:t>
      </w:r>
      <w:r w:rsidRPr="007F7417">
        <w:rPr>
          <w:rFonts w:eastAsia="Calibri"/>
          <w:bCs/>
          <w:iCs/>
          <w:sz w:val="22"/>
          <w:szCs w:val="22"/>
          <w:lang w:val="fr-CA"/>
        </w:rPr>
        <w:lastRenderedPageBreak/>
        <w:t>dans les industries et les développements qui ont un impact sur les espèces migratrices et leurs habitats en ce qui concerne la Convention sur les espèces migratrices</w:t>
      </w:r>
      <w:r w:rsidR="007D6D34">
        <w:rPr>
          <w:rFonts w:eastAsia="Calibri"/>
          <w:bCs/>
          <w:iCs/>
          <w:sz w:val="22"/>
          <w:szCs w:val="22"/>
          <w:lang w:val="fr-CA"/>
        </w:rPr>
        <w:t> </w:t>
      </w:r>
      <w:r w:rsidR="00F56932" w:rsidRPr="007F7417">
        <w:rPr>
          <w:bCs/>
          <w:kern w:val="22"/>
          <w:sz w:val="22"/>
          <w:szCs w:val="22"/>
          <w:lang w:val="fr-CA"/>
        </w:rPr>
        <w:t>;</w:t>
      </w:r>
    </w:p>
    <w:p w14:paraId="09DEEF32" w14:textId="37ED1AA6" w:rsidR="00A2683D" w:rsidRPr="007F7417" w:rsidRDefault="00CE6CB8" w:rsidP="0011729F">
      <w:pPr>
        <w:pStyle w:val="Para1"/>
        <w:numPr>
          <w:ilvl w:val="1"/>
          <w:numId w:val="13"/>
        </w:numPr>
        <w:suppressLineNumbers/>
        <w:suppressAutoHyphens/>
        <w:spacing w:before="120"/>
        <w:ind w:left="0" w:firstLine="709"/>
        <w:jc w:val="both"/>
        <w:rPr>
          <w:bCs/>
          <w:kern w:val="22"/>
          <w:sz w:val="22"/>
          <w:szCs w:val="22"/>
          <w:lang w:val="fr-CA"/>
        </w:rPr>
      </w:pPr>
      <w:r w:rsidRPr="007F7417">
        <w:rPr>
          <w:bCs/>
          <w:i/>
          <w:kern w:val="22"/>
          <w:sz w:val="22"/>
          <w:szCs w:val="22"/>
          <w:lang w:val="fr-CA"/>
        </w:rPr>
        <w:t xml:space="preserve">Programmes transfrontières et régionaux : </w:t>
      </w:r>
      <w:r w:rsidRPr="007F7417">
        <w:rPr>
          <w:bCs/>
          <w:kern w:val="22"/>
          <w:sz w:val="22"/>
          <w:szCs w:val="22"/>
          <w:lang w:val="fr-CA"/>
        </w:rPr>
        <w:t xml:space="preserve">besoin prioritaire de soutien </w:t>
      </w:r>
      <w:r w:rsidRPr="007F7417">
        <w:rPr>
          <w:rFonts w:eastAsia="Calibri"/>
          <w:bCs/>
          <w:iCs/>
          <w:sz w:val="22"/>
          <w:szCs w:val="22"/>
          <w:lang w:val="fr-CA"/>
        </w:rPr>
        <w:t>aux projets et programmes transfrontières et régionaux, dont les programmes sur les eaux et voies migratoires transfrontières, qui revêtent une importance intrinsèque pour les Conventions sur les zones humides et les espèces migratrices, ainsi qu’aux objectifs de la Convention sur la diversité biologique et ses Protocoles</w:t>
      </w:r>
      <w:r w:rsidR="007355FE" w:rsidRPr="007F7417">
        <w:rPr>
          <w:bCs/>
          <w:kern w:val="22"/>
          <w:sz w:val="22"/>
          <w:szCs w:val="22"/>
          <w:lang w:val="fr-CA"/>
        </w:rPr>
        <w:t>.</w:t>
      </w:r>
    </w:p>
    <w:p w14:paraId="0B6301D8" w14:textId="54924D1F" w:rsidR="00EF77A2" w:rsidRPr="007F7417" w:rsidRDefault="00CE6CB8" w:rsidP="00516B43">
      <w:pPr>
        <w:pStyle w:val="Para1"/>
        <w:numPr>
          <w:ilvl w:val="0"/>
          <w:numId w:val="13"/>
        </w:numPr>
        <w:suppressLineNumbers/>
        <w:tabs>
          <w:tab w:val="num" w:pos="720"/>
        </w:tabs>
        <w:suppressAutoHyphens/>
        <w:spacing w:before="120"/>
        <w:ind w:left="0" w:firstLine="0"/>
        <w:jc w:val="both"/>
        <w:rPr>
          <w:bCs/>
          <w:kern w:val="22"/>
          <w:sz w:val="22"/>
          <w:szCs w:val="22"/>
          <w:lang w:val="fr-CA"/>
        </w:rPr>
      </w:pPr>
      <w:r w:rsidRPr="007F7417">
        <w:rPr>
          <w:kern w:val="22"/>
          <w:sz w:val="22"/>
          <w:szCs w:val="22"/>
          <w:lang w:val="fr-CA"/>
        </w:rPr>
        <w:t xml:space="preserve">Conformément à la décision XII/21, </w:t>
      </w:r>
      <w:r w:rsidR="0088508E" w:rsidRPr="007F7417">
        <w:rPr>
          <w:kern w:val="22"/>
          <w:sz w:val="22"/>
          <w:szCs w:val="22"/>
          <w:lang w:val="fr-CA"/>
        </w:rPr>
        <w:t>l’Organe subsidiaire pourrait souhaiter accorder une attention particulière aux avis donnés par les conventions relatives à la diversité biologique, tant pour le cadre quadriennal des priorités du programme pour la huitième période de reconstitution</w:t>
      </w:r>
      <w:r w:rsidR="00DE48E1" w:rsidRPr="007F7417">
        <w:rPr>
          <w:kern w:val="22"/>
          <w:sz w:val="22"/>
          <w:szCs w:val="22"/>
          <w:lang w:val="fr-CA"/>
        </w:rPr>
        <w:t xml:space="preserve"> des ressources</w:t>
      </w:r>
      <w:r w:rsidR="0088508E" w:rsidRPr="007F7417">
        <w:rPr>
          <w:kern w:val="22"/>
          <w:sz w:val="22"/>
          <w:szCs w:val="22"/>
          <w:lang w:val="fr-CA"/>
        </w:rPr>
        <w:t xml:space="preserve"> de la Caisse du </w:t>
      </w:r>
      <w:r w:rsidR="004A46FB">
        <w:rPr>
          <w:kern w:val="22"/>
          <w:sz w:val="22"/>
          <w:szCs w:val="22"/>
          <w:lang w:val="fr-CA"/>
        </w:rPr>
        <w:t>FEM</w:t>
      </w:r>
      <w:r w:rsidR="0088508E" w:rsidRPr="007F7417">
        <w:rPr>
          <w:kern w:val="22"/>
          <w:sz w:val="22"/>
          <w:szCs w:val="22"/>
          <w:lang w:val="fr-CA"/>
        </w:rPr>
        <w:t xml:space="preserve"> que pour toute orientation supplémentaire que la Confére</w:t>
      </w:r>
      <w:r w:rsidR="004A46FB">
        <w:rPr>
          <w:kern w:val="22"/>
          <w:sz w:val="22"/>
          <w:szCs w:val="22"/>
          <w:lang w:val="fr-CA"/>
        </w:rPr>
        <w:t>nce des Parties pourrait fournir</w:t>
      </w:r>
      <w:r w:rsidR="0088508E" w:rsidRPr="007F7417">
        <w:rPr>
          <w:kern w:val="22"/>
          <w:sz w:val="22"/>
          <w:szCs w:val="22"/>
          <w:lang w:val="fr-CA"/>
        </w:rPr>
        <w:t xml:space="preserve"> au FEM</w:t>
      </w:r>
      <w:r w:rsidR="00467655" w:rsidRPr="007F7417">
        <w:rPr>
          <w:kern w:val="22"/>
          <w:sz w:val="22"/>
          <w:szCs w:val="22"/>
          <w:lang w:val="fr-CA"/>
        </w:rPr>
        <w:t>.</w:t>
      </w:r>
    </w:p>
    <w:p w14:paraId="73BBAC2E" w14:textId="1E05DD76" w:rsidR="00A13FAF" w:rsidRPr="007F7417" w:rsidRDefault="00A13FAF" w:rsidP="0011729F">
      <w:pPr>
        <w:pStyle w:val="Titre1"/>
        <w:suppressLineNumbers/>
        <w:tabs>
          <w:tab w:val="clear" w:pos="720"/>
        </w:tabs>
        <w:suppressAutoHyphens/>
        <w:spacing w:before="120" w:line="235" w:lineRule="auto"/>
        <w:ind w:left="1560" w:hanging="851"/>
        <w:jc w:val="left"/>
        <w:rPr>
          <w:bCs/>
          <w:kern w:val="22"/>
          <w:sz w:val="22"/>
          <w:szCs w:val="22"/>
          <w:lang w:val="fr-CA"/>
        </w:rPr>
      </w:pPr>
      <w:r w:rsidRPr="007F7417">
        <w:rPr>
          <w:kern w:val="22"/>
          <w:sz w:val="22"/>
          <w:szCs w:val="22"/>
          <w:lang w:val="fr-CA"/>
        </w:rPr>
        <w:t>VI.</w:t>
      </w:r>
      <w:r w:rsidRPr="007F7417">
        <w:rPr>
          <w:kern w:val="22"/>
          <w:sz w:val="22"/>
          <w:szCs w:val="22"/>
          <w:lang w:val="fr-CA"/>
        </w:rPr>
        <w:tab/>
      </w:r>
      <w:r w:rsidR="00521F1A" w:rsidRPr="007F7417">
        <w:rPr>
          <w:kern w:val="22"/>
          <w:sz w:val="22"/>
          <w:szCs w:val="22"/>
          <w:lang w:val="fr-CA"/>
        </w:rPr>
        <w:t>représentation réciproque et coopération entre les secrétariats, notamment dans le contexte de leurs futurs processus</w:t>
      </w:r>
    </w:p>
    <w:p w14:paraId="4338976C" w14:textId="771596CA" w:rsidR="00A13FAF" w:rsidRPr="007F7417" w:rsidRDefault="00521F1A" w:rsidP="00516B43">
      <w:pPr>
        <w:pStyle w:val="Para1"/>
        <w:numPr>
          <w:ilvl w:val="0"/>
          <w:numId w:val="13"/>
        </w:numPr>
        <w:suppressLineNumbers/>
        <w:tabs>
          <w:tab w:val="num" w:pos="720"/>
        </w:tabs>
        <w:suppressAutoHyphens/>
        <w:spacing w:before="120"/>
        <w:ind w:left="0" w:firstLine="0"/>
        <w:jc w:val="both"/>
        <w:rPr>
          <w:bCs/>
          <w:kern w:val="22"/>
          <w:sz w:val="22"/>
          <w:szCs w:val="22"/>
          <w:lang w:val="fr-CA"/>
        </w:rPr>
      </w:pPr>
      <w:r w:rsidRPr="007F7417">
        <w:rPr>
          <w:kern w:val="22"/>
          <w:sz w:val="22"/>
          <w:szCs w:val="22"/>
          <w:lang w:val="fr-CA"/>
        </w:rPr>
        <w:t xml:space="preserve">Au cours de la présente période intersessions, le Secrétariat du </w:t>
      </w:r>
      <w:r w:rsidR="00331187">
        <w:rPr>
          <w:kern w:val="22"/>
          <w:sz w:val="22"/>
          <w:szCs w:val="22"/>
          <w:lang w:val="fr-CA"/>
        </w:rPr>
        <w:t>FEM</w:t>
      </w:r>
      <w:r w:rsidRPr="007F7417">
        <w:rPr>
          <w:kern w:val="22"/>
          <w:sz w:val="22"/>
          <w:szCs w:val="22"/>
          <w:lang w:val="fr-CA"/>
        </w:rPr>
        <w:t xml:space="preserve"> a participé à toutes les réunions à composition non limitée de la Convention</w:t>
      </w:r>
      <w:r w:rsidR="001F7D22" w:rsidRPr="007F7417">
        <w:rPr>
          <w:kern w:val="22"/>
          <w:sz w:val="22"/>
          <w:szCs w:val="22"/>
          <w:lang w:val="fr-CA"/>
        </w:rPr>
        <w:t>,</w:t>
      </w:r>
      <w:r w:rsidR="001F7D22" w:rsidRPr="007F7417">
        <w:rPr>
          <w:bCs/>
          <w:kern w:val="22"/>
          <w:sz w:val="22"/>
          <w:szCs w:val="22"/>
          <w:vertAlign w:val="superscript"/>
          <w:lang w:val="fr-CA"/>
        </w:rPr>
        <w:footnoteReference w:id="7"/>
      </w:r>
      <w:r w:rsidR="001F7D22" w:rsidRPr="007F7417">
        <w:rPr>
          <w:kern w:val="22"/>
          <w:sz w:val="22"/>
          <w:szCs w:val="22"/>
          <w:lang w:val="fr-CA"/>
        </w:rPr>
        <w:t xml:space="preserve"> </w:t>
      </w:r>
      <w:r w:rsidRPr="007F7417">
        <w:rPr>
          <w:kern w:val="22"/>
          <w:sz w:val="22"/>
          <w:szCs w:val="22"/>
          <w:lang w:val="fr-CA"/>
        </w:rPr>
        <w:t>dont deux réunions du Groupe de travail à composition non limitée sur le cadre mondial de la biodiversité pour l</w:t>
      </w:r>
      <w:r w:rsidR="007D6D34">
        <w:rPr>
          <w:kern w:val="22"/>
          <w:sz w:val="22"/>
          <w:szCs w:val="22"/>
          <w:lang w:val="fr-CA"/>
        </w:rPr>
        <w:t>’</w:t>
      </w:r>
      <w:r w:rsidRPr="007F7417">
        <w:rPr>
          <w:kern w:val="22"/>
          <w:sz w:val="22"/>
          <w:szCs w:val="22"/>
          <w:lang w:val="fr-CA"/>
        </w:rPr>
        <w:t>après-2020. Il a aussi participé activement aux processus de soutien à la préparation du cadre mondial de la biodiversité pour l</w:t>
      </w:r>
      <w:r w:rsidR="007D6D34">
        <w:rPr>
          <w:kern w:val="22"/>
          <w:sz w:val="22"/>
          <w:szCs w:val="22"/>
          <w:lang w:val="fr-CA"/>
        </w:rPr>
        <w:t>’</w:t>
      </w:r>
      <w:r w:rsidRPr="007F7417">
        <w:rPr>
          <w:kern w:val="22"/>
          <w:sz w:val="22"/>
          <w:szCs w:val="22"/>
          <w:lang w:val="fr-CA"/>
        </w:rPr>
        <w:t xml:space="preserve">après-2020, y compris les consultations et ateliers thématiques, ainsi </w:t>
      </w:r>
      <w:r w:rsidR="00FC1AFE" w:rsidRPr="007F7417">
        <w:rPr>
          <w:kern w:val="22"/>
          <w:sz w:val="22"/>
          <w:szCs w:val="22"/>
          <w:lang w:val="fr-CA"/>
        </w:rPr>
        <w:t>qu’à la</w:t>
      </w:r>
      <w:r w:rsidRPr="007F7417">
        <w:rPr>
          <w:kern w:val="22"/>
          <w:sz w:val="22"/>
          <w:szCs w:val="22"/>
          <w:lang w:val="fr-CA"/>
        </w:rPr>
        <w:t xml:space="preserve"> réunion informelle</w:t>
      </w:r>
      <w:r w:rsidR="00FC1AFE" w:rsidRPr="007F7417">
        <w:rPr>
          <w:kern w:val="22"/>
          <w:sz w:val="22"/>
          <w:szCs w:val="22"/>
          <w:lang w:val="fr-CA"/>
        </w:rPr>
        <w:t xml:space="preserve"> de prép</w:t>
      </w:r>
      <w:r w:rsidRPr="007F7417">
        <w:rPr>
          <w:kern w:val="22"/>
          <w:sz w:val="22"/>
          <w:szCs w:val="22"/>
          <w:lang w:val="fr-CA"/>
        </w:rPr>
        <w:t>aration virtuelle précédant la vingt-quatrième réunion</w:t>
      </w:r>
      <w:r w:rsidR="00FC1AFE" w:rsidRPr="007F7417">
        <w:rPr>
          <w:kern w:val="22"/>
          <w:sz w:val="22"/>
          <w:szCs w:val="22"/>
          <w:lang w:val="fr-CA"/>
        </w:rPr>
        <w:t xml:space="preserve"> de l’Organe subsidiaire chargé de fournir des avis scientifiques, techniques et technologiques et la troisième réunion de l’Organe subsidiaire chargé de l</w:t>
      </w:r>
      <w:r w:rsidR="007D6D34">
        <w:rPr>
          <w:kern w:val="22"/>
          <w:sz w:val="22"/>
          <w:szCs w:val="22"/>
          <w:lang w:val="fr-CA"/>
        </w:rPr>
        <w:t>’</w:t>
      </w:r>
      <w:r w:rsidR="00FC1AFE" w:rsidRPr="007F7417">
        <w:rPr>
          <w:kern w:val="22"/>
          <w:sz w:val="22"/>
          <w:szCs w:val="22"/>
          <w:lang w:val="fr-CA"/>
        </w:rPr>
        <w:t>application. Le Secrétariat de la Convention a participé aux 55</w:t>
      </w:r>
      <w:r w:rsidR="00FC1AFE" w:rsidRPr="007F7417">
        <w:rPr>
          <w:kern w:val="22"/>
          <w:sz w:val="22"/>
          <w:szCs w:val="22"/>
          <w:vertAlign w:val="superscript"/>
          <w:lang w:val="fr-CA"/>
        </w:rPr>
        <w:t>e</w:t>
      </w:r>
      <w:r w:rsidR="00FC1AFE" w:rsidRPr="007F7417">
        <w:rPr>
          <w:kern w:val="22"/>
          <w:sz w:val="22"/>
          <w:szCs w:val="22"/>
          <w:lang w:val="fr-CA"/>
        </w:rPr>
        <w:t>, 56</w:t>
      </w:r>
      <w:r w:rsidR="00FC1AFE" w:rsidRPr="007F7417">
        <w:rPr>
          <w:kern w:val="22"/>
          <w:sz w:val="22"/>
          <w:szCs w:val="22"/>
          <w:vertAlign w:val="superscript"/>
          <w:lang w:val="fr-CA"/>
        </w:rPr>
        <w:t>e</w:t>
      </w:r>
      <w:r w:rsidR="00FC1AFE" w:rsidRPr="007F7417">
        <w:rPr>
          <w:kern w:val="22"/>
          <w:sz w:val="22"/>
          <w:szCs w:val="22"/>
          <w:lang w:val="fr-CA"/>
        </w:rPr>
        <w:t>, 57</w:t>
      </w:r>
      <w:r w:rsidR="00FC1AFE" w:rsidRPr="007F7417">
        <w:rPr>
          <w:kern w:val="22"/>
          <w:sz w:val="22"/>
          <w:szCs w:val="22"/>
          <w:vertAlign w:val="superscript"/>
          <w:lang w:val="fr-CA"/>
        </w:rPr>
        <w:t>e</w:t>
      </w:r>
      <w:r w:rsidR="00FC1AFE" w:rsidRPr="007F7417">
        <w:rPr>
          <w:kern w:val="22"/>
          <w:sz w:val="22"/>
          <w:szCs w:val="22"/>
          <w:lang w:val="fr-CA"/>
        </w:rPr>
        <w:t>, 58</w:t>
      </w:r>
      <w:r w:rsidR="00FC1AFE" w:rsidRPr="007F7417">
        <w:rPr>
          <w:kern w:val="22"/>
          <w:sz w:val="22"/>
          <w:szCs w:val="22"/>
          <w:vertAlign w:val="superscript"/>
          <w:lang w:val="fr-CA"/>
        </w:rPr>
        <w:t>e</w:t>
      </w:r>
      <w:r w:rsidR="00D64932" w:rsidRPr="007F7417">
        <w:rPr>
          <w:kern w:val="22"/>
          <w:sz w:val="22"/>
          <w:szCs w:val="22"/>
          <w:lang w:val="fr-CA"/>
        </w:rPr>
        <w:t xml:space="preserve"> e</w:t>
      </w:r>
      <w:r w:rsidR="00FC1AFE" w:rsidRPr="007F7417">
        <w:rPr>
          <w:kern w:val="22"/>
          <w:sz w:val="22"/>
          <w:szCs w:val="22"/>
          <w:lang w:val="fr-CA"/>
        </w:rPr>
        <w:t>t 59</w:t>
      </w:r>
      <w:r w:rsidR="00FC1AFE" w:rsidRPr="007F7417">
        <w:rPr>
          <w:kern w:val="22"/>
          <w:sz w:val="22"/>
          <w:szCs w:val="22"/>
          <w:vertAlign w:val="superscript"/>
          <w:lang w:val="fr-CA"/>
        </w:rPr>
        <w:t>e</w:t>
      </w:r>
      <w:r w:rsidR="00FC1AFE" w:rsidRPr="007F7417">
        <w:rPr>
          <w:kern w:val="22"/>
          <w:sz w:val="22"/>
          <w:szCs w:val="22"/>
          <w:lang w:val="fr-CA"/>
        </w:rPr>
        <w:t xml:space="preserve"> réunions du Conseil du </w:t>
      </w:r>
      <w:r w:rsidR="00331187">
        <w:rPr>
          <w:kern w:val="22"/>
          <w:sz w:val="22"/>
          <w:szCs w:val="22"/>
          <w:lang w:val="fr-CA"/>
        </w:rPr>
        <w:t>FEM</w:t>
      </w:r>
      <w:r w:rsidR="00D64932" w:rsidRPr="007F7417">
        <w:rPr>
          <w:kern w:val="22"/>
          <w:sz w:val="22"/>
          <w:szCs w:val="22"/>
          <w:lang w:val="fr-CA"/>
        </w:rPr>
        <w:t>, tenues respectivem</w:t>
      </w:r>
      <w:r w:rsidR="00FC1AFE" w:rsidRPr="007F7417">
        <w:rPr>
          <w:kern w:val="22"/>
          <w:sz w:val="22"/>
          <w:szCs w:val="22"/>
          <w:lang w:val="fr-CA"/>
        </w:rPr>
        <w:t>ent en décembre 2018, juin et décembre 2019, et en juin et décembre 2020. Les 58</w:t>
      </w:r>
      <w:r w:rsidR="00FC1AFE" w:rsidRPr="007F7417">
        <w:rPr>
          <w:kern w:val="22"/>
          <w:sz w:val="22"/>
          <w:szCs w:val="22"/>
          <w:vertAlign w:val="superscript"/>
          <w:lang w:val="fr-CA"/>
        </w:rPr>
        <w:t>e</w:t>
      </w:r>
      <w:r w:rsidR="00FC1AFE" w:rsidRPr="007F7417">
        <w:rPr>
          <w:kern w:val="22"/>
          <w:sz w:val="22"/>
          <w:szCs w:val="22"/>
          <w:lang w:val="fr-CA"/>
        </w:rPr>
        <w:t xml:space="preserve"> et 59</w:t>
      </w:r>
      <w:r w:rsidR="00FC1AFE" w:rsidRPr="007F7417">
        <w:rPr>
          <w:kern w:val="22"/>
          <w:sz w:val="22"/>
          <w:szCs w:val="22"/>
          <w:vertAlign w:val="superscript"/>
          <w:lang w:val="fr-CA"/>
        </w:rPr>
        <w:t>e</w:t>
      </w:r>
      <w:r w:rsidR="00FC1AFE" w:rsidRPr="007F7417">
        <w:rPr>
          <w:kern w:val="22"/>
          <w:sz w:val="22"/>
          <w:szCs w:val="22"/>
          <w:lang w:val="fr-CA"/>
        </w:rPr>
        <w:t xml:space="preserve"> réunions ont eu lieu virtuellement. La Secrétaire exécutive et le </w:t>
      </w:r>
      <w:r w:rsidR="00D64932" w:rsidRPr="007F7417">
        <w:rPr>
          <w:kern w:val="22"/>
          <w:sz w:val="22"/>
          <w:szCs w:val="22"/>
          <w:lang w:val="fr-CA"/>
        </w:rPr>
        <w:t>président-directeur général se sont entretenus en visioconférence sur leur coopération, le 6 octobre 2020.</w:t>
      </w:r>
    </w:p>
    <w:p w14:paraId="43DA4D9E" w14:textId="1246AAAD" w:rsidR="00D476B0" w:rsidRPr="007F7417" w:rsidRDefault="00D64932" w:rsidP="00516B43">
      <w:pPr>
        <w:pStyle w:val="Para1"/>
        <w:numPr>
          <w:ilvl w:val="0"/>
          <w:numId w:val="13"/>
        </w:numPr>
        <w:suppressLineNumbers/>
        <w:tabs>
          <w:tab w:val="num" w:pos="720"/>
        </w:tabs>
        <w:suppressAutoHyphens/>
        <w:spacing w:before="120"/>
        <w:ind w:left="0" w:firstLine="0"/>
        <w:jc w:val="both"/>
        <w:rPr>
          <w:bCs/>
          <w:kern w:val="22"/>
          <w:sz w:val="22"/>
          <w:szCs w:val="22"/>
          <w:lang w:val="fr-CA"/>
        </w:rPr>
      </w:pPr>
      <w:r w:rsidRPr="007F7417">
        <w:rPr>
          <w:kern w:val="22"/>
          <w:sz w:val="22"/>
          <w:szCs w:val="22"/>
          <w:lang w:val="fr-CA"/>
        </w:rPr>
        <w:t>La 59</w:t>
      </w:r>
      <w:r w:rsidRPr="007F7417">
        <w:rPr>
          <w:kern w:val="22"/>
          <w:sz w:val="22"/>
          <w:szCs w:val="22"/>
          <w:vertAlign w:val="superscript"/>
          <w:lang w:val="fr-CA"/>
        </w:rPr>
        <w:t>e</w:t>
      </w:r>
      <w:r w:rsidRPr="007F7417">
        <w:rPr>
          <w:kern w:val="22"/>
          <w:sz w:val="22"/>
          <w:szCs w:val="22"/>
          <w:lang w:val="fr-CA"/>
        </w:rPr>
        <w:t xml:space="preserve"> réunion du Conseil a lancé le processus de négociation de la huitième période de reconstitution </w:t>
      </w:r>
      <w:r w:rsidR="00DE48E1" w:rsidRPr="007F7417">
        <w:rPr>
          <w:kern w:val="22"/>
          <w:sz w:val="22"/>
          <w:szCs w:val="22"/>
          <w:lang w:val="fr-CA"/>
        </w:rPr>
        <w:t xml:space="preserve">des ressources </w:t>
      </w:r>
      <w:r w:rsidRPr="007F7417">
        <w:rPr>
          <w:kern w:val="22"/>
          <w:sz w:val="22"/>
          <w:szCs w:val="22"/>
          <w:lang w:val="fr-CA"/>
        </w:rPr>
        <w:t xml:space="preserve">de la Caisse du </w:t>
      </w:r>
      <w:r w:rsidR="00331187">
        <w:rPr>
          <w:kern w:val="22"/>
          <w:sz w:val="22"/>
          <w:szCs w:val="22"/>
          <w:lang w:val="fr-CA"/>
        </w:rPr>
        <w:t>FEM</w:t>
      </w:r>
      <w:r w:rsidRPr="007F7417">
        <w:rPr>
          <w:kern w:val="22"/>
          <w:sz w:val="22"/>
          <w:szCs w:val="22"/>
          <w:lang w:val="fr-CA"/>
        </w:rPr>
        <w:t>.</w:t>
      </w:r>
    </w:p>
    <w:p w14:paraId="0B098124" w14:textId="412E3B36" w:rsidR="00F45D4F" w:rsidRPr="007F7417" w:rsidRDefault="00D2413F" w:rsidP="00516B43">
      <w:pPr>
        <w:pStyle w:val="Para1"/>
        <w:numPr>
          <w:ilvl w:val="0"/>
          <w:numId w:val="13"/>
        </w:numPr>
        <w:suppressLineNumbers/>
        <w:tabs>
          <w:tab w:val="num" w:pos="720"/>
        </w:tabs>
        <w:suppressAutoHyphens/>
        <w:spacing w:before="120"/>
        <w:ind w:left="0" w:firstLine="0"/>
        <w:jc w:val="both"/>
        <w:rPr>
          <w:bCs/>
          <w:kern w:val="22"/>
          <w:sz w:val="22"/>
          <w:szCs w:val="22"/>
          <w:lang w:val="fr-CA"/>
        </w:rPr>
      </w:pPr>
      <w:r w:rsidRPr="007F7417">
        <w:rPr>
          <w:kern w:val="22"/>
          <w:sz w:val="22"/>
          <w:szCs w:val="22"/>
          <w:lang w:val="fr-CA"/>
        </w:rPr>
        <w:t>La première réunion du processus de</w:t>
      </w:r>
      <w:r w:rsidR="00DE48E1" w:rsidRPr="007F7417">
        <w:rPr>
          <w:kern w:val="22"/>
          <w:sz w:val="22"/>
          <w:szCs w:val="22"/>
          <w:lang w:val="fr-CA"/>
        </w:rPr>
        <w:t xml:space="preserve"> reconstitution se déroulera virtuellement </w:t>
      </w:r>
      <w:r w:rsidR="00B05209">
        <w:rPr>
          <w:kern w:val="22"/>
          <w:sz w:val="22"/>
          <w:szCs w:val="22"/>
          <w:lang w:val="fr-CA"/>
        </w:rPr>
        <w:t>le</w:t>
      </w:r>
      <w:r w:rsidR="00DE48E1" w:rsidRPr="007F7417">
        <w:rPr>
          <w:kern w:val="22"/>
          <w:sz w:val="22"/>
          <w:szCs w:val="22"/>
          <w:lang w:val="fr-CA"/>
        </w:rPr>
        <w:t xml:space="preserve"> 22 </w:t>
      </w:r>
      <w:r w:rsidR="00B05209">
        <w:rPr>
          <w:kern w:val="22"/>
          <w:sz w:val="22"/>
          <w:szCs w:val="22"/>
          <w:lang w:val="fr-CA"/>
        </w:rPr>
        <w:t>et le 23 avril </w:t>
      </w:r>
      <w:r w:rsidR="00DE48E1" w:rsidRPr="007F7417">
        <w:rPr>
          <w:kern w:val="22"/>
          <w:sz w:val="22"/>
          <w:szCs w:val="22"/>
          <w:lang w:val="fr-CA"/>
        </w:rPr>
        <w:t xml:space="preserve">2021. </w:t>
      </w:r>
      <w:r w:rsidR="00331187">
        <w:rPr>
          <w:kern w:val="22"/>
          <w:sz w:val="22"/>
          <w:szCs w:val="22"/>
          <w:lang w:val="fr-CA"/>
        </w:rPr>
        <w:t>Elle</w:t>
      </w:r>
      <w:r w:rsidR="00DE48E1" w:rsidRPr="007F7417">
        <w:rPr>
          <w:kern w:val="22"/>
          <w:sz w:val="22"/>
          <w:szCs w:val="22"/>
          <w:lang w:val="fr-CA"/>
        </w:rPr>
        <w:t xml:space="preserve"> portera notamment sur le projet de position stratégique de la huitième période de reconstitution du FEM et la direction du programme préparés par le Secrétariat du FEM. La deuxième réunion aura lieu du 29 septembre au 1</w:t>
      </w:r>
      <w:r w:rsidR="00DE48E1" w:rsidRPr="007F7417">
        <w:rPr>
          <w:kern w:val="22"/>
          <w:sz w:val="22"/>
          <w:szCs w:val="22"/>
          <w:vertAlign w:val="superscript"/>
          <w:lang w:val="fr-CA"/>
        </w:rPr>
        <w:t>er</w:t>
      </w:r>
      <w:r w:rsidR="00DE48E1" w:rsidRPr="007F7417">
        <w:rPr>
          <w:kern w:val="22"/>
          <w:sz w:val="22"/>
          <w:szCs w:val="22"/>
          <w:lang w:val="fr-CA"/>
        </w:rPr>
        <w:t xml:space="preserve"> octobre 2021. On y abordera notamment les recommandations de projet d</w:t>
      </w:r>
      <w:r w:rsidR="0035124B" w:rsidRPr="007F7417">
        <w:rPr>
          <w:kern w:val="22"/>
          <w:sz w:val="22"/>
          <w:szCs w:val="22"/>
          <w:lang w:val="fr-CA"/>
        </w:rPr>
        <w:t>e politique générale pour la huitième période de reconstitution du FEM et les activités du programme de la huitième période de reconstitution</w:t>
      </w:r>
      <w:r w:rsidR="00481813">
        <w:rPr>
          <w:kern w:val="22"/>
          <w:sz w:val="22"/>
          <w:szCs w:val="22"/>
          <w:lang w:val="fr-CA"/>
        </w:rPr>
        <w:t>,</w:t>
      </w:r>
      <w:r w:rsidR="0035124B" w:rsidRPr="007F7417">
        <w:rPr>
          <w:kern w:val="22"/>
          <w:sz w:val="22"/>
          <w:szCs w:val="22"/>
          <w:lang w:val="fr-CA"/>
        </w:rPr>
        <w:t xml:space="preserve"> réunies dans un document préparé par le Secrétariat du FEM. La troisième réunion aura lieu du 17 au 19 janvier 2021. On d</w:t>
      </w:r>
      <w:r w:rsidR="001C76AD" w:rsidRPr="007F7417">
        <w:rPr>
          <w:kern w:val="22"/>
          <w:sz w:val="22"/>
          <w:szCs w:val="22"/>
          <w:lang w:val="fr-CA"/>
        </w:rPr>
        <w:t>evrait y prendre une décision co</w:t>
      </w:r>
      <w:r w:rsidR="0035124B" w:rsidRPr="007F7417">
        <w:rPr>
          <w:kern w:val="22"/>
          <w:sz w:val="22"/>
          <w:szCs w:val="22"/>
          <w:lang w:val="fr-CA"/>
        </w:rPr>
        <w:t xml:space="preserve">ncernant les recommandations de politique générale pour la huitième période de reconstitution du FEM et les activités du programme de la huitième période de reconstitution en se fondant sur un document préparé par le Secrétariat du FEM. Des </w:t>
      </w:r>
      <w:r w:rsidR="001C76AD" w:rsidRPr="007F7417">
        <w:rPr>
          <w:kern w:val="22"/>
          <w:sz w:val="22"/>
          <w:szCs w:val="22"/>
          <w:lang w:val="fr-CA"/>
        </w:rPr>
        <w:t>engagements indicatifs</w:t>
      </w:r>
      <w:r w:rsidR="0035124B" w:rsidRPr="007F7417">
        <w:rPr>
          <w:kern w:val="22"/>
          <w:sz w:val="22"/>
          <w:szCs w:val="22"/>
          <w:lang w:val="fr-CA"/>
        </w:rPr>
        <w:t xml:space="preserve"> sont attendus de la part des participants </w:t>
      </w:r>
      <w:r w:rsidR="001C76AD" w:rsidRPr="007F7417">
        <w:rPr>
          <w:kern w:val="22"/>
          <w:sz w:val="22"/>
          <w:szCs w:val="22"/>
          <w:lang w:val="fr-CA"/>
        </w:rPr>
        <w:t>donateurs</w:t>
      </w:r>
      <w:r w:rsidR="0035124B" w:rsidRPr="007F7417">
        <w:rPr>
          <w:kern w:val="22"/>
          <w:sz w:val="22"/>
          <w:szCs w:val="22"/>
          <w:lang w:val="fr-CA"/>
        </w:rPr>
        <w:t xml:space="preserve">. La quatrième réunion </w:t>
      </w:r>
      <w:r w:rsidR="00481813">
        <w:rPr>
          <w:kern w:val="22"/>
          <w:sz w:val="22"/>
          <w:szCs w:val="22"/>
          <w:lang w:val="fr-CA"/>
        </w:rPr>
        <w:t>se déroulera du 14 au 16 mars 2</w:t>
      </w:r>
      <w:r w:rsidR="0035124B" w:rsidRPr="007F7417">
        <w:rPr>
          <w:kern w:val="22"/>
          <w:sz w:val="22"/>
          <w:szCs w:val="22"/>
          <w:lang w:val="fr-CA"/>
        </w:rPr>
        <w:t>022 e</w:t>
      </w:r>
      <w:r w:rsidR="001C76AD" w:rsidRPr="007F7417">
        <w:rPr>
          <w:kern w:val="22"/>
          <w:sz w:val="22"/>
          <w:szCs w:val="22"/>
          <w:lang w:val="fr-CA"/>
        </w:rPr>
        <w:t xml:space="preserve">t aura pour but de finaliser le projet de rapport sur la huitième période de reconstitution des ressources de la caisse du FEM, qui comprend : a) un sommaire des négociations, b) des recommandations de politique générale, c) un document de programme et d) une résolution sur la reconstitution. On y finalisera également les engagements des donateurs </w:t>
      </w:r>
      <w:r w:rsidR="00510D32" w:rsidRPr="007F7417">
        <w:rPr>
          <w:kern w:val="22"/>
          <w:sz w:val="22"/>
          <w:szCs w:val="22"/>
          <w:lang w:val="fr-CA"/>
        </w:rPr>
        <w:t>et le cadre financier du FEM. Ces résultats escomptés devraient recevoir l’appui du Conseil à sa réunion qui se tiendra du 22 au 24 mai 2022</w:t>
      </w:r>
      <w:r w:rsidR="00B05209">
        <w:rPr>
          <w:kern w:val="22"/>
          <w:sz w:val="22"/>
          <w:szCs w:val="22"/>
          <w:lang w:val="fr-CA"/>
        </w:rPr>
        <w:t xml:space="preserve"> et</w:t>
      </w:r>
      <w:r w:rsidR="00510D32" w:rsidRPr="007F7417">
        <w:rPr>
          <w:kern w:val="22"/>
          <w:sz w:val="22"/>
          <w:szCs w:val="22"/>
          <w:lang w:val="fr-CA"/>
        </w:rPr>
        <w:t xml:space="preserve"> de l’assemblée du FEM à sa réunion qui se tiendra </w:t>
      </w:r>
      <w:r w:rsidR="00481813">
        <w:rPr>
          <w:kern w:val="22"/>
          <w:sz w:val="22"/>
          <w:szCs w:val="22"/>
          <w:lang w:val="fr-CA"/>
        </w:rPr>
        <w:t>le</w:t>
      </w:r>
      <w:r w:rsidR="00510D32" w:rsidRPr="007F7417">
        <w:rPr>
          <w:kern w:val="22"/>
          <w:sz w:val="22"/>
          <w:szCs w:val="22"/>
          <w:lang w:val="fr-CA"/>
        </w:rPr>
        <w:t xml:space="preserve"> 25 </w:t>
      </w:r>
      <w:r w:rsidR="00481813">
        <w:rPr>
          <w:kern w:val="22"/>
          <w:sz w:val="22"/>
          <w:szCs w:val="22"/>
          <w:lang w:val="fr-CA"/>
        </w:rPr>
        <w:t>et</w:t>
      </w:r>
      <w:r w:rsidR="00510D32" w:rsidRPr="007F7417">
        <w:rPr>
          <w:kern w:val="22"/>
          <w:sz w:val="22"/>
          <w:szCs w:val="22"/>
          <w:lang w:val="fr-CA"/>
        </w:rPr>
        <w:t xml:space="preserve"> 26 mai 2022</w:t>
      </w:r>
      <w:r w:rsidR="0047371E" w:rsidRPr="007F7417">
        <w:rPr>
          <w:kern w:val="22"/>
          <w:sz w:val="22"/>
          <w:szCs w:val="22"/>
          <w:lang w:val="fr-CA"/>
        </w:rPr>
        <w:t>.</w:t>
      </w:r>
      <w:r w:rsidR="00481813">
        <w:rPr>
          <w:kern w:val="22"/>
          <w:sz w:val="22"/>
          <w:szCs w:val="22"/>
          <w:lang w:val="fr-CA"/>
        </w:rPr>
        <w:t xml:space="preserve"> La note </w:t>
      </w:r>
      <w:r w:rsidR="00481813">
        <w:rPr>
          <w:kern w:val="22"/>
          <w:sz w:val="22"/>
          <w:szCs w:val="22"/>
          <w:lang w:val="fr-CA"/>
        </w:rPr>
        <w:lastRenderedPageBreak/>
        <w:t>sur la planification, publiée sur le site Web du FEM,</w:t>
      </w:r>
      <w:r w:rsidR="009A0D6B" w:rsidRPr="00721A2F">
        <w:rPr>
          <w:bCs/>
          <w:kern w:val="22"/>
          <w:sz w:val="22"/>
          <w:szCs w:val="22"/>
          <w:vertAlign w:val="superscript"/>
          <w:lang w:val="en-GB"/>
        </w:rPr>
        <w:footnoteReference w:id="8"/>
      </w:r>
      <w:r w:rsidR="00481813">
        <w:rPr>
          <w:kern w:val="22"/>
          <w:sz w:val="22"/>
          <w:szCs w:val="22"/>
          <w:lang w:val="fr-CA"/>
        </w:rPr>
        <w:t xml:space="preserve"> présente plus de renseignements à ce sujet. La note compr</w:t>
      </w:r>
      <w:r w:rsidR="009A0D6B">
        <w:rPr>
          <w:kern w:val="22"/>
          <w:sz w:val="22"/>
          <w:szCs w:val="22"/>
          <w:lang w:val="fr-CA"/>
        </w:rPr>
        <w:t>end le calendrier des réunions d</w:t>
      </w:r>
      <w:r w:rsidR="00481813">
        <w:rPr>
          <w:kern w:val="22"/>
          <w:sz w:val="22"/>
          <w:szCs w:val="22"/>
          <w:lang w:val="fr-CA"/>
        </w:rPr>
        <w:t>u processus de reconstitution, auxquelles le Secrétariat de la Convention sera invité à participer en qualité d’observateur.</w:t>
      </w:r>
    </w:p>
    <w:p w14:paraId="2862E8C9" w14:textId="30162B64" w:rsidR="00FA6C44" w:rsidRPr="007F7417" w:rsidRDefault="00153349" w:rsidP="00153349">
      <w:pPr>
        <w:pStyle w:val="Para1"/>
        <w:numPr>
          <w:ilvl w:val="0"/>
          <w:numId w:val="13"/>
        </w:numPr>
        <w:suppressLineNumbers/>
        <w:tabs>
          <w:tab w:val="num" w:pos="720"/>
        </w:tabs>
        <w:suppressAutoHyphens/>
        <w:spacing w:before="120"/>
        <w:ind w:left="0" w:firstLine="0"/>
        <w:jc w:val="both"/>
        <w:rPr>
          <w:bCs/>
          <w:kern w:val="22"/>
          <w:sz w:val="22"/>
          <w:szCs w:val="22"/>
          <w:lang w:val="fr-CA"/>
        </w:rPr>
      </w:pPr>
      <w:r w:rsidRPr="007F7417">
        <w:rPr>
          <w:kern w:val="22"/>
          <w:sz w:val="22"/>
          <w:szCs w:val="22"/>
          <w:lang w:val="fr-CA"/>
        </w:rPr>
        <w:t xml:space="preserve">Les retards </w:t>
      </w:r>
      <w:r w:rsidR="009A0D6B">
        <w:rPr>
          <w:kern w:val="22"/>
          <w:sz w:val="22"/>
          <w:szCs w:val="22"/>
          <w:lang w:val="fr-CA"/>
        </w:rPr>
        <w:t>causés par la pandémie mondiale qu’on</w:t>
      </w:r>
      <w:r w:rsidR="007D6D34">
        <w:rPr>
          <w:kern w:val="22"/>
          <w:sz w:val="22"/>
          <w:szCs w:val="22"/>
          <w:lang w:val="fr-CA"/>
        </w:rPr>
        <w:t>t subis</w:t>
      </w:r>
      <w:r w:rsidR="009A0D6B">
        <w:rPr>
          <w:kern w:val="22"/>
          <w:sz w:val="22"/>
          <w:szCs w:val="22"/>
          <w:lang w:val="fr-CA"/>
        </w:rPr>
        <w:t xml:space="preserve"> les</w:t>
      </w:r>
      <w:r w:rsidRPr="007F7417">
        <w:rPr>
          <w:kern w:val="22"/>
          <w:sz w:val="22"/>
          <w:szCs w:val="22"/>
          <w:lang w:val="fr-CA"/>
        </w:rPr>
        <w:t xml:space="preserve"> processus de la Convention et les retards </w:t>
      </w:r>
      <w:r w:rsidR="009A0D6B">
        <w:rPr>
          <w:kern w:val="22"/>
          <w:sz w:val="22"/>
          <w:szCs w:val="22"/>
          <w:lang w:val="fr-CA"/>
        </w:rPr>
        <w:t>que ceux-ci ont engendrés</w:t>
      </w:r>
      <w:r w:rsidRPr="007F7417">
        <w:rPr>
          <w:kern w:val="22"/>
          <w:sz w:val="22"/>
          <w:szCs w:val="22"/>
          <w:lang w:val="fr-CA"/>
        </w:rPr>
        <w:t xml:space="preserve"> dans la préparation et l’adoption de l’orientation donnée au FEM, y compris le cadre quadriennal des priorités du programme axé sur les résultats, par la Conférence des Parties à sa quinzième réunion</w:t>
      </w:r>
      <w:r w:rsidR="003D3136" w:rsidRPr="007F7417">
        <w:rPr>
          <w:kern w:val="22"/>
          <w:sz w:val="22"/>
          <w:szCs w:val="22"/>
          <w:lang w:val="fr-CA"/>
        </w:rPr>
        <w:t>, ont eu des conséquences sur la capacité de la Convention de servir de source d’information sur le processus. Les échanges et les résultat</w:t>
      </w:r>
      <w:r w:rsidR="00714479" w:rsidRPr="007F7417">
        <w:rPr>
          <w:kern w:val="22"/>
          <w:sz w:val="22"/>
          <w:szCs w:val="22"/>
          <w:lang w:val="fr-CA"/>
        </w:rPr>
        <w:t>s</w:t>
      </w:r>
      <w:r w:rsidR="003D3136" w:rsidRPr="007F7417">
        <w:rPr>
          <w:kern w:val="22"/>
          <w:sz w:val="22"/>
          <w:szCs w:val="22"/>
          <w:lang w:val="fr-CA"/>
        </w:rPr>
        <w:t xml:space="preserve"> de la troisième réunion de l’Organe subsidiaire chargé de l</w:t>
      </w:r>
      <w:r w:rsidR="007D6D34">
        <w:rPr>
          <w:kern w:val="22"/>
          <w:sz w:val="22"/>
          <w:szCs w:val="22"/>
          <w:lang w:val="fr-CA"/>
        </w:rPr>
        <w:t>’</w:t>
      </w:r>
      <w:r w:rsidR="003D3136" w:rsidRPr="007F7417">
        <w:rPr>
          <w:kern w:val="22"/>
          <w:sz w:val="22"/>
          <w:szCs w:val="22"/>
          <w:lang w:val="fr-CA"/>
        </w:rPr>
        <w:t>application et de la troisi</w:t>
      </w:r>
      <w:r w:rsidR="00714479" w:rsidRPr="007F7417">
        <w:rPr>
          <w:kern w:val="22"/>
          <w:sz w:val="22"/>
          <w:szCs w:val="22"/>
          <w:lang w:val="fr-CA"/>
        </w:rPr>
        <w:t>ème réunion du Groupe de travai</w:t>
      </w:r>
      <w:r w:rsidR="003D3136" w:rsidRPr="007F7417">
        <w:rPr>
          <w:kern w:val="22"/>
          <w:sz w:val="22"/>
          <w:szCs w:val="22"/>
          <w:lang w:val="fr-CA"/>
        </w:rPr>
        <w:t>l à comp</w:t>
      </w:r>
      <w:r w:rsidR="00714479" w:rsidRPr="007F7417">
        <w:rPr>
          <w:kern w:val="22"/>
          <w:sz w:val="22"/>
          <w:szCs w:val="22"/>
          <w:lang w:val="fr-CA"/>
        </w:rPr>
        <w:t>o</w:t>
      </w:r>
      <w:r w:rsidR="003D3136" w:rsidRPr="007F7417">
        <w:rPr>
          <w:kern w:val="22"/>
          <w:sz w:val="22"/>
          <w:szCs w:val="22"/>
          <w:lang w:val="fr-CA"/>
        </w:rPr>
        <w:t>sition non limitée sur le cadre mondial de la biodiversité pour l</w:t>
      </w:r>
      <w:r w:rsidR="007D6D34">
        <w:rPr>
          <w:kern w:val="22"/>
          <w:sz w:val="22"/>
          <w:szCs w:val="22"/>
          <w:lang w:val="fr-CA"/>
        </w:rPr>
        <w:t>’</w:t>
      </w:r>
      <w:r w:rsidR="003D3136" w:rsidRPr="007F7417">
        <w:rPr>
          <w:kern w:val="22"/>
          <w:sz w:val="22"/>
          <w:szCs w:val="22"/>
          <w:lang w:val="fr-CA"/>
        </w:rPr>
        <w:t xml:space="preserve">après-2020 pourraient </w:t>
      </w:r>
      <w:r w:rsidR="00714479" w:rsidRPr="007F7417">
        <w:rPr>
          <w:kern w:val="22"/>
          <w:sz w:val="22"/>
          <w:szCs w:val="22"/>
          <w:lang w:val="fr-CA"/>
        </w:rPr>
        <w:t>être pris en co</w:t>
      </w:r>
      <w:r w:rsidR="003D3136" w:rsidRPr="007F7417">
        <w:rPr>
          <w:kern w:val="22"/>
          <w:sz w:val="22"/>
          <w:szCs w:val="22"/>
          <w:lang w:val="fr-CA"/>
        </w:rPr>
        <w:t>nsidération dans la prépara</w:t>
      </w:r>
      <w:r w:rsidR="00714479" w:rsidRPr="007F7417">
        <w:rPr>
          <w:kern w:val="22"/>
          <w:sz w:val="22"/>
          <w:szCs w:val="22"/>
          <w:lang w:val="fr-CA"/>
        </w:rPr>
        <w:t>tion du projet de recommandatio</w:t>
      </w:r>
      <w:r w:rsidR="003D3136" w:rsidRPr="007F7417">
        <w:rPr>
          <w:kern w:val="22"/>
          <w:sz w:val="22"/>
          <w:szCs w:val="22"/>
          <w:lang w:val="fr-CA"/>
        </w:rPr>
        <w:t xml:space="preserve">n de politique générale et de direction du programme, et les échanges à ce sujet, lors de la deuxième réunion sur la reconstitution en septembre 2021, selon les dates auxquelles ces réunions ont eu lieu. </w:t>
      </w:r>
      <w:r w:rsidR="00BE6345" w:rsidRPr="007F7417">
        <w:rPr>
          <w:kern w:val="22"/>
          <w:sz w:val="22"/>
          <w:szCs w:val="22"/>
          <w:lang w:val="fr-CA"/>
        </w:rPr>
        <w:t xml:space="preserve">Dans </w:t>
      </w:r>
      <w:r w:rsidR="00714479" w:rsidRPr="007F7417">
        <w:rPr>
          <w:kern w:val="22"/>
          <w:sz w:val="22"/>
          <w:szCs w:val="22"/>
          <w:lang w:val="fr-CA"/>
        </w:rPr>
        <w:t>l’éventualité</w:t>
      </w:r>
      <w:r w:rsidR="00BE6345" w:rsidRPr="007F7417">
        <w:rPr>
          <w:kern w:val="22"/>
          <w:sz w:val="22"/>
          <w:szCs w:val="22"/>
          <w:lang w:val="fr-CA"/>
        </w:rPr>
        <w:t xml:space="preserve"> o</w:t>
      </w:r>
      <w:r w:rsidR="00714479" w:rsidRPr="007F7417">
        <w:rPr>
          <w:kern w:val="22"/>
          <w:sz w:val="22"/>
          <w:szCs w:val="22"/>
          <w:lang w:val="fr-CA"/>
        </w:rPr>
        <w:t>ù la quinziè</w:t>
      </w:r>
      <w:r w:rsidR="00BE6345" w:rsidRPr="007F7417">
        <w:rPr>
          <w:kern w:val="22"/>
          <w:sz w:val="22"/>
          <w:szCs w:val="22"/>
          <w:lang w:val="fr-CA"/>
        </w:rPr>
        <w:t>me réunion de la Conférence des Parties a</w:t>
      </w:r>
      <w:r w:rsidR="00714479" w:rsidRPr="007F7417">
        <w:rPr>
          <w:kern w:val="22"/>
          <w:sz w:val="22"/>
          <w:szCs w:val="22"/>
          <w:lang w:val="fr-CA"/>
        </w:rPr>
        <w:t>ura</w:t>
      </w:r>
      <w:r w:rsidR="00E43F64">
        <w:rPr>
          <w:kern w:val="22"/>
          <w:sz w:val="22"/>
          <w:szCs w:val="22"/>
          <w:lang w:val="fr-CA"/>
        </w:rPr>
        <w:t>it</w:t>
      </w:r>
      <w:r w:rsidR="00BE6345" w:rsidRPr="007F7417">
        <w:rPr>
          <w:kern w:val="22"/>
          <w:sz w:val="22"/>
          <w:szCs w:val="22"/>
          <w:lang w:val="fr-CA"/>
        </w:rPr>
        <w:t xml:space="preserve"> lieu avant la fin de 2021, ses décisions pour</w:t>
      </w:r>
      <w:r w:rsidR="00714479" w:rsidRPr="007F7417">
        <w:rPr>
          <w:kern w:val="22"/>
          <w:sz w:val="22"/>
          <w:szCs w:val="22"/>
          <w:lang w:val="fr-CA"/>
        </w:rPr>
        <w:t>r</w:t>
      </w:r>
      <w:r w:rsidR="00BE6345" w:rsidRPr="007F7417">
        <w:rPr>
          <w:kern w:val="22"/>
          <w:sz w:val="22"/>
          <w:szCs w:val="22"/>
          <w:lang w:val="fr-CA"/>
        </w:rPr>
        <w:t>aient influencer les recommandations de politique générale de la huitième pério</w:t>
      </w:r>
      <w:r w:rsidR="00E43F64">
        <w:rPr>
          <w:kern w:val="22"/>
          <w:sz w:val="22"/>
          <w:szCs w:val="22"/>
          <w:lang w:val="fr-CA"/>
        </w:rPr>
        <w:t xml:space="preserve">de de reconstitution du FEM et les </w:t>
      </w:r>
      <w:r w:rsidR="00BE6345" w:rsidRPr="007F7417">
        <w:rPr>
          <w:kern w:val="22"/>
          <w:sz w:val="22"/>
          <w:szCs w:val="22"/>
          <w:lang w:val="fr-CA"/>
        </w:rPr>
        <w:t>activités du programme de la huiti</w:t>
      </w:r>
      <w:r w:rsidR="00714479" w:rsidRPr="007F7417">
        <w:rPr>
          <w:kern w:val="22"/>
          <w:sz w:val="22"/>
          <w:szCs w:val="22"/>
          <w:lang w:val="fr-CA"/>
        </w:rPr>
        <w:t>ème période de reconstitution, sur</w:t>
      </w:r>
      <w:r w:rsidR="00BE6345" w:rsidRPr="007F7417">
        <w:rPr>
          <w:kern w:val="22"/>
          <w:sz w:val="22"/>
          <w:szCs w:val="22"/>
          <w:lang w:val="fr-CA"/>
        </w:rPr>
        <w:t xml:space="preserve"> lesquelles la troisième réunion sur la reconstitution, en janvier 2021, devrait prendre des décisions, et que la quatrième réunion sur la reconstitution, en mars 2022, devrait finaliser. Le Secrétariat de la Convention aura la responsabilité importante, dans les limites de son mandat, de fournir des avis concernant la préparation du projet de direction du programme, </w:t>
      </w:r>
      <w:r w:rsidR="000A2CDC" w:rsidRPr="007F7417">
        <w:rPr>
          <w:kern w:val="22"/>
          <w:sz w:val="22"/>
          <w:szCs w:val="22"/>
          <w:lang w:val="fr-CA"/>
        </w:rPr>
        <w:t>y compris dans son rôle</w:t>
      </w:r>
      <w:r w:rsidR="00BE6345" w:rsidRPr="007F7417">
        <w:rPr>
          <w:kern w:val="22"/>
          <w:sz w:val="22"/>
          <w:szCs w:val="22"/>
          <w:lang w:val="fr-CA"/>
        </w:rPr>
        <w:t xml:space="preserve"> d’observateur lors des réunions sur la reconstitution.</w:t>
      </w:r>
    </w:p>
    <w:p w14:paraId="73EA12D8" w14:textId="47591B36" w:rsidR="00416910" w:rsidRPr="007F7417" w:rsidRDefault="000A2CDC" w:rsidP="00516B43">
      <w:pPr>
        <w:pStyle w:val="Para1"/>
        <w:numPr>
          <w:ilvl w:val="0"/>
          <w:numId w:val="13"/>
        </w:numPr>
        <w:suppressLineNumbers/>
        <w:tabs>
          <w:tab w:val="num" w:pos="720"/>
        </w:tabs>
        <w:suppressAutoHyphens/>
        <w:spacing w:before="120"/>
        <w:ind w:left="0" w:firstLine="0"/>
        <w:jc w:val="both"/>
        <w:rPr>
          <w:bCs/>
          <w:kern w:val="22"/>
          <w:sz w:val="22"/>
          <w:szCs w:val="22"/>
          <w:lang w:val="fr-CA"/>
        </w:rPr>
      </w:pPr>
      <w:r w:rsidRPr="007F7417">
        <w:rPr>
          <w:kern w:val="22"/>
          <w:sz w:val="22"/>
          <w:szCs w:val="22"/>
          <w:lang w:val="fr-CA"/>
        </w:rPr>
        <w:t xml:space="preserve">Le Secrétariat </w:t>
      </w:r>
      <w:r w:rsidR="00E43F64">
        <w:rPr>
          <w:kern w:val="22"/>
          <w:sz w:val="22"/>
          <w:szCs w:val="22"/>
          <w:lang w:val="fr-CA"/>
        </w:rPr>
        <w:t xml:space="preserve">du FEM </w:t>
      </w:r>
      <w:r w:rsidRPr="007F7417">
        <w:rPr>
          <w:kern w:val="22"/>
          <w:sz w:val="22"/>
          <w:szCs w:val="22"/>
          <w:lang w:val="fr-CA"/>
        </w:rPr>
        <w:t>a convoqué des réunions des groupes consult</w:t>
      </w:r>
      <w:r w:rsidR="00B06E95" w:rsidRPr="007F7417">
        <w:rPr>
          <w:kern w:val="22"/>
          <w:sz w:val="22"/>
          <w:szCs w:val="22"/>
          <w:lang w:val="fr-CA"/>
        </w:rPr>
        <w:t>atifs techniques sur les questions</w:t>
      </w:r>
      <w:r w:rsidRPr="007F7417">
        <w:rPr>
          <w:kern w:val="22"/>
          <w:sz w:val="22"/>
          <w:szCs w:val="22"/>
          <w:lang w:val="fr-CA"/>
        </w:rPr>
        <w:t xml:space="preserve"> thématiques et in</w:t>
      </w:r>
      <w:r w:rsidR="00B06E95" w:rsidRPr="007F7417">
        <w:rPr>
          <w:kern w:val="22"/>
          <w:sz w:val="22"/>
          <w:szCs w:val="22"/>
          <w:lang w:val="fr-CA"/>
        </w:rPr>
        <w:t>ter</w:t>
      </w:r>
      <w:r w:rsidRPr="007F7417">
        <w:rPr>
          <w:kern w:val="22"/>
          <w:sz w:val="22"/>
          <w:szCs w:val="22"/>
          <w:lang w:val="fr-CA"/>
        </w:rPr>
        <w:t>sector</w:t>
      </w:r>
      <w:r w:rsidR="00B06E95" w:rsidRPr="007F7417">
        <w:rPr>
          <w:kern w:val="22"/>
          <w:sz w:val="22"/>
          <w:szCs w:val="22"/>
          <w:lang w:val="fr-CA"/>
        </w:rPr>
        <w:t>ielles, qui se dérouleront virtue</w:t>
      </w:r>
      <w:r w:rsidRPr="007F7417">
        <w:rPr>
          <w:kern w:val="22"/>
          <w:sz w:val="22"/>
          <w:szCs w:val="22"/>
          <w:lang w:val="fr-CA"/>
        </w:rPr>
        <w:t>llement du 8 au 11 février 2011,</w:t>
      </w:r>
      <w:r w:rsidR="00B06E95" w:rsidRPr="007F7417">
        <w:rPr>
          <w:kern w:val="22"/>
          <w:sz w:val="22"/>
          <w:szCs w:val="22"/>
          <w:lang w:val="fr-CA"/>
        </w:rPr>
        <w:t xml:space="preserve"> </w:t>
      </w:r>
      <w:r w:rsidRPr="007F7417">
        <w:rPr>
          <w:kern w:val="22"/>
          <w:sz w:val="22"/>
          <w:szCs w:val="22"/>
          <w:lang w:val="fr-CA"/>
        </w:rPr>
        <w:t xml:space="preserve">auxquelles il a invité des experts techniques, </w:t>
      </w:r>
      <w:r w:rsidR="00B06E95" w:rsidRPr="007F7417">
        <w:rPr>
          <w:kern w:val="22"/>
          <w:sz w:val="22"/>
          <w:szCs w:val="22"/>
          <w:lang w:val="fr-CA"/>
        </w:rPr>
        <w:t>dont des membres du personnel d</w:t>
      </w:r>
      <w:r w:rsidRPr="007F7417">
        <w:rPr>
          <w:kern w:val="22"/>
          <w:sz w:val="22"/>
          <w:szCs w:val="22"/>
          <w:lang w:val="fr-CA"/>
        </w:rPr>
        <w:t>u Secrétariat de la Convention,</w:t>
      </w:r>
      <w:r w:rsidR="00B06E95" w:rsidRPr="007F7417">
        <w:rPr>
          <w:kern w:val="22"/>
          <w:sz w:val="22"/>
          <w:szCs w:val="22"/>
          <w:lang w:val="fr-CA"/>
        </w:rPr>
        <w:t xml:space="preserve"> a</w:t>
      </w:r>
      <w:r w:rsidRPr="007F7417">
        <w:rPr>
          <w:kern w:val="22"/>
          <w:sz w:val="22"/>
          <w:szCs w:val="22"/>
          <w:lang w:val="fr-CA"/>
        </w:rPr>
        <w:t xml:space="preserve">fin d’entreprendre le développement de ses directions stratégiques pour le </w:t>
      </w:r>
      <w:r w:rsidR="00B06E95" w:rsidRPr="007F7417">
        <w:rPr>
          <w:kern w:val="22"/>
          <w:sz w:val="22"/>
          <w:szCs w:val="22"/>
          <w:lang w:val="fr-CA"/>
        </w:rPr>
        <w:t>FEM</w:t>
      </w:r>
      <w:r w:rsidRPr="007F7417">
        <w:rPr>
          <w:kern w:val="22"/>
          <w:sz w:val="22"/>
          <w:szCs w:val="22"/>
          <w:lang w:val="fr-CA"/>
        </w:rPr>
        <w:t xml:space="preserve"> dans le cadre de sa huiti</w:t>
      </w:r>
      <w:r w:rsidR="00B06E95" w:rsidRPr="007F7417">
        <w:rPr>
          <w:kern w:val="22"/>
          <w:sz w:val="22"/>
          <w:szCs w:val="22"/>
          <w:lang w:val="fr-CA"/>
        </w:rPr>
        <w:t>ème période de reconstitution.</w:t>
      </w:r>
      <w:r w:rsidR="003A37AF" w:rsidRPr="007F7417">
        <w:rPr>
          <w:kern w:val="22"/>
          <w:sz w:val="22"/>
          <w:szCs w:val="22"/>
          <w:lang w:val="fr-CA"/>
        </w:rPr>
        <w:t xml:space="preserve"> La Secrétaire exécutive a été invité</w:t>
      </w:r>
      <w:r w:rsidR="00B06E95" w:rsidRPr="007F7417">
        <w:rPr>
          <w:kern w:val="22"/>
          <w:sz w:val="22"/>
          <w:szCs w:val="22"/>
          <w:lang w:val="fr-CA"/>
        </w:rPr>
        <w:t>e</w:t>
      </w:r>
      <w:r w:rsidR="003A37AF" w:rsidRPr="007F7417">
        <w:rPr>
          <w:kern w:val="22"/>
          <w:sz w:val="22"/>
          <w:szCs w:val="22"/>
          <w:lang w:val="fr-CA"/>
        </w:rPr>
        <w:t xml:space="preserve"> à prononcer une allocution sur le fonctionnement </w:t>
      </w:r>
      <w:r w:rsidR="00B06E95" w:rsidRPr="007F7417">
        <w:rPr>
          <w:kern w:val="22"/>
          <w:sz w:val="22"/>
          <w:szCs w:val="22"/>
          <w:lang w:val="fr-CA"/>
        </w:rPr>
        <w:t>du</w:t>
      </w:r>
      <w:r w:rsidR="003A37AF" w:rsidRPr="007F7417">
        <w:rPr>
          <w:kern w:val="22"/>
          <w:sz w:val="22"/>
          <w:szCs w:val="22"/>
          <w:lang w:val="fr-CA"/>
        </w:rPr>
        <w:t xml:space="preserve"> mécanisme de financement lors de la séance d’ouverture, qui se déroulera en plénière, </w:t>
      </w:r>
      <w:r w:rsidR="00B06E95" w:rsidRPr="007F7417">
        <w:rPr>
          <w:kern w:val="22"/>
          <w:sz w:val="22"/>
          <w:szCs w:val="22"/>
          <w:lang w:val="fr-CA"/>
        </w:rPr>
        <w:t xml:space="preserve">dans le cadre des </w:t>
      </w:r>
      <w:r w:rsidR="003A37AF" w:rsidRPr="007F7417">
        <w:rPr>
          <w:kern w:val="22"/>
          <w:sz w:val="22"/>
          <w:szCs w:val="22"/>
          <w:lang w:val="fr-CA"/>
        </w:rPr>
        <w:t>allocutions semblables de</w:t>
      </w:r>
      <w:r w:rsidR="00B06E95" w:rsidRPr="007F7417">
        <w:rPr>
          <w:kern w:val="22"/>
          <w:sz w:val="22"/>
          <w:szCs w:val="22"/>
          <w:lang w:val="fr-CA"/>
        </w:rPr>
        <w:t>s</w:t>
      </w:r>
      <w:r w:rsidR="003A37AF" w:rsidRPr="007F7417">
        <w:rPr>
          <w:kern w:val="22"/>
          <w:sz w:val="22"/>
          <w:szCs w:val="22"/>
          <w:lang w:val="fr-CA"/>
        </w:rPr>
        <w:t xml:space="preserve"> secrétariats d</w:t>
      </w:r>
      <w:r w:rsidR="00B06E95" w:rsidRPr="007F7417">
        <w:rPr>
          <w:kern w:val="22"/>
          <w:sz w:val="22"/>
          <w:szCs w:val="22"/>
          <w:lang w:val="fr-CA"/>
        </w:rPr>
        <w:t xml:space="preserve">es </w:t>
      </w:r>
      <w:r w:rsidR="003A37AF" w:rsidRPr="007F7417">
        <w:rPr>
          <w:kern w:val="22"/>
          <w:sz w:val="22"/>
          <w:szCs w:val="22"/>
          <w:lang w:val="fr-CA"/>
        </w:rPr>
        <w:t>autres conventions que dessert le FEM</w:t>
      </w:r>
      <w:r w:rsidR="00834042" w:rsidRPr="007F7417">
        <w:rPr>
          <w:kern w:val="22"/>
          <w:sz w:val="22"/>
          <w:szCs w:val="22"/>
          <w:lang w:val="fr-CA"/>
        </w:rPr>
        <w:t>.</w:t>
      </w:r>
      <w:r w:rsidR="00B97E07" w:rsidRPr="007F7417">
        <w:rPr>
          <w:kern w:val="22"/>
          <w:sz w:val="22"/>
          <w:szCs w:val="22"/>
          <w:lang w:val="fr-CA"/>
        </w:rPr>
        <w:t xml:space="preserve"> </w:t>
      </w:r>
      <w:r w:rsidR="003A37AF" w:rsidRPr="007F7417">
        <w:rPr>
          <w:kern w:val="22"/>
          <w:sz w:val="22"/>
          <w:szCs w:val="22"/>
          <w:lang w:val="fr-CA"/>
        </w:rPr>
        <w:t>Le Secrétariat de la Convention continuera à participer à ce type de consultations. L’Organe subsidiaire pourrait souhaiter offrir une orientation à la Secrétaire exécutive dans sa recommandation à la troisième réunion.</w:t>
      </w:r>
    </w:p>
    <w:p w14:paraId="75B10780" w14:textId="5CEC8809" w:rsidR="00EF77A2" w:rsidRPr="007F7417" w:rsidRDefault="00E373A1" w:rsidP="0011729F">
      <w:pPr>
        <w:pStyle w:val="Titre1"/>
        <w:suppressLineNumbers/>
        <w:tabs>
          <w:tab w:val="clear" w:pos="720"/>
        </w:tabs>
        <w:suppressAutoHyphens/>
        <w:spacing w:before="120" w:line="235" w:lineRule="auto"/>
        <w:ind w:hanging="1"/>
        <w:rPr>
          <w:bCs/>
          <w:kern w:val="22"/>
          <w:sz w:val="22"/>
          <w:szCs w:val="22"/>
          <w:lang w:val="fr-CA"/>
        </w:rPr>
      </w:pPr>
      <w:r w:rsidRPr="007F7417">
        <w:rPr>
          <w:kern w:val="22"/>
          <w:sz w:val="22"/>
          <w:szCs w:val="22"/>
          <w:lang w:val="fr-CA"/>
        </w:rPr>
        <w:t>VI</w:t>
      </w:r>
      <w:r w:rsidR="00A13FAF" w:rsidRPr="007F7417">
        <w:rPr>
          <w:kern w:val="22"/>
          <w:sz w:val="22"/>
          <w:szCs w:val="22"/>
          <w:lang w:val="fr-CA"/>
        </w:rPr>
        <w:t>I</w:t>
      </w:r>
      <w:r w:rsidRPr="007F7417">
        <w:rPr>
          <w:kern w:val="22"/>
          <w:sz w:val="22"/>
          <w:szCs w:val="22"/>
          <w:lang w:val="fr-CA"/>
        </w:rPr>
        <w:t>.</w:t>
      </w:r>
      <w:r w:rsidRPr="007F7417">
        <w:rPr>
          <w:kern w:val="22"/>
          <w:sz w:val="22"/>
          <w:szCs w:val="22"/>
          <w:lang w:val="fr-CA"/>
        </w:rPr>
        <w:tab/>
      </w:r>
      <w:r w:rsidR="0027113A" w:rsidRPr="007F7417">
        <w:rPr>
          <w:kern w:val="22"/>
          <w:sz w:val="22"/>
          <w:szCs w:val="22"/>
          <w:lang w:val="fr-CA"/>
        </w:rPr>
        <w:t>regroupement des orientations au Fonds pour l’environnement mondial</w:t>
      </w:r>
    </w:p>
    <w:p w14:paraId="66DE5464" w14:textId="47948B89" w:rsidR="00B85994" w:rsidRPr="007F7417" w:rsidRDefault="008B20C8" w:rsidP="00516B43">
      <w:pPr>
        <w:pStyle w:val="Para1"/>
        <w:numPr>
          <w:ilvl w:val="0"/>
          <w:numId w:val="13"/>
        </w:numPr>
        <w:suppressLineNumbers/>
        <w:tabs>
          <w:tab w:val="num" w:pos="720"/>
        </w:tabs>
        <w:suppressAutoHyphens/>
        <w:spacing w:before="120"/>
        <w:ind w:left="0" w:firstLine="0"/>
        <w:jc w:val="both"/>
        <w:rPr>
          <w:bCs/>
          <w:kern w:val="22"/>
          <w:sz w:val="22"/>
          <w:szCs w:val="22"/>
          <w:lang w:val="fr-CA"/>
        </w:rPr>
      </w:pPr>
      <w:r>
        <w:rPr>
          <w:kern w:val="22"/>
          <w:sz w:val="22"/>
          <w:szCs w:val="22"/>
          <w:lang w:val="fr-CA"/>
        </w:rPr>
        <w:t>Dans sa décision XIII/</w:t>
      </w:r>
      <w:r w:rsidR="0027113A" w:rsidRPr="007F7417">
        <w:rPr>
          <w:kern w:val="22"/>
          <w:sz w:val="22"/>
          <w:szCs w:val="22"/>
          <w:lang w:val="fr-CA"/>
        </w:rPr>
        <w:t xml:space="preserve">21, la Conférence des Parties a adopté l’orientation globale au mécanisme de financement, y compris le cadre quadriennal des priorités du programme (2018-2022) pour la septième période de reconstitution </w:t>
      </w:r>
      <w:r w:rsidR="0050355B" w:rsidRPr="007F7417">
        <w:rPr>
          <w:kern w:val="22"/>
          <w:sz w:val="22"/>
          <w:szCs w:val="22"/>
          <w:lang w:val="fr-CA"/>
        </w:rPr>
        <w:t xml:space="preserve">des ressources </w:t>
      </w:r>
      <w:r w:rsidR="0027113A" w:rsidRPr="007F7417">
        <w:rPr>
          <w:kern w:val="22"/>
          <w:sz w:val="22"/>
          <w:szCs w:val="22"/>
          <w:lang w:val="fr-CA"/>
        </w:rPr>
        <w:t xml:space="preserve">de la </w:t>
      </w:r>
      <w:r w:rsidR="00960B16" w:rsidRPr="007F7417">
        <w:rPr>
          <w:kern w:val="22"/>
          <w:sz w:val="22"/>
          <w:szCs w:val="22"/>
          <w:lang w:val="fr-CA"/>
        </w:rPr>
        <w:t>Caisse du FEM, joint aux annexes</w:t>
      </w:r>
      <w:r w:rsidR="0027113A" w:rsidRPr="007F7417">
        <w:rPr>
          <w:kern w:val="22"/>
          <w:sz w:val="22"/>
          <w:szCs w:val="22"/>
          <w:lang w:val="fr-CA"/>
        </w:rPr>
        <w:t xml:space="preserve"> I et II de cette décision, et a décidé de retirer</w:t>
      </w:r>
      <w:r w:rsidR="00960B16" w:rsidRPr="007F7417">
        <w:rPr>
          <w:kern w:val="22"/>
          <w:sz w:val="22"/>
          <w:szCs w:val="22"/>
          <w:lang w:val="fr-CA"/>
        </w:rPr>
        <w:t xml:space="preserve"> les décisions et élé</w:t>
      </w:r>
      <w:r w:rsidR="0027113A" w:rsidRPr="007F7417">
        <w:rPr>
          <w:kern w:val="22"/>
          <w:sz w:val="22"/>
          <w:szCs w:val="22"/>
          <w:lang w:val="fr-CA"/>
        </w:rPr>
        <w:t>ments de décisions antérieurs</w:t>
      </w:r>
      <w:r w:rsidR="00960B16" w:rsidRPr="007F7417">
        <w:rPr>
          <w:kern w:val="22"/>
          <w:sz w:val="22"/>
          <w:szCs w:val="22"/>
          <w:lang w:val="fr-CA"/>
        </w:rPr>
        <w:t xml:space="preserve"> sur le mécanisme de financement, en se limitant aux dispositions relatives au mécanisme de financement seulement</w:t>
      </w:r>
      <w:r w:rsidR="00B85994" w:rsidRPr="007F7417">
        <w:rPr>
          <w:kern w:val="22"/>
          <w:sz w:val="22"/>
          <w:szCs w:val="22"/>
          <w:lang w:val="fr-CA"/>
        </w:rPr>
        <w:t>.</w:t>
      </w:r>
    </w:p>
    <w:p w14:paraId="47D2BFF6" w14:textId="71F03A07" w:rsidR="008873A4" w:rsidRPr="007F7417" w:rsidRDefault="00960B16" w:rsidP="00516B43">
      <w:pPr>
        <w:pStyle w:val="Para1"/>
        <w:numPr>
          <w:ilvl w:val="0"/>
          <w:numId w:val="13"/>
        </w:numPr>
        <w:suppressLineNumbers/>
        <w:tabs>
          <w:tab w:val="num" w:pos="720"/>
        </w:tabs>
        <w:suppressAutoHyphens/>
        <w:spacing w:before="120"/>
        <w:ind w:left="0" w:firstLine="0"/>
        <w:jc w:val="both"/>
        <w:rPr>
          <w:bCs/>
          <w:kern w:val="22"/>
          <w:sz w:val="22"/>
          <w:szCs w:val="22"/>
          <w:lang w:val="fr-CA"/>
        </w:rPr>
      </w:pPr>
      <w:r w:rsidRPr="007F7417">
        <w:rPr>
          <w:kern w:val="22"/>
          <w:sz w:val="22"/>
          <w:szCs w:val="22"/>
          <w:lang w:val="fr-CA"/>
        </w:rPr>
        <w:t>L’orientation globale antérieure au mécanisme de financement adoptée à la décision XIII/21 et jointe à l’annexe II à cette décision serait mise à jour en y intégrant les aspects pertinents de l’orientation supplémentaire relative à la Convention et ses Protocoles adoptée dans la même décision et l’</w:t>
      </w:r>
      <w:r w:rsidR="000047A7" w:rsidRPr="007F7417">
        <w:rPr>
          <w:kern w:val="22"/>
          <w:sz w:val="22"/>
          <w:szCs w:val="22"/>
          <w:lang w:val="fr-CA"/>
        </w:rPr>
        <w:t>orientati</w:t>
      </w:r>
      <w:r w:rsidRPr="007F7417">
        <w:rPr>
          <w:kern w:val="22"/>
          <w:sz w:val="22"/>
          <w:szCs w:val="22"/>
          <w:lang w:val="fr-CA"/>
        </w:rPr>
        <w:t>on supplémentaire relative à la C</w:t>
      </w:r>
      <w:r w:rsidR="000047A7" w:rsidRPr="007F7417">
        <w:rPr>
          <w:kern w:val="22"/>
          <w:sz w:val="22"/>
          <w:szCs w:val="22"/>
          <w:lang w:val="fr-CA"/>
        </w:rPr>
        <w:t>onvention et ses Protocoles adop</w:t>
      </w:r>
      <w:r w:rsidRPr="007F7417">
        <w:rPr>
          <w:kern w:val="22"/>
          <w:sz w:val="22"/>
          <w:szCs w:val="22"/>
          <w:lang w:val="fr-CA"/>
        </w:rPr>
        <w:t>tée par la Conférence des Parties à sa quatorzième réunion dans la décision 14/23.</w:t>
      </w:r>
    </w:p>
    <w:p w14:paraId="4681109E" w14:textId="11A50B2E" w:rsidR="00EF77A2" w:rsidRPr="007F7417" w:rsidRDefault="000047A7" w:rsidP="00516B43">
      <w:pPr>
        <w:pStyle w:val="Para1"/>
        <w:numPr>
          <w:ilvl w:val="0"/>
          <w:numId w:val="13"/>
        </w:numPr>
        <w:suppressLineNumbers/>
        <w:tabs>
          <w:tab w:val="num" w:pos="720"/>
        </w:tabs>
        <w:suppressAutoHyphens/>
        <w:spacing w:before="120"/>
        <w:ind w:left="0" w:firstLine="0"/>
        <w:jc w:val="both"/>
        <w:rPr>
          <w:bCs/>
          <w:kern w:val="22"/>
          <w:sz w:val="22"/>
          <w:szCs w:val="22"/>
          <w:lang w:val="fr-CA"/>
        </w:rPr>
      </w:pPr>
      <w:r w:rsidRPr="007F7417">
        <w:rPr>
          <w:kern w:val="22"/>
          <w:sz w:val="22"/>
          <w:szCs w:val="22"/>
          <w:lang w:val="fr-CA"/>
        </w:rPr>
        <w:lastRenderedPageBreak/>
        <w:t>L’orientation globale qu’adoptera la Conférence des Parties à sa quinzième réunion comprendra cette mise à jour, le cadre quadriennal des priorités du programme pour la huitième période de reconstitution, toute orientation supplémentaire adoptée par la Conférence des Parties, ainsi que les recommandations sur l’intégration de l’orientation adoptée par la Conférence des Parties siégeant en tant que réunion des Parties au Protocoles de Cartagena à sa dixième réunion et au Protocole de Nagoya à sa quatrième réunion</w:t>
      </w:r>
      <w:r w:rsidR="0054098C" w:rsidRPr="007F7417">
        <w:rPr>
          <w:kern w:val="22"/>
          <w:sz w:val="22"/>
          <w:szCs w:val="22"/>
          <w:lang w:val="fr-CA"/>
        </w:rPr>
        <w:t>.</w:t>
      </w:r>
    </w:p>
    <w:p w14:paraId="047DD164" w14:textId="6F17A99A" w:rsidR="008971C3" w:rsidRPr="007F7417" w:rsidRDefault="000047A7" w:rsidP="00516B43">
      <w:pPr>
        <w:pStyle w:val="Para1"/>
        <w:numPr>
          <w:ilvl w:val="0"/>
          <w:numId w:val="13"/>
        </w:numPr>
        <w:suppressLineNumbers/>
        <w:tabs>
          <w:tab w:val="num" w:pos="720"/>
        </w:tabs>
        <w:suppressAutoHyphens/>
        <w:spacing w:before="120"/>
        <w:ind w:left="0" w:firstLine="0"/>
        <w:jc w:val="both"/>
        <w:rPr>
          <w:kern w:val="22"/>
          <w:sz w:val="22"/>
          <w:szCs w:val="22"/>
          <w:lang w:val="fr-CA"/>
        </w:rPr>
      </w:pPr>
      <w:r w:rsidRPr="007F7417">
        <w:rPr>
          <w:kern w:val="22"/>
          <w:sz w:val="22"/>
          <w:szCs w:val="22"/>
          <w:lang w:val="fr-CA"/>
        </w:rPr>
        <w:t>Quant à l’</w:t>
      </w:r>
      <w:r w:rsidR="00E32487" w:rsidRPr="007F7417">
        <w:rPr>
          <w:kern w:val="22"/>
          <w:sz w:val="22"/>
          <w:szCs w:val="22"/>
          <w:lang w:val="fr-CA"/>
        </w:rPr>
        <w:t>orientati</w:t>
      </w:r>
      <w:r w:rsidRPr="007F7417">
        <w:rPr>
          <w:kern w:val="22"/>
          <w:sz w:val="22"/>
          <w:szCs w:val="22"/>
          <w:lang w:val="fr-CA"/>
        </w:rPr>
        <w:t>on supplémentaire</w:t>
      </w:r>
      <w:r w:rsidR="00E32487" w:rsidRPr="007F7417">
        <w:rPr>
          <w:kern w:val="22"/>
          <w:sz w:val="22"/>
          <w:szCs w:val="22"/>
          <w:lang w:val="fr-CA"/>
        </w:rPr>
        <w:t xml:space="preserve"> que pour</w:t>
      </w:r>
      <w:r w:rsidR="00FC0FD9">
        <w:rPr>
          <w:kern w:val="22"/>
          <w:sz w:val="22"/>
          <w:szCs w:val="22"/>
          <w:lang w:val="fr-CA"/>
        </w:rPr>
        <w:t>rait fournir la Conférence des P</w:t>
      </w:r>
      <w:r w:rsidR="00E32487" w:rsidRPr="007F7417">
        <w:rPr>
          <w:kern w:val="22"/>
          <w:sz w:val="22"/>
          <w:szCs w:val="22"/>
          <w:lang w:val="fr-CA"/>
        </w:rPr>
        <w:t>arties à sa quinzième réunion, l’Organe subsidiaire chargé de l</w:t>
      </w:r>
      <w:r w:rsidR="007D6D34">
        <w:rPr>
          <w:kern w:val="22"/>
          <w:sz w:val="22"/>
          <w:szCs w:val="22"/>
          <w:lang w:val="fr-CA"/>
        </w:rPr>
        <w:t>’</w:t>
      </w:r>
      <w:r w:rsidR="00E32487" w:rsidRPr="007F7417">
        <w:rPr>
          <w:kern w:val="22"/>
          <w:sz w:val="22"/>
          <w:szCs w:val="22"/>
          <w:lang w:val="fr-CA"/>
        </w:rPr>
        <w:t xml:space="preserve">application pourrait souhaiter examiner une orientation possible sur le soutien </w:t>
      </w:r>
      <w:r w:rsidR="0025165B">
        <w:rPr>
          <w:kern w:val="22"/>
          <w:sz w:val="22"/>
          <w:szCs w:val="22"/>
          <w:lang w:val="fr-CA"/>
        </w:rPr>
        <w:t>pour</w:t>
      </w:r>
      <w:r w:rsidR="00E32487" w:rsidRPr="007F7417">
        <w:rPr>
          <w:kern w:val="22"/>
          <w:sz w:val="22"/>
          <w:szCs w:val="22"/>
          <w:lang w:val="fr-CA"/>
        </w:rPr>
        <w:t xml:space="preserve"> la septième période de reconstitution du FEM </w:t>
      </w:r>
      <w:r w:rsidR="00FC0FD9">
        <w:rPr>
          <w:kern w:val="22"/>
          <w:sz w:val="22"/>
          <w:szCs w:val="22"/>
          <w:lang w:val="fr-CA"/>
        </w:rPr>
        <w:t>qui pourrait être offert</w:t>
      </w:r>
      <w:r w:rsidR="00E32487" w:rsidRPr="007F7417">
        <w:rPr>
          <w:kern w:val="22"/>
          <w:sz w:val="22"/>
          <w:szCs w:val="22"/>
          <w:lang w:val="fr-CA"/>
        </w:rPr>
        <w:t xml:space="preserve"> aux pays en développement Parties lors des premières étapes de la mise en œuvre du cadre mondial de la biodiversité pour l</w:t>
      </w:r>
      <w:r w:rsidR="007D6D34">
        <w:rPr>
          <w:kern w:val="22"/>
          <w:sz w:val="22"/>
          <w:szCs w:val="22"/>
          <w:lang w:val="fr-CA"/>
        </w:rPr>
        <w:t>’</w:t>
      </w:r>
      <w:r w:rsidR="00E32487" w:rsidRPr="007F7417">
        <w:rPr>
          <w:kern w:val="22"/>
          <w:sz w:val="22"/>
          <w:szCs w:val="22"/>
          <w:lang w:val="fr-CA"/>
        </w:rPr>
        <w:t xml:space="preserve">après-2020, par exemple en établissant une correspondance avec leurs stratégies et plans d’action nationaux pour la biodiversité, comme le prévoit la décision XIII/21, et </w:t>
      </w:r>
      <w:r w:rsidR="00FC0FD9">
        <w:rPr>
          <w:kern w:val="22"/>
          <w:sz w:val="22"/>
          <w:szCs w:val="22"/>
          <w:lang w:val="fr-CA"/>
        </w:rPr>
        <w:t xml:space="preserve">en </w:t>
      </w:r>
      <w:r w:rsidR="00E32487" w:rsidRPr="007F7417">
        <w:rPr>
          <w:kern w:val="22"/>
          <w:sz w:val="22"/>
          <w:szCs w:val="22"/>
          <w:lang w:val="fr-CA"/>
        </w:rPr>
        <w:t>préparant des plans financiers nationaux pour la diversité biologique</w:t>
      </w:r>
      <w:r w:rsidR="00FF5660" w:rsidRPr="007F7417">
        <w:rPr>
          <w:kern w:val="22"/>
          <w:sz w:val="22"/>
          <w:szCs w:val="22"/>
          <w:lang w:val="fr-CA"/>
        </w:rPr>
        <w:t>.</w:t>
      </w:r>
    </w:p>
    <w:p w14:paraId="3FCAA099" w14:textId="5D8B5938" w:rsidR="00C023E5" w:rsidRPr="007F7417" w:rsidRDefault="00E32487" w:rsidP="00516B43">
      <w:pPr>
        <w:pStyle w:val="Para1"/>
        <w:numPr>
          <w:ilvl w:val="0"/>
          <w:numId w:val="13"/>
        </w:numPr>
        <w:suppressLineNumbers/>
        <w:tabs>
          <w:tab w:val="num" w:pos="720"/>
        </w:tabs>
        <w:suppressAutoHyphens/>
        <w:spacing w:before="120"/>
        <w:ind w:left="0" w:firstLine="0"/>
        <w:jc w:val="both"/>
        <w:rPr>
          <w:kern w:val="22"/>
          <w:sz w:val="22"/>
          <w:szCs w:val="22"/>
          <w:lang w:val="fr-CA"/>
        </w:rPr>
      </w:pPr>
      <w:r w:rsidRPr="007F7417">
        <w:rPr>
          <w:kern w:val="22"/>
          <w:sz w:val="22"/>
          <w:szCs w:val="22"/>
          <w:lang w:val="fr-CA"/>
        </w:rPr>
        <w:t>Le rapport du Conseil du FEM à la quinzième réunion de la Conférence des Parties peut aussi</w:t>
      </w:r>
      <w:r w:rsidR="00A71D04" w:rsidRPr="007F7417">
        <w:rPr>
          <w:kern w:val="22"/>
          <w:sz w:val="22"/>
          <w:szCs w:val="22"/>
          <w:lang w:val="fr-CA"/>
        </w:rPr>
        <w:t xml:space="preserve"> servir de source d’</w:t>
      </w:r>
      <w:r w:rsidR="0050355B" w:rsidRPr="007F7417">
        <w:rPr>
          <w:kern w:val="22"/>
          <w:sz w:val="22"/>
          <w:szCs w:val="22"/>
          <w:lang w:val="fr-CA"/>
        </w:rPr>
        <w:t>informati</w:t>
      </w:r>
      <w:r w:rsidR="00A71D04" w:rsidRPr="007F7417">
        <w:rPr>
          <w:kern w:val="22"/>
          <w:sz w:val="22"/>
          <w:szCs w:val="22"/>
          <w:lang w:val="fr-CA"/>
        </w:rPr>
        <w:t>on pour une orientation supplémentaire. Par exemple, le rapport préliminaire du Conseil révèle qu’aucun projet de pays n’a</w:t>
      </w:r>
      <w:r w:rsidR="00FC0FD9">
        <w:rPr>
          <w:kern w:val="22"/>
          <w:sz w:val="22"/>
          <w:szCs w:val="22"/>
          <w:lang w:val="fr-CA"/>
        </w:rPr>
        <w:t xml:space="preserve"> été</w:t>
      </w:r>
      <w:r w:rsidR="00A71D04" w:rsidRPr="007F7417">
        <w:rPr>
          <w:kern w:val="22"/>
          <w:sz w:val="22"/>
          <w:szCs w:val="22"/>
          <w:lang w:val="fr-CA"/>
        </w:rPr>
        <w:t xml:space="preserve"> présenté en appui à l’applicati</w:t>
      </w:r>
      <w:r w:rsidR="0050355B" w:rsidRPr="007F7417">
        <w:rPr>
          <w:kern w:val="22"/>
          <w:sz w:val="22"/>
          <w:szCs w:val="22"/>
          <w:lang w:val="fr-CA"/>
        </w:rPr>
        <w:t>on du Protocole de Cartagena su</w:t>
      </w:r>
      <w:r w:rsidR="00A71D04" w:rsidRPr="007F7417">
        <w:rPr>
          <w:kern w:val="22"/>
          <w:sz w:val="22"/>
          <w:szCs w:val="22"/>
          <w:lang w:val="fr-CA"/>
        </w:rPr>
        <w:t>r la prévention des risques biotechnologi</w:t>
      </w:r>
      <w:r w:rsidR="0050355B" w:rsidRPr="007F7417">
        <w:rPr>
          <w:kern w:val="22"/>
          <w:sz w:val="22"/>
          <w:szCs w:val="22"/>
          <w:lang w:val="fr-CA"/>
        </w:rPr>
        <w:t xml:space="preserve">ques, ce qui peut indiquer que </w:t>
      </w:r>
      <w:r w:rsidR="00A71D04" w:rsidRPr="007F7417">
        <w:rPr>
          <w:kern w:val="22"/>
          <w:sz w:val="22"/>
          <w:szCs w:val="22"/>
          <w:lang w:val="fr-CA"/>
        </w:rPr>
        <w:t xml:space="preserve">les Parties font face à des difficultés qui les empêchent de prioriser les projets de prévention des risques biotechnologiques lors de l’établissement de leurs programmes d’allocation nationaux au titre du Système transparent d’allocation des ressources (STAR) dans le cadre de la septième période de reconstitution des ressources de la Caisse du </w:t>
      </w:r>
      <w:r w:rsidR="00FC0FD9">
        <w:rPr>
          <w:kern w:val="22"/>
          <w:sz w:val="22"/>
          <w:szCs w:val="22"/>
          <w:lang w:val="fr-CA"/>
        </w:rPr>
        <w:t>FEM</w:t>
      </w:r>
      <w:r w:rsidR="00A71D04" w:rsidRPr="007F7417">
        <w:rPr>
          <w:kern w:val="22"/>
          <w:sz w:val="22"/>
          <w:szCs w:val="22"/>
          <w:lang w:val="fr-CA"/>
        </w:rPr>
        <w:t xml:space="preserve">. </w:t>
      </w:r>
      <w:r w:rsidR="0050355B" w:rsidRPr="007F7417">
        <w:rPr>
          <w:kern w:val="22"/>
          <w:sz w:val="22"/>
          <w:szCs w:val="22"/>
          <w:lang w:val="fr-CA"/>
        </w:rPr>
        <w:t>L’expérience dans l’utilisation des ressources pour la prévention des risques biotechnologiques acquise dans le cadre d’arrangements de soutien à l’application, tels que l’établissement de rapports nationaux et le mécanisme de centre d’échange sur la prévention des risques biotechnologiques, suggère qu’il conviendrait d’examiner une modalité facilitée pour les activités de prévention des risques biotechnologiques</w:t>
      </w:r>
      <w:r w:rsidR="00C023E5" w:rsidRPr="007F7417">
        <w:rPr>
          <w:kern w:val="22"/>
          <w:sz w:val="22"/>
          <w:szCs w:val="22"/>
          <w:lang w:val="fr-CA"/>
        </w:rPr>
        <w:t>.</w:t>
      </w:r>
    </w:p>
    <w:p w14:paraId="768B782F" w14:textId="1927FC3B" w:rsidR="00662E2A" w:rsidRPr="007F7417" w:rsidRDefault="00E373A1" w:rsidP="0011729F">
      <w:pPr>
        <w:pStyle w:val="Titre1"/>
        <w:suppressLineNumbers/>
        <w:tabs>
          <w:tab w:val="clear" w:pos="720"/>
        </w:tabs>
        <w:suppressAutoHyphens/>
        <w:spacing w:before="120" w:line="235" w:lineRule="auto"/>
        <w:ind w:hanging="1"/>
        <w:rPr>
          <w:kern w:val="22"/>
          <w:sz w:val="22"/>
          <w:szCs w:val="22"/>
          <w:lang w:val="fr-CA"/>
        </w:rPr>
      </w:pPr>
      <w:r w:rsidRPr="007F7417">
        <w:rPr>
          <w:snapToGrid w:val="0"/>
          <w:kern w:val="22"/>
          <w:sz w:val="22"/>
          <w:szCs w:val="22"/>
          <w:lang w:val="fr-CA"/>
        </w:rPr>
        <w:t>VII</w:t>
      </w:r>
      <w:r w:rsidR="00B5313E" w:rsidRPr="007F7417">
        <w:rPr>
          <w:snapToGrid w:val="0"/>
          <w:kern w:val="22"/>
          <w:sz w:val="22"/>
          <w:szCs w:val="22"/>
          <w:lang w:val="fr-CA"/>
        </w:rPr>
        <w:t>.</w:t>
      </w:r>
      <w:r w:rsidR="00B5313E" w:rsidRPr="007F7417">
        <w:rPr>
          <w:snapToGrid w:val="0"/>
          <w:kern w:val="22"/>
          <w:sz w:val="22"/>
          <w:szCs w:val="22"/>
          <w:lang w:val="fr-CA"/>
        </w:rPr>
        <w:tab/>
      </w:r>
      <w:r w:rsidR="006F153E" w:rsidRPr="007F7417">
        <w:rPr>
          <w:kern w:val="22"/>
          <w:sz w:val="22"/>
          <w:szCs w:val="22"/>
          <w:lang w:val="fr-CA"/>
        </w:rPr>
        <w:t>éléments suggérés d’un projet de recommandation</w:t>
      </w:r>
    </w:p>
    <w:p w14:paraId="565CF82D" w14:textId="79D275B3" w:rsidR="002A3542" w:rsidRPr="007F7417" w:rsidRDefault="006F153E" w:rsidP="00516B43">
      <w:pPr>
        <w:pStyle w:val="Para1"/>
        <w:numPr>
          <w:ilvl w:val="0"/>
          <w:numId w:val="13"/>
        </w:numPr>
        <w:suppressLineNumbers/>
        <w:tabs>
          <w:tab w:val="num" w:pos="720"/>
        </w:tabs>
        <w:suppressAutoHyphens/>
        <w:spacing w:before="120"/>
        <w:ind w:left="0" w:firstLine="0"/>
        <w:jc w:val="both"/>
        <w:rPr>
          <w:bCs/>
          <w:kern w:val="22"/>
          <w:sz w:val="22"/>
          <w:szCs w:val="22"/>
          <w:lang w:val="fr-CA"/>
        </w:rPr>
      </w:pPr>
      <w:r w:rsidRPr="007F7417">
        <w:rPr>
          <w:bCs/>
          <w:kern w:val="22"/>
          <w:sz w:val="22"/>
          <w:szCs w:val="22"/>
          <w:lang w:val="fr-CA"/>
        </w:rPr>
        <w:t>Gardant à l’esprit que des éléments supplémentaires d’un projet de décision seront élaborés avant la quinzième réunion de la Conférence des Parties et que les projets de décision pertinents seront préparés pour examen par la Conférence des Parties siégeant en tant que réunion des Parties aux Protocoles, selon les résultats de la troisième réunion de l’Organe subsidiaire chargé de l</w:t>
      </w:r>
      <w:r w:rsidR="007D6D34">
        <w:rPr>
          <w:bCs/>
          <w:kern w:val="22"/>
          <w:sz w:val="22"/>
          <w:szCs w:val="22"/>
          <w:lang w:val="fr-CA"/>
        </w:rPr>
        <w:t>’</w:t>
      </w:r>
      <w:r w:rsidRPr="007F7417">
        <w:rPr>
          <w:bCs/>
          <w:kern w:val="22"/>
          <w:sz w:val="22"/>
          <w:szCs w:val="22"/>
          <w:lang w:val="fr-CA"/>
        </w:rPr>
        <w:t>application, l’Organe subsidiaire pourr</w:t>
      </w:r>
      <w:r w:rsidR="0025165B">
        <w:rPr>
          <w:bCs/>
          <w:kern w:val="22"/>
          <w:sz w:val="22"/>
          <w:szCs w:val="22"/>
          <w:lang w:val="fr-CA"/>
        </w:rPr>
        <w:t>a</w:t>
      </w:r>
      <w:r w:rsidRPr="007F7417">
        <w:rPr>
          <w:bCs/>
          <w:kern w:val="22"/>
          <w:sz w:val="22"/>
          <w:szCs w:val="22"/>
          <w:lang w:val="fr-CA"/>
        </w:rPr>
        <w:t>it souhaiter adopter une recommandation qui ressemble à ce qui suit</w:t>
      </w:r>
      <w:r w:rsidR="007D6D34">
        <w:rPr>
          <w:bCs/>
          <w:kern w:val="22"/>
          <w:sz w:val="22"/>
          <w:szCs w:val="22"/>
          <w:lang w:val="fr-CA"/>
        </w:rPr>
        <w:t> </w:t>
      </w:r>
      <w:r w:rsidR="002A3542" w:rsidRPr="007F7417">
        <w:rPr>
          <w:bCs/>
          <w:kern w:val="22"/>
          <w:sz w:val="22"/>
          <w:szCs w:val="22"/>
          <w:lang w:val="fr-CA"/>
        </w:rPr>
        <w:t>:</w:t>
      </w:r>
    </w:p>
    <w:p w14:paraId="47A9B428" w14:textId="5F33E9F3" w:rsidR="002A3542" w:rsidRPr="007F7417" w:rsidRDefault="006F153E">
      <w:pPr>
        <w:spacing w:before="100" w:beforeAutospacing="1" w:after="100" w:afterAutospacing="1"/>
        <w:ind w:firstLine="720"/>
        <w:rPr>
          <w:kern w:val="22"/>
          <w:sz w:val="22"/>
          <w:szCs w:val="22"/>
          <w:lang w:val="fr-CA" w:eastAsia="zh-CN"/>
        </w:rPr>
      </w:pPr>
      <w:r w:rsidRPr="007F7417">
        <w:rPr>
          <w:i/>
          <w:kern w:val="22"/>
          <w:sz w:val="22"/>
          <w:szCs w:val="22"/>
          <w:lang w:val="fr-CA" w:eastAsia="zh-CN"/>
        </w:rPr>
        <w:t>L’Organe subsidiaire chargé de l</w:t>
      </w:r>
      <w:r w:rsidR="007D6D34">
        <w:rPr>
          <w:i/>
          <w:kern w:val="22"/>
          <w:sz w:val="22"/>
          <w:szCs w:val="22"/>
          <w:lang w:val="fr-CA" w:eastAsia="zh-CN"/>
        </w:rPr>
        <w:t>’</w:t>
      </w:r>
      <w:r w:rsidRPr="007F7417">
        <w:rPr>
          <w:i/>
          <w:kern w:val="22"/>
          <w:sz w:val="22"/>
          <w:szCs w:val="22"/>
          <w:lang w:val="fr-CA" w:eastAsia="zh-CN"/>
        </w:rPr>
        <w:t>application</w:t>
      </w:r>
    </w:p>
    <w:p w14:paraId="41E6234D" w14:textId="65A30536" w:rsidR="00F51783" w:rsidRPr="007F7417" w:rsidRDefault="006F153E" w:rsidP="0011729F">
      <w:pPr>
        <w:pStyle w:val="Para1"/>
        <w:numPr>
          <w:ilvl w:val="0"/>
          <w:numId w:val="17"/>
        </w:numPr>
        <w:suppressLineNumbers/>
        <w:suppressAutoHyphens/>
        <w:spacing w:before="120"/>
        <w:ind w:left="0" w:firstLine="851"/>
        <w:jc w:val="both"/>
        <w:rPr>
          <w:kern w:val="22"/>
          <w:sz w:val="22"/>
          <w:szCs w:val="22"/>
          <w:lang w:val="fr-CA"/>
        </w:rPr>
      </w:pPr>
      <w:r w:rsidRPr="007F7417">
        <w:rPr>
          <w:bCs/>
          <w:i/>
          <w:kern w:val="22"/>
          <w:sz w:val="22"/>
          <w:szCs w:val="22"/>
          <w:lang w:val="fr-CA"/>
        </w:rPr>
        <w:t xml:space="preserve">Prend note </w:t>
      </w:r>
      <w:r w:rsidRPr="007F7417">
        <w:rPr>
          <w:bCs/>
          <w:kern w:val="22"/>
          <w:sz w:val="22"/>
          <w:szCs w:val="22"/>
          <w:lang w:val="fr-CA"/>
        </w:rPr>
        <w:t>avec satisfaction du rapport préliminaire du Conseil du FEM à la quinzième réunion de la Conférence des Parties présenté dans le document</w:t>
      </w:r>
      <w:r w:rsidR="0092638F" w:rsidRPr="007F7417">
        <w:rPr>
          <w:kern w:val="22"/>
          <w:sz w:val="22"/>
          <w:szCs w:val="22"/>
          <w:lang w:val="fr-CA"/>
        </w:rPr>
        <w:t xml:space="preserve"> CBD/SBI/3/6/Add.1</w:t>
      </w:r>
      <w:r w:rsidR="007D6D34">
        <w:rPr>
          <w:kern w:val="22"/>
          <w:sz w:val="22"/>
          <w:szCs w:val="22"/>
          <w:lang w:val="fr-CA"/>
        </w:rPr>
        <w:t> </w:t>
      </w:r>
      <w:r w:rsidR="007355FE" w:rsidRPr="007F7417">
        <w:rPr>
          <w:kern w:val="22"/>
          <w:sz w:val="22"/>
          <w:szCs w:val="22"/>
          <w:lang w:val="fr-CA"/>
        </w:rPr>
        <w:t>;</w:t>
      </w:r>
    </w:p>
    <w:p w14:paraId="1FEDC415" w14:textId="320FC701" w:rsidR="00F179EF" w:rsidRPr="007F7417" w:rsidRDefault="00EC54F9" w:rsidP="0011729F">
      <w:pPr>
        <w:pStyle w:val="Para1"/>
        <w:numPr>
          <w:ilvl w:val="0"/>
          <w:numId w:val="17"/>
        </w:numPr>
        <w:suppressLineNumbers/>
        <w:suppressAutoHyphens/>
        <w:spacing w:before="120"/>
        <w:ind w:left="0" w:firstLine="851"/>
        <w:jc w:val="both"/>
        <w:rPr>
          <w:kern w:val="22"/>
          <w:sz w:val="22"/>
          <w:szCs w:val="22"/>
          <w:lang w:val="fr-CA"/>
        </w:rPr>
      </w:pPr>
      <w:r w:rsidRPr="007F7417">
        <w:rPr>
          <w:bCs/>
          <w:i/>
          <w:kern w:val="22"/>
          <w:sz w:val="22"/>
          <w:szCs w:val="22"/>
          <w:lang w:val="fr-CA"/>
        </w:rPr>
        <w:t xml:space="preserve">Prend note </w:t>
      </w:r>
      <w:r w:rsidRPr="007F7417">
        <w:rPr>
          <w:bCs/>
          <w:kern w:val="22"/>
          <w:sz w:val="22"/>
          <w:szCs w:val="22"/>
          <w:lang w:val="fr-CA"/>
        </w:rPr>
        <w:t>avec satisfaction de l’orientation stratégique préparé</w:t>
      </w:r>
      <w:r w:rsidR="007A14D2">
        <w:rPr>
          <w:bCs/>
          <w:kern w:val="22"/>
          <w:sz w:val="22"/>
          <w:szCs w:val="22"/>
          <w:lang w:val="fr-CA"/>
        </w:rPr>
        <w:t>e</w:t>
      </w:r>
      <w:r w:rsidRPr="007F7417">
        <w:rPr>
          <w:bCs/>
          <w:kern w:val="22"/>
          <w:sz w:val="22"/>
          <w:szCs w:val="22"/>
          <w:lang w:val="fr-CA"/>
        </w:rPr>
        <w:t xml:space="preserve"> par les organes directeurs de la Convention sur la conservation des espèces migratrices appartenant à la faune sauvage, la Convention sur les zones humides d’importance internationale et du Traité sur les ressources phytogénétique</w:t>
      </w:r>
      <w:r w:rsidR="00ED35C3">
        <w:rPr>
          <w:bCs/>
          <w:kern w:val="22"/>
          <w:sz w:val="22"/>
          <w:szCs w:val="22"/>
          <w:lang w:val="fr-CA"/>
        </w:rPr>
        <w:t>s</w:t>
      </w:r>
      <w:r w:rsidRPr="007F7417">
        <w:rPr>
          <w:bCs/>
          <w:kern w:val="22"/>
          <w:sz w:val="22"/>
          <w:szCs w:val="22"/>
          <w:lang w:val="fr-CA"/>
        </w:rPr>
        <w:t xml:space="preserve"> pour l’alimentation et l’agriculture pour examen par la Conférence des Parties</w:t>
      </w:r>
      <w:r w:rsidR="007D6D34">
        <w:rPr>
          <w:bCs/>
          <w:kern w:val="22"/>
          <w:sz w:val="22"/>
          <w:szCs w:val="22"/>
          <w:lang w:val="fr-CA"/>
        </w:rPr>
        <w:t> </w:t>
      </w:r>
      <w:r w:rsidR="00890722" w:rsidRPr="007F7417">
        <w:rPr>
          <w:bCs/>
          <w:kern w:val="22"/>
          <w:sz w:val="22"/>
          <w:szCs w:val="22"/>
          <w:lang w:val="fr-CA"/>
        </w:rPr>
        <w:t>;</w:t>
      </w:r>
    </w:p>
    <w:p w14:paraId="38AE833B" w14:textId="755FD86D" w:rsidR="00F179EF" w:rsidRPr="007F7417" w:rsidRDefault="000064AF" w:rsidP="0011729F">
      <w:pPr>
        <w:pStyle w:val="Para1"/>
        <w:numPr>
          <w:ilvl w:val="0"/>
          <w:numId w:val="17"/>
        </w:numPr>
        <w:suppressLineNumbers/>
        <w:suppressAutoHyphens/>
        <w:spacing w:before="120"/>
        <w:ind w:left="0" w:firstLine="851"/>
        <w:jc w:val="both"/>
        <w:rPr>
          <w:kern w:val="22"/>
          <w:sz w:val="22"/>
          <w:szCs w:val="22"/>
          <w:lang w:val="fr-CA"/>
        </w:rPr>
      </w:pPr>
      <w:r w:rsidRPr="007F7417">
        <w:rPr>
          <w:bCs/>
          <w:i/>
          <w:kern w:val="22"/>
          <w:sz w:val="22"/>
          <w:szCs w:val="22"/>
          <w:lang w:val="fr-CA"/>
        </w:rPr>
        <w:t xml:space="preserve">Prend note </w:t>
      </w:r>
      <w:r w:rsidRPr="007F7417">
        <w:rPr>
          <w:bCs/>
          <w:kern w:val="22"/>
          <w:sz w:val="22"/>
          <w:szCs w:val="22"/>
          <w:lang w:val="fr-CA"/>
        </w:rPr>
        <w:t>avec satisfaction du rapport intérimaire sur l’évaluation complète du financement nécessaire et disponible pour l’application de la Convention et de ses Protocoles pour la huitième période de reconstitution des ressources de la Caisse du FEM (juillet 2022 à juin 2026</w:t>
      </w:r>
      <w:r w:rsidR="00F179EF" w:rsidRPr="007F7417">
        <w:rPr>
          <w:bCs/>
          <w:kern w:val="22"/>
          <w:sz w:val="22"/>
          <w:szCs w:val="22"/>
          <w:lang w:val="fr-CA"/>
        </w:rPr>
        <w:t>)</w:t>
      </w:r>
      <w:r w:rsidR="007D6D34">
        <w:rPr>
          <w:bCs/>
          <w:kern w:val="22"/>
          <w:sz w:val="22"/>
          <w:szCs w:val="22"/>
          <w:lang w:val="fr-CA"/>
        </w:rPr>
        <w:t> </w:t>
      </w:r>
      <w:r w:rsidR="00340C03" w:rsidRPr="007F7417">
        <w:rPr>
          <w:bCs/>
          <w:kern w:val="22"/>
          <w:sz w:val="22"/>
          <w:szCs w:val="22"/>
          <w:lang w:val="fr-CA"/>
        </w:rPr>
        <w:t>;</w:t>
      </w:r>
    </w:p>
    <w:p w14:paraId="61FACB9B" w14:textId="78FEB538" w:rsidR="00335AA1" w:rsidRPr="007F7417" w:rsidRDefault="000064AF" w:rsidP="0011729F">
      <w:pPr>
        <w:pStyle w:val="Para1"/>
        <w:numPr>
          <w:ilvl w:val="0"/>
          <w:numId w:val="17"/>
        </w:numPr>
        <w:suppressLineNumbers/>
        <w:suppressAutoHyphens/>
        <w:spacing w:before="120"/>
        <w:ind w:left="0" w:firstLine="851"/>
        <w:jc w:val="both"/>
        <w:rPr>
          <w:bCs/>
          <w:kern w:val="22"/>
          <w:sz w:val="22"/>
          <w:szCs w:val="22"/>
          <w:lang w:val="fr-CA"/>
        </w:rPr>
      </w:pPr>
      <w:r w:rsidRPr="007F7417">
        <w:rPr>
          <w:bCs/>
          <w:i/>
          <w:kern w:val="22"/>
          <w:sz w:val="22"/>
          <w:szCs w:val="22"/>
          <w:lang w:val="fr-CA"/>
        </w:rPr>
        <w:t>Invite</w:t>
      </w:r>
      <w:r w:rsidRPr="007F7417">
        <w:rPr>
          <w:bCs/>
          <w:kern w:val="22"/>
          <w:sz w:val="22"/>
          <w:szCs w:val="22"/>
          <w:lang w:val="fr-CA"/>
        </w:rPr>
        <w:t xml:space="preserve"> le Conseil </w:t>
      </w:r>
      <w:r w:rsidR="00597D85" w:rsidRPr="007F7417">
        <w:rPr>
          <w:bCs/>
          <w:kern w:val="22"/>
          <w:sz w:val="22"/>
          <w:szCs w:val="22"/>
          <w:lang w:val="fr-CA"/>
        </w:rPr>
        <w:t>du FEM</w:t>
      </w:r>
      <w:r w:rsidRPr="007F7417">
        <w:rPr>
          <w:bCs/>
          <w:kern w:val="22"/>
          <w:sz w:val="22"/>
          <w:szCs w:val="22"/>
          <w:lang w:val="fr-CA"/>
        </w:rPr>
        <w:t xml:space="preserve"> à remettre son rapport final, contenant des mises à jour, selon qu’il convient, afin qu’il puisse être mis à disposition au moins trois mois avant la quinzième réunion de la Conférence des Parties, conformément au p</w:t>
      </w:r>
      <w:r w:rsidR="00597D85" w:rsidRPr="007F7417">
        <w:rPr>
          <w:bCs/>
          <w:kern w:val="22"/>
          <w:sz w:val="22"/>
          <w:szCs w:val="22"/>
          <w:lang w:val="fr-CA"/>
        </w:rPr>
        <w:t>a</w:t>
      </w:r>
      <w:r w:rsidRPr="007F7417">
        <w:rPr>
          <w:bCs/>
          <w:kern w:val="22"/>
          <w:sz w:val="22"/>
          <w:szCs w:val="22"/>
          <w:lang w:val="fr-CA"/>
        </w:rPr>
        <w:t>ragraphe 1 de la décision VII/20</w:t>
      </w:r>
      <w:r w:rsidR="007D6D34">
        <w:rPr>
          <w:bCs/>
          <w:kern w:val="22"/>
          <w:sz w:val="22"/>
          <w:szCs w:val="22"/>
          <w:lang w:val="fr-CA"/>
        </w:rPr>
        <w:t> </w:t>
      </w:r>
      <w:r w:rsidR="007355FE" w:rsidRPr="007F7417">
        <w:rPr>
          <w:bCs/>
          <w:kern w:val="22"/>
          <w:sz w:val="22"/>
          <w:szCs w:val="22"/>
          <w:lang w:val="fr-CA"/>
        </w:rPr>
        <w:t>;</w:t>
      </w:r>
    </w:p>
    <w:p w14:paraId="1FA2123E" w14:textId="5E7B2DA3" w:rsidR="00753B6B" w:rsidRPr="007F7417" w:rsidRDefault="007130A8" w:rsidP="0011729F">
      <w:pPr>
        <w:pStyle w:val="Para1"/>
        <w:numPr>
          <w:ilvl w:val="0"/>
          <w:numId w:val="17"/>
        </w:numPr>
        <w:suppressLineNumbers/>
        <w:suppressAutoHyphens/>
        <w:spacing w:before="120"/>
        <w:ind w:left="0" w:firstLine="851"/>
        <w:jc w:val="both"/>
        <w:rPr>
          <w:bCs/>
          <w:kern w:val="22"/>
          <w:sz w:val="22"/>
          <w:szCs w:val="22"/>
          <w:lang w:val="fr-CA"/>
        </w:rPr>
      </w:pPr>
      <w:r w:rsidRPr="007F7417">
        <w:rPr>
          <w:bCs/>
          <w:i/>
          <w:kern w:val="22"/>
          <w:sz w:val="22"/>
          <w:szCs w:val="22"/>
          <w:lang w:val="fr-CA"/>
        </w:rPr>
        <w:lastRenderedPageBreak/>
        <w:t xml:space="preserve">Préoccupé </w:t>
      </w:r>
      <w:r w:rsidRPr="007F7417">
        <w:rPr>
          <w:bCs/>
          <w:kern w:val="22"/>
          <w:sz w:val="22"/>
          <w:szCs w:val="22"/>
          <w:lang w:val="fr-CA"/>
        </w:rPr>
        <w:t xml:space="preserve">par le faible taux de réponse au questionnaire sur les besoins de financement pour la huitième période de reconstitution des ressources du FEM distribué aux Parties, </w:t>
      </w:r>
      <w:r w:rsidRPr="007F7417">
        <w:rPr>
          <w:bCs/>
          <w:i/>
          <w:kern w:val="22"/>
          <w:sz w:val="22"/>
          <w:szCs w:val="22"/>
          <w:lang w:val="fr-CA"/>
        </w:rPr>
        <w:t>exhorte</w:t>
      </w:r>
      <w:r w:rsidRPr="007F7417">
        <w:rPr>
          <w:bCs/>
          <w:kern w:val="22"/>
          <w:sz w:val="22"/>
          <w:szCs w:val="22"/>
          <w:lang w:val="fr-CA"/>
        </w:rPr>
        <w:t xml:space="preserve"> les Parties concernées à remplir le questionnaire au moins trois mois avant la quinzième réunion de la Conférence des Parties</w:t>
      </w:r>
      <w:r w:rsidR="007D6D34">
        <w:rPr>
          <w:bCs/>
          <w:kern w:val="22"/>
          <w:sz w:val="22"/>
          <w:szCs w:val="22"/>
          <w:lang w:val="fr-CA"/>
        </w:rPr>
        <w:t> </w:t>
      </w:r>
      <w:r w:rsidR="007355FE" w:rsidRPr="007F7417">
        <w:rPr>
          <w:bCs/>
          <w:kern w:val="22"/>
          <w:sz w:val="22"/>
          <w:szCs w:val="22"/>
          <w:lang w:val="fr-CA"/>
        </w:rPr>
        <w:t>;</w:t>
      </w:r>
    </w:p>
    <w:p w14:paraId="656B008B" w14:textId="3692AFA4" w:rsidR="00753B6B" w:rsidRPr="007F7417" w:rsidRDefault="007130A8" w:rsidP="0011729F">
      <w:pPr>
        <w:pStyle w:val="Para1"/>
        <w:numPr>
          <w:ilvl w:val="0"/>
          <w:numId w:val="17"/>
        </w:numPr>
        <w:suppressLineNumbers/>
        <w:suppressAutoHyphens/>
        <w:spacing w:before="120"/>
        <w:ind w:left="0" w:firstLine="851"/>
        <w:jc w:val="both"/>
        <w:rPr>
          <w:bCs/>
          <w:kern w:val="22"/>
          <w:sz w:val="22"/>
          <w:szCs w:val="22"/>
          <w:lang w:val="fr-CA"/>
        </w:rPr>
      </w:pPr>
      <w:r w:rsidRPr="007F7417">
        <w:rPr>
          <w:bCs/>
          <w:i/>
          <w:kern w:val="22"/>
          <w:sz w:val="22"/>
          <w:szCs w:val="22"/>
          <w:lang w:val="fr-CA"/>
        </w:rPr>
        <w:t xml:space="preserve">Prie </w:t>
      </w:r>
      <w:r w:rsidRPr="007F7417">
        <w:rPr>
          <w:bCs/>
          <w:kern w:val="22"/>
          <w:sz w:val="22"/>
          <w:szCs w:val="22"/>
          <w:lang w:val="fr-CA"/>
        </w:rPr>
        <w:t>la Secrétaire exécutive de veiller à ce que le rapport d’évaluation de l’équipe d’expert</w:t>
      </w:r>
      <w:r w:rsidR="007A14D2">
        <w:rPr>
          <w:bCs/>
          <w:kern w:val="22"/>
          <w:sz w:val="22"/>
          <w:szCs w:val="22"/>
          <w:lang w:val="fr-CA"/>
        </w:rPr>
        <w:t>s</w:t>
      </w:r>
      <w:r w:rsidRPr="007F7417">
        <w:rPr>
          <w:bCs/>
          <w:kern w:val="22"/>
          <w:sz w:val="22"/>
          <w:szCs w:val="22"/>
          <w:lang w:val="fr-CA"/>
        </w:rPr>
        <w:t xml:space="preserve"> soit distribué à toutes les Parties un mois avant la quinzième réunion de la Conférence des Parties, conformément à la décision 14/23</w:t>
      </w:r>
      <w:r w:rsidR="007D6D34">
        <w:rPr>
          <w:bCs/>
          <w:kern w:val="22"/>
          <w:sz w:val="22"/>
          <w:szCs w:val="22"/>
          <w:lang w:val="fr-CA"/>
        </w:rPr>
        <w:t> </w:t>
      </w:r>
      <w:r w:rsidR="007355FE" w:rsidRPr="007F7417">
        <w:rPr>
          <w:bCs/>
          <w:kern w:val="22"/>
          <w:sz w:val="22"/>
          <w:szCs w:val="22"/>
          <w:lang w:val="fr-CA"/>
        </w:rPr>
        <w:t>;</w:t>
      </w:r>
    </w:p>
    <w:p w14:paraId="77878CC7" w14:textId="35A0760D" w:rsidR="00D41B3D" w:rsidRPr="007F7417" w:rsidRDefault="007130A8" w:rsidP="0011729F">
      <w:pPr>
        <w:pStyle w:val="Para1"/>
        <w:numPr>
          <w:ilvl w:val="0"/>
          <w:numId w:val="17"/>
        </w:numPr>
        <w:suppressLineNumbers/>
        <w:suppressAutoHyphens/>
        <w:spacing w:before="120"/>
        <w:ind w:left="0" w:firstLine="851"/>
        <w:jc w:val="both"/>
        <w:rPr>
          <w:bCs/>
          <w:kern w:val="22"/>
          <w:sz w:val="22"/>
          <w:szCs w:val="22"/>
          <w:lang w:val="fr-CA"/>
        </w:rPr>
      </w:pPr>
      <w:r w:rsidRPr="007F7417">
        <w:rPr>
          <w:bCs/>
          <w:i/>
          <w:kern w:val="22"/>
          <w:sz w:val="22"/>
          <w:szCs w:val="22"/>
          <w:lang w:val="fr-CA"/>
        </w:rPr>
        <w:t xml:space="preserve">Prie également </w:t>
      </w:r>
      <w:r w:rsidR="00874E89" w:rsidRPr="007F7417">
        <w:rPr>
          <w:bCs/>
          <w:kern w:val="22"/>
          <w:sz w:val="22"/>
          <w:szCs w:val="22"/>
          <w:lang w:val="fr-CA"/>
        </w:rPr>
        <w:t>la Secrétaire exé</w:t>
      </w:r>
      <w:r w:rsidRPr="007F7417">
        <w:rPr>
          <w:bCs/>
          <w:kern w:val="22"/>
          <w:sz w:val="22"/>
          <w:szCs w:val="22"/>
          <w:lang w:val="fr-CA"/>
        </w:rPr>
        <w:t xml:space="preserve">cutive de collaborer avec l’équipe </w:t>
      </w:r>
      <w:r w:rsidR="00874E89" w:rsidRPr="007F7417">
        <w:rPr>
          <w:bCs/>
          <w:kern w:val="22"/>
          <w:sz w:val="22"/>
          <w:szCs w:val="22"/>
          <w:lang w:val="fr-CA"/>
        </w:rPr>
        <w:t>d’experts à mettre au point l</w:t>
      </w:r>
      <w:r w:rsidRPr="007F7417">
        <w:rPr>
          <w:bCs/>
          <w:kern w:val="22"/>
          <w:sz w:val="22"/>
          <w:szCs w:val="22"/>
          <w:lang w:val="fr-CA"/>
        </w:rPr>
        <w:t>’évaluation du financement n</w:t>
      </w:r>
      <w:r w:rsidR="00874E89" w:rsidRPr="007F7417">
        <w:rPr>
          <w:bCs/>
          <w:kern w:val="22"/>
          <w:sz w:val="22"/>
          <w:szCs w:val="22"/>
          <w:lang w:val="fr-CA"/>
        </w:rPr>
        <w:t>é</w:t>
      </w:r>
      <w:r w:rsidRPr="007F7417">
        <w:rPr>
          <w:bCs/>
          <w:kern w:val="22"/>
          <w:sz w:val="22"/>
          <w:szCs w:val="22"/>
          <w:lang w:val="fr-CA"/>
        </w:rPr>
        <w:t>cessaire et disponible pour l’application de la Convention et de ses Protocoles pour la huitième période de reconstitution du FEM</w:t>
      </w:r>
      <w:r w:rsidR="00874E89" w:rsidRPr="007F7417">
        <w:rPr>
          <w:bCs/>
          <w:kern w:val="22"/>
          <w:sz w:val="22"/>
          <w:szCs w:val="22"/>
          <w:lang w:val="fr-CA"/>
        </w:rPr>
        <w:t xml:space="preserve">, en </w:t>
      </w:r>
      <w:r w:rsidR="003B4162" w:rsidRPr="007F7417">
        <w:rPr>
          <w:bCs/>
          <w:kern w:val="22"/>
          <w:sz w:val="22"/>
          <w:szCs w:val="22"/>
          <w:lang w:val="fr-CA"/>
        </w:rPr>
        <w:t>conformité</w:t>
      </w:r>
      <w:r w:rsidR="00874E89" w:rsidRPr="007F7417">
        <w:rPr>
          <w:bCs/>
          <w:kern w:val="22"/>
          <w:sz w:val="22"/>
          <w:szCs w:val="22"/>
          <w:lang w:val="fr-CA"/>
        </w:rPr>
        <w:t xml:space="preserve"> avec le cadre mondial de la biodiversité pour l</w:t>
      </w:r>
      <w:r w:rsidR="007D6D34">
        <w:rPr>
          <w:bCs/>
          <w:kern w:val="22"/>
          <w:sz w:val="22"/>
          <w:szCs w:val="22"/>
          <w:lang w:val="fr-CA"/>
        </w:rPr>
        <w:t>’</w:t>
      </w:r>
      <w:r w:rsidR="00874E89" w:rsidRPr="007F7417">
        <w:rPr>
          <w:bCs/>
          <w:kern w:val="22"/>
          <w:sz w:val="22"/>
          <w:szCs w:val="22"/>
          <w:lang w:val="fr-CA"/>
        </w:rPr>
        <w:t xml:space="preserve">après-2020, selon les trois scénarios proposés dans le document </w:t>
      </w:r>
      <w:r w:rsidR="00D41B3D" w:rsidRPr="007F7417">
        <w:rPr>
          <w:bCs/>
          <w:kern w:val="22"/>
          <w:sz w:val="22"/>
          <w:szCs w:val="22"/>
          <w:lang w:val="fr-CA"/>
        </w:rPr>
        <w:t>CBD/SBI/3/6</w:t>
      </w:r>
      <w:r w:rsidR="00007D03" w:rsidRPr="007F7417">
        <w:rPr>
          <w:bCs/>
          <w:kern w:val="22"/>
          <w:sz w:val="22"/>
          <w:szCs w:val="22"/>
          <w:lang w:val="fr-CA"/>
        </w:rPr>
        <w:t>/Add.2</w:t>
      </w:r>
      <w:r w:rsidR="00B832C8" w:rsidRPr="007F7417">
        <w:rPr>
          <w:bCs/>
          <w:kern w:val="22"/>
          <w:sz w:val="22"/>
          <w:szCs w:val="22"/>
          <w:lang w:val="fr-CA"/>
        </w:rPr>
        <w:t xml:space="preserve">, </w:t>
      </w:r>
      <w:r w:rsidR="00874E89" w:rsidRPr="007F7417">
        <w:rPr>
          <w:bCs/>
          <w:kern w:val="22"/>
          <w:sz w:val="22"/>
          <w:szCs w:val="22"/>
          <w:lang w:val="fr-CA"/>
        </w:rPr>
        <w:t>afin de fournir des informations pour la troisième détermination du financement nécessaire par la Conférence des Parties à sa quinzième réunion, conformément à la décision 14/23</w:t>
      </w:r>
      <w:r w:rsidR="007D6D34">
        <w:rPr>
          <w:bCs/>
          <w:kern w:val="22"/>
          <w:sz w:val="22"/>
          <w:szCs w:val="22"/>
          <w:lang w:val="fr-CA"/>
        </w:rPr>
        <w:t> </w:t>
      </w:r>
      <w:r w:rsidR="000E6D08" w:rsidRPr="007F7417">
        <w:rPr>
          <w:bCs/>
          <w:kern w:val="22"/>
          <w:sz w:val="22"/>
          <w:szCs w:val="22"/>
          <w:lang w:val="fr-CA"/>
        </w:rPr>
        <w:t>;</w:t>
      </w:r>
    </w:p>
    <w:p w14:paraId="0D4C4066" w14:textId="67DD98E0" w:rsidR="00A12259" w:rsidRPr="007F7417" w:rsidRDefault="00874E89" w:rsidP="0011729F">
      <w:pPr>
        <w:pStyle w:val="Para1"/>
        <w:numPr>
          <w:ilvl w:val="0"/>
          <w:numId w:val="17"/>
        </w:numPr>
        <w:suppressLineNumbers/>
        <w:suppressAutoHyphens/>
        <w:spacing w:before="120"/>
        <w:ind w:left="0" w:firstLine="851"/>
        <w:jc w:val="both"/>
        <w:rPr>
          <w:bCs/>
          <w:kern w:val="22"/>
          <w:sz w:val="22"/>
          <w:szCs w:val="22"/>
          <w:lang w:val="fr-CA"/>
        </w:rPr>
      </w:pPr>
      <w:r w:rsidRPr="007F7417">
        <w:rPr>
          <w:bCs/>
          <w:i/>
          <w:kern w:val="22"/>
          <w:sz w:val="22"/>
          <w:szCs w:val="22"/>
          <w:lang w:val="fr-CA"/>
        </w:rPr>
        <w:t xml:space="preserve">Prie en outre </w:t>
      </w:r>
      <w:r w:rsidR="0097177A" w:rsidRPr="007F7417">
        <w:rPr>
          <w:bCs/>
          <w:kern w:val="22"/>
          <w:sz w:val="22"/>
          <w:szCs w:val="22"/>
          <w:lang w:val="fr-CA"/>
        </w:rPr>
        <w:t>la Sec</w:t>
      </w:r>
      <w:r w:rsidRPr="007F7417">
        <w:rPr>
          <w:bCs/>
          <w:kern w:val="22"/>
          <w:sz w:val="22"/>
          <w:szCs w:val="22"/>
          <w:lang w:val="fr-CA"/>
        </w:rPr>
        <w:t>rétaire</w:t>
      </w:r>
      <w:r w:rsidR="0097177A" w:rsidRPr="007F7417">
        <w:rPr>
          <w:bCs/>
          <w:kern w:val="22"/>
          <w:sz w:val="22"/>
          <w:szCs w:val="22"/>
          <w:lang w:val="fr-CA"/>
        </w:rPr>
        <w:t xml:space="preserve"> exécutive de participer aux réunions de la huitième période de reconstitution de la Caisse, de collaborer étroitement avec le Secrétariat du Fonds pour l’environnement mondial à la préparation de leurs documents pertinents et de faire rapport sur les progrès accomplis à la Conférence des Parties à sa quinzième réunion</w:t>
      </w:r>
      <w:r w:rsidR="007D6D34">
        <w:rPr>
          <w:bCs/>
          <w:kern w:val="22"/>
          <w:sz w:val="22"/>
          <w:szCs w:val="22"/>
          <w:lang w:val="fr-CA"/>
        </w:rPr>
        <w:t> </w:t>
      </w:r>
      <w:r w:rsidR="00A12259" w:rsidRPr="007F7417">
        <w:rPr>
          <w:bCs/>
          <w:kern w:val="22"/>
          <w:sz w:val="22"/>
          <w:szCs w:val="22"/>
          <w:lang w:val="fr-CA"/>
        </w:rPr>
        <w:t>;</w:t>
      </w:r>
    </w:p>
    <w:p w14:paraId="003D73D1" w14:textId="104C9D45" w:rsidR="00F654D3" w:rsidRPr="007F7417" w:rsidRDefault="005E5C37" w:rsidP="0011729F">
      <w:pPr>
        <w:pStyle w:val="Para1"/>
        <w:numPr>
          <w:ilvl w:val="0"/>
          <w:numId w:val="17"/>
        </w:numPr>
        <w:suppressLineNumbers/>
        <w:suppressAutoHyphens/>
        <w:spacing w:before="120"/>
        <w:ind w:left="0" w:firstLine="851"/>
        <w:jc w:val="both"/>
        <w:rPr>
          <w:bCs/>
          <w:kern w:val="22"/>
          <w:sz w:val="22"/>
          <w:szCs w:val="22"/>
          <w:lang w:val="fr-CA"/>
        </w:rPr>
      </w:pPr>
      <w:r w:rsidRPr="007F7417">
        <w:rPr>
          <w:bCs/>
          <w:i/>
          <w:kern w:val="22"/>
          <w:sz w:val="22"/>
          <w:szCs w:val="22"/>
          <w:lang w:val="fr-CA"/>
        </w:rPr>
        <w:t>Prie</w:t>
      </w:r>
      <w:r w:rsidRPr="007F7417">
        <w:rPr>
          <w:bCs/>
          <w:kern w:val="22"/>
          <w:sz w:val="22"/>
          <w:szCs w:val="22"/>
          <w:lang w:val="fr-CA"/>
        </w:rPr>
        <w:t xml:space="preserve"> </w:t>
      </w:r>
      <w:r w:rsidR="008A1353" w:rsidRPr="007F7417">
        <w:rPr>
          <w:bCs/>
          <w:kern w:val="22"/>
          <w:sz w:val="22"/>
          <w:szCs w:val="22"/>
          <w:lang w:val="fr-CA"/>
        </w:rPr>
        <w:t>la Secrétaire exécutive de préparer un projet de rapport qua</w:t>
      </w:r>
      <w:r w:rsidR="007D6D34">
        <w:rPr>
          <w:bCs/>
          <w:kern w:val="22"/>
          <w:sz w:val="22"/>
          <w:szCs w:val="22"/>
          <w:lang w:val="fr-CA"/>
        </w:rPr>
        <w:t>d</w:t>
      </w:r>
      <w:r w:rsidR="008A1353" w:rsidRPr="007F7417">
        <w:rPr>
          <w:bCs/>
          <w:kern w:val="22"/>
          <w:sz w:val="22"/>
          <w:szCs w:val="22"/>
          <w:lang w:val="fr-CA"/>
        </w:rPr>
        <w:t>riennal des priorités du programme axé sur les résultats pour la huit</w:t>
      </w:r>
      <w:r w:rsidR="0085428E">
        <w:rPr>
          <w:bCs/>
          <w:kern w:val="22"/>
          <w:sz w:val="22"/>
          <w:szCs w:val="22"/>
          <w:lang w:val="fr-CA"/>
        </w:rPr>
        <w:t>ième période de reconstitution (</w:t>
      </w:r>
      <w:r w:rsidR="008A1353" w:rsidRPr="007F7417">
        <w:rPr>
          <w:bCs/>
          <w:kern w:val="22"/>
          <w:sz w:val="22"/>
          <w:szCs w:val="22"/>
          <w:lang w:val="fr-CA"/>
        </w:rPr>
        <w:t>juillet 2022 à juin 2026) des ressources de la Caisse du Fonds pour l’environnement mondial harmonisé au cadre mondial de la biodiversité pour l</w:t>
      </w:r>
      <w:r w:rsidR="007D6D34">
        <w:rPr>
          <w:bCs/>
          <w:kern w:val="22"/>
          <w:sz w:val="22"/>
          <w:szCs w:val="22"/>
          <w:lang w:val="fr-CA"/>
        </w:rPr>
        <w:t>’</w:t>
      </w:r>
      <w:r w:rsidR="008A1353" w:rsidRPr="007F7417">
        <w:rPr>
          <w:bCs/>
          <w:kern w:val="22"/>
          <w:sz w:val="22"/>
          <w:szCs w:val="22"/>
          <w:lang w:val="fr-CA"/>
        </w:rPr>
        <w:t>après-2020</w:t>
      </w:r>
      <w:r w:rsidR="0085428E">
        <w:rPr>
          <w:bCs/>
          <w:kern w:val="22"/>
          <w:sz w:val="22"/>
          <w:szCs w:val="22"/>
          <w:lang w:val="fr-CA"/>
        </w:rPr>
        <w:t xml:space="preserve"> et comprenant les avis de l’O</w:t>
      </w:r>
      <w:r w:rsidR="008A1353" w:rsidRPr="007F7417">
        <w:rPr>
          <w:bCs/>
          <w:kern w:val="22"/>
          <w:sz w:val="22"/>
          <w:szCs w:val="22"/>
          <w:lang w:val="fr-CA"/>
        </w:rPr>
        <w:t>rgane subsidiaire</w:t>
      </w:r>
      <w:r w:rsidR="001B746A" w:rsidRPr="007F7417">
        <w:rPr>
          <w:bCs/>
          <w:kern w:val="22"/>
          <w:sz w:val="22"/>
          <w:szCs w:val="22"/>
          <w:lang w:val="fr-CA"/>
        </w:rPr>
        <w:t xml:space="preserve"> joints à la présente recommandation</w:t>
      </w:r>
      <w:r w:rsidR="008A1353" w:rsidRPr="007F7417">
        <w:rPr>
          <w:bCs/>
          <w:kern w:val="22"/>
          <w:sz w:val="22"/>
          <w:szCs w:val="22"/>
          <w:lang w:val="fr-CA"/>
        </w:rPr>
        <w:t>, pour examen par la Conférence des Parties à sa quinzième réunion</w:t>
      </w:r>
      <w:r w:rsidR="007D6D34">
        <w:rPr>
          <w:bCs/>
          <w:kern w:val="22"/>
          <w:sz w:val="22"/>
          <w:szCs w:val="22"/>
          <w:lang w:val="fr-CA"/>
        </w:rPr>
        <w:t> </w:t>
      </w:r>
      <w:r w:rsidR="00340C03" w:rsidRPr="007F7417">
        <w:rPr>
          <w:bCs/>
          <w:kern w:val="22"/>
          <w:sz w:val="22"/>
          <w:szCs w:val="22"/>
          <w:lang w:val="fr-CA"/>
        </w:rPr>
        <w:t>;</w:t>
      </w:r>
      <w:r w:rsidR="00EF0056" w:rsidRPr="007F7417">
        <w:rPr>
          <w:bCs/>
          <w:kern w:val="22"/>
          <w:sz w:val="22"/>
          <w:szCs w:val="22"/>
          <w:vertAlign w:val="superscript"/>
          <w:lang w:val="fr-CA"/>
        </w:rPr>
        <w:footnoteReference w:id="9"/>
      </w:r>
    </w:p>
    <w:p w14:paraId="13D0DC0D" w14:textId="0E6EEE67" w:rsidR="00064CD0" w:rsidRPr="007F7417" w:rsidRDefault="001B746A" w:rsidP="0011729F">
      <w:pPr>
        <w:pStyle w:val="Para1"/>
        <w:numPr>
          <w:ilvl w:val="0"/>
          <w:numId w:val="17"/>
        </w:numPr>
        <w:suppressLineNumbers/>
        <w:suppressAutoHyphens/>
        <w:spacing w:before="120"/>
        <w:ind w:left="0" w:firstLine="851"/>
        <w:jc w:val="both"/>
        <w:rPr>
          <w:bCs/>
          <w:kern w:val="22"/>
          <w:sz w:val="22"/>
          <w:szCs w:val="22"/>
          <w:lang w:val="fr-CA"/>
        </w:rPr>
      </w:pPr>
      <w:r w:rsidRPr="007F7417">
        <w:rPr>
          <w:bCs/>
          <w:i/>
          <w:kern w:val="22"/>
          <w:sz w:val="22"/>
          <w:szCs w:val="22"/>
          <w:lang w:val="fr-CA"/>
        </w:rPr>
        <w:t xml:space="preserve">Prie en outre </w:t>
      </w:r>
      <w:r w:rsidRPr="007F7417">
        <w:rPr>
          <w:bCs/>
          <w:kern w:val="22"/>
          <w:sz w:val="22"/>
          <w:szCs w:val="22"/>
          <w:lang w:val="fr-CA"/>
        </w:rPr>
        <w:t>la Secrétaire exécutive de préparer un projet d’orientation globale comprenant les éléments suivants à l’intention du Fonds pour l’environnement mondial, pour examen par la Conférence des Parties à sa quinzième réunion</w:t>
      </w:r>
      <w:r w:rsidR="007D6D34">
        <w:rPr>
          <w:bCs/>
          <w:kern w:val="22"/>
          <w:sz w:val="22"/>
          <w:szCs w:val="22"/>
          <w:lang w:val="fr-CA"/>
        </w:rPr>
        <w:t> </w:t>
      </w:r>
      <w:r w:rsidR="00985C62" w:rsidRPr="007F7417">
        <w:rPr>
          <w:bCs/>
          <w:kern w:val="22"/>
          <w:sz w:val="22"/>
          <w:szCs w:val="22"/>
          <w:lang w:val="fr-CA"/>
        </w:rPr>
        <w:t>:</w:t>
      </w:r>
    </w:p>
    <w:p w14:paraId="5379A78A" w14:textId="50BC8BDB" w:rsidR="00F654D3" w:rsidRPr="007F7417" w:rsidRDefault="001B746A" w:rsidP="001B746A">
      <w:pPr>
        <w:pStyle w:val="Para1"/>
        <w:numPr>
          <w:ilvl w:val="0"/>
          <w:numId w:val="23"/>
        </w:numPr>
        <w:suppressLineNumbers/>
        <w:suppressAutoHyphens/>
        <w:spacing w:before="120"/>
        <w:ind w:left="0" w:firstLine="810"/>
        <w:jc w:val="both"/>
        <w:rPr>
          <w:bCs/>
          <w:kern w:val="22"/>
          <w:sz w:val="22"/>
          <w:szCs w:val="22"/>
          <w:lang w:val="fr-CA"/>
        </w:rPr>
      </w:pPr>
      <w:r w:rsidRPr="007F7417">
        <w:rPr>
          <w:bCs/>
          <w:kern w:val="22"/>
          <w:sz w:val="22"/>
          <w:szCs w:val="22"/>
          <w:lang w:val="fr-CA"/>
        </w:rPr>
        <w:t xml:space="preserve">Le projet de cadre quadriennal des </w:t>
      </w:r>
      <w:r w:rsidR="00752ED8">
        <w:rPr>
          <w:bCs/>
          <w:kern w:val="22"/>
          <w:sz w:val="22"/>
          <w:szCs w:val="22"/>
          <w:lang w:val="fr-CA"/>
        </w:rPr>
        <w:t>priorités</w:t>
      </w:r>
      <w:r w:rsidRPr="007F7417">
        <w:rPr>
          <w:bCs/>
          <w:kern w:val="22"/>
          <w:sz w:val="22"/>
          <w:szCs w:val="22"/>
          <w:lang w:val="fr-CA"/>
        </w:rPr>
        <w:t xml:space="preserve"> du programme axé sur les résultats pour la huitième période de reconstitution, dont il est question au paragraphe 9, ci-dessus</w:t>
      </w:r>
      <w:r w:rsidR="007D6D34">
        <w:rPr>
          <w:bCs/>
          <w:kern w:val="22"/>
          <w:sz w:val="22"/>
          <w:szCs w:val="22"/>
          <w:lang w:val="fr-CA"/>
        </w:rPr>
        <w:t> </w:t>
      </w:r>
      <w:r w:rsidR="00F654D3" w:rsidRPr="007F7417">
        <w:rPr>
          <w:bCs/>
          <w:kern w:val="22"/>
          <w:sz w:val="22"/>
          <w:szCs w:val="22"/>
          <w:lang w:val="fr-CA"/>
        </w:rPr>
        <w:t>;</w:t>
      </w:r>
    </w:p>
    <w:p w14:paraId="28BD1313" w14:textId="6C4E315D" w:rsidR="00F654D3" w:rsidRPr="007F7417" w:rsidRDefault="001B746A" w:rsidP="0011729F">
      <w:pPr>
        <w:pStyle w:val="Para1"/>
        <w:numPr>
          <w:ilvl w:val="0"/>
          <w:numId w:val="23"/>
        </w:numPr>
        <w:suppressLineNumbers/>
        <w:suppressAutoHyphens/>
        <w:spacing w:before="120"/>
        <w:ind w:left="0" w:firstLine="828"/>
        <w:jc w:val="both"/>
        <w:rPr>
          <w:bCs/>
          <w:kern w:val="22"/>
          <w:sz w:val="22"/>
          <w:szCs w:val="22"/>
          <w:lang w:val="fr-CA"/>
        </w:rPr>
      </w:pPr>
      <w:r w:rsidRPr="007F7417">
        <w:rPr>
          <w:bCs/>
          <w:kern w:val="22"/>
          <w:sz w:val="22"/>
          <w:szCs w:val="22"/>
          <w:lang w:val="fr-CA"/>
        </w:rPr>
        <w:t>L’orientation précédente actualisée au Fonds pour l’environnement mondial</w:t>
      </w:r>
      <w:r w:rsidR="007D6D34">
        <w:rPr>
          <w:bCs/>
          <w:kern w:val="22"/>
          <w:sz w:val="22"/>
          <w:szCs w:val="22"/>
          <w:lang w:val="fr-CA"/>
        </w:rPr>
        <w:t> </w:t>
      </w:r>
      <w:r w:rsidR="00F654D3" w:rsidRPr="007F7417">
        <w:rPr>
          <w:bCs/>
          <w:kern w:val="22"/>
          <w:sz w:val="22"/>
          <w:szCs w:val="22"/>
          <w:lang w:val="fr-CA"/>
        </w:rPr>
        <w:t>;</w:t>
      </w:r>
    </w:p>
    <w:p w14:paraId="5F9C4A77" w14:textId="71A1C251" w:rsidR="00F654D3" w:rsidRPr="007F7417" w:rsidRDefault="009119AC" w:rsidP="0011729F">
      <w:pPr>
        <w:pStyle w:val="Para1"/>
        <w:numPr>
          <w:ilvl w:val="0"/>
          <w:numId w:val="23"/>
        </w:numPr>
        <w:suppressLineNumbers/>
        <w:suppressAutoHyphens/>
        <w:spacing w:before="120"/>
        <w:ind w:left="0" w:firstLine="828"/>
        <w:jc w:val="both"/>
        <w:rPr>
          <w:bCs/>
          <w:kern w:val="22"/>
          <w:sz w:val="22"/>
          <w:szCs w:val="22"/>
          <w:lang w:val="fr-CA"/>
        </w:rPr>
      </w:pPr>
      <w:r w:rsidRPr="007F7417">
        <w:rPr>
          <w:bCs/>
          <w:kern w:val="22"/>
          <w:sz w:val="22"/>
          <w:szCs w:val="22"/>
          <w:lang w:val="fr-CA"/>
        </w:rPr>
        <w:t>L’orientation supplémentaire émanant des recommandations de l’Organe subsidiaire et les projets de décisions pertinents de la Conférence des Parties siégeant en tant que réunion des Parties, sur les résultats de la troisième réunion de l’Organe subsidiaire chargé de l</w:t>
      </w:r>
      <w:r w:rsidR="007D6D34">
        <w:rPr>
          <w:bCs/>
          <w:kern w:val="22"/>
          <w:sz w:val="22"/>
          <w:szCs w:val="22"/>
          <w:lang w:val="fr-CA"/>
        </w:rPr>
        <w:t>’</w:t>
      </w:r>
      <w:r w:rsidRPr="007F7417">
        <w:rPr>
          <w:bCs/>
          <w:kern w:val="22"/>
          <w:sz w:val="22"/>
          <w:szCs w:val="22"/>
          <w:lang w:val="fr-CA"/>
        </w:rPr>
        <w:t>application</w:t>
      </w:r>
      <w:r w:rsidR="007D6D34">
        <w:rPr>
          <w:bCs/>
          <w:kern w:val="22"/>
          <w:sz w:val="22"/>
          <w:szCs w:val="22"/>
          <w:lang w:val="fr-CA"/>
        </w:rPr>
        <w:t> </w:t>
      </w:r>
      <w:r w:rsidR="00F654D3" w:rsidRPr="007F7417">
        <w:rPr>
          <w:bCs/>
          <w:kern w:val="22"/>
          <w:sz w:val="22"/>
          <w:szCs w:val="22"/>
          <w:lang w:val="fr-CA"/>
        </w:rPr>
        <w:t>;</w:t>
      </w:r>
    </w:p>
    <w:p w14:paraId="32ABB5FB" w14:textId="6AF32129" w:rsidR="00F654D3" w:rsidRPr="007F7417" w:rsidRDefault="009119AC" w:rsidP="0011729F">
      <w:pPr>
        <w:pStyle w:val="Para1"/>
        <w:numPr>
          <w:ilvl w:val="0"/>
          <w:numId w:val="23"/>
        </w:numPr>
        <w:suppressLineNumbers/>
        <w:suppressAutoHyphens/>
        <w:spacing w:before="120"/>
        <w:ind w:left="0" w:firstLine="828"/>
        <w:jc w:val="both"/>
        <w:rPr>
          <w:bCs/>
          <w:kern w:val="22"/>
          <w:sz w:val="22"/>
          <w:szCs w:val="22"/>
          <w:lang w:val="fr-CA"/>
        </w:rPr>
      </w:pPr>
      <w:r w:rsidRPr="007F7417">
        <w:rPr>
          <w:bCs/>
          <w:kern w:val="22"/>
          <w:sz w:val="22"/>
          <w:szCs w:val="22"/>
          <w:lang w:val="fr-CA"/>
        </w:rPr>
        <w:t>L’</w:t>
      </w:r>
      <w:r w:rsidR="00B346C6" w:rsidRPr="007F7417">
        <w:rPr>
          <w:bCs/>
          <w:kern w:val="22"/>
          <w:sz w:val="22"/>
          <w:szCs w:val="22"/>
          <w:lang w:val="fr-CA"/>
        </w:rPr>
        <w:t>orientati</w:t>
      </w:r>
      <w:r w:rsidRPr="007F7417">
        <w:rPr>
          <w:bCs/>
          <w:kern w:val="22"/>
          <w:sz w:val="22"/>
          <w:szCs w:val="22"/>
          <w:lang w:val="fr-CA"/>
        </w:rPr>
        <w:t>on émanant des projets de décisions de la Conférence des Parties siégeant en tant que réunion des Parties</w:t>
      </w:r>
      <w:r w:rsidR="00DC4689" w:rsidRPr="007F7417">
        <w:rPr>
          <w:bCs/>
          <w:kern w:val="22"/>
          <w:sz w:val="22"/>
          <w:szCs w:val="22"/>
          <w:lang w:val="fr-CA"/>
        </w:rPr>
        <w:t>.</w:t>
      </w:r>
    </w:p>
    <w:p w14:paraId="688915E0" w14:textId="4E1391CF" w:rsidR="002A3542" w:rsidRPr="007F7417" w:rsidRDefault="00B346C6" w:rsidP="0011729F">
      <w:pPr>
        <w:pStyle w:val="Para1"/>
        <w:numPr>
          <w:ilvl w:val="0"/>
          <w:numId w:val="17"/>
        </w:numPr>
        <w:suppressLineNumbers/>
        <w:suppressAutoHyphens/>
        <w:spacing w:before="120"/>
        <w:ind w:left="0" w:firstLine="851"/>
        <w:jc w:val="both"/>
        <w:rPr>
          <w:kern w:val="22"/>
          <w:sz w:val="22"/>
          <w:szCs w:val="22"/>
          <w:lang w:val="fr-CA" w:eastAsia="zh-CN"/>
        </w:rPr>
      </w:pPr>
      <w:r w:rsidRPr="007F7417">
        <w:rPr>
          <w:i/>
          <w:kern w:val="22"/>
          <w:sz w:val="22"/>
          <w:szCs w:val="22"/>
          <w:lang w:val="fr-CA" w:eastAsia="zh-CN"/>
        </w:rPr>
        <w:t xml:space="preserve">Recommande </w:t>
      </w:r>
      <w:r w:rsidRPr="007F7417">
        <w:rPr>
          <w:kern w:val="22"/>
          <w:sz w:val="22"/>
          <w:szCs w:val="22"/>
          <w:lang w:val="fr-CA" w:eastAsia="zh-CN"/>
        </w:rPr>
        <w:t>que la Conférence des Parties, à sa quinzième réunion, adopte une décision qui ressemble à ce qui suit</w:t>
      </w:r>
      <w:r w:rsidR="007D6D34">
        <w:rPr>
          <w:kern w:val="22"/>
          <w:sz w:val="22"/>
          <w:szCs w:val="22"/>
          <w:lang w:val="fr-CA" w:eastAsia="zh-CN"/>
        </w:rPr>
        <w:t> </w:t>
      </w:r>
      <w:r w:rsidR="002A3542" w:rsidRPr="007F7417">
        <w:rPr>
          <w:kern w:val="22"/>
          <w:sz w:val="22"/>
          <w:szCs w:val="22"/>
          <w:lang w:val="fr-CA" w:eastAsia="zh-CN"/>
        </w:rPr>
        <w:t>:</w:t>
      </w:r>
      <w:r w:rsidR="00F2019C" w:rsidRPr="007F7417">
        <w:rPr>
          <w:bCs/>
          <w:kern w:val="22"/>
          <w:sz w:val="22"/>
          <w:szCs w:val="22"/>
          <w:vertAlign w:val="superscript"/>
          <w:lang w:val="fr-CA"/>
        </w:rPr>
        <w:footnoteReference w:id="10"/>
      </w:r>
    </w:p>
    <w:p w14:paraId="412F512A" w14:textId="4DACA3FB" w:rsidR="002A3542" w:rsidRPr="007F7417" w:rsidRDefault="00B346C6" w:rsidP="0011729F">
      <w:pPr>
        <w:spacing w:before="100" w:beforeAutospacing="1" w:after="100" w:afterAutospacing="1"/>
        <w:ind w:left="851" w:firstLine="720"/>
        <w:rPr>
          <w:kern w:val="22"/>
          <w:sz w:val="22"/>
          <w:szCs w:val="22"/>
          <w:lang w:val="fr-CA" w:eastAsia="zh-CN"/>
        </w:rPr>
      </w:pPr>
      <w:r w:rsidRPr="007F7417">
        <w:rPr>
          <w:i/>
          <w:kern w:val="22"/>
          <w:sz w:val="22"/>
          <w:szCs w:val="22"/>
          <w:lang w:val="fr-CA" w:eastAsia="zh-CN"/>
        </w:rPr>
        <w:t>La Conférence des Parties</w:t>
      </w:r>
      <w:r w:rsidR="002A3542" w:rsidRPr="007F7417">
        <w:rPr>
          <w:kern w:val="22"/>
          <w:sz w:val="22"/>
          <w:szCs w:val="22"/>
          <w:lang w:val="fr-CA" w:eastAsia="zh-CN"/>
        </w:rPr>
        <w:t>,</w:t>
      </w:r>
    </w:p>
    <w:p w14:paraId="1E62EB6D" w14:textId="5F95BAF2" w:rsidR="00827968" w:rsidRPr="007F7417" w:rsidRDefault="00B346C6" w:rsidP="0011729F">
      <w:pPr>
        <w:pStyle w:val="Para1"/>
        <w:suppressLineNumbers/>
        <w:suppressAutoHyphens/>
        <w:spacing w:before="120"/>
        <w:ind w:left="851" w:firstLine="567"/>
        <w:jc w:val="both"/>
        <w:rPr>
          <w:bCs/>
          <w:kern w:val="22"/>
          <w:sz w:val="22"/>
          <w:szCs w:val="22"/>
          <w:lang w:val="fr-CA"/>
        </w:rPr>
      </w:pPr>
      <w:r w:rsidRPr="007F7417">
        <w:rPr>
          <w:bCs/>
          <w:i/>
          <w:kern w:val="22"/>
          <w:sz w:val="22"/>
          <w:szCs w:val="22"/>
          <w:lang w:val="fr-CA"/>
        </w:rPr>
        <w:lastRenderedPageBreak/>
        <w:t xml:space="preserve">Rappelant </w:t>
      </w:r>
      <w:r w:rsidRPr="007F7417">
        <w:rPr>
          <w:bCs/>
          <w:kern w:val="22"/>
          <w:sz w:val="22"/>
          <w:szCs w:val="22"/>
          <w:lang w:val="fr-CA"/>
        </w:rPr>
        <w:t>le paragraphe 3 de l’article 21 de la Convention, selon lequel la Conférence des Parties examinera l’efficacité du mécanisme de financement</w:t>
      </w:r>
      <w:r w:rsidR="009421EB" w:rsidRPr="007F7417">
        <w:rPr>
          <w:bCs/>
          <w:kern w:val="22"/>
          <w:sz w:val="22"/>
          <w:szCs w:val="22"/>
          <w:lang w:val="fr-CA"/>
        </w:rPr>
        <w:t>,</w:t>
      </w:r>
    </w:p>
    <w:p w14:paraId="68E4C798" w14:textId="5FCDA06B" w:rsidR="00C213C7" w:rsidRPr="007F7417" w:rsidRDefault="00B346C6" w:rsidP="0011729F">
      <w:pPr>
        <w:pStyle w:val="Para1"/>
        <w:suppressLineNumbers/>
        <w:suppressAutoHyphens/>
        <w:spacing w:before="120"/>
        <w:ind w:left="851" w:firstLine="567"/>
        <w:jc w:val="both"/>
        <w:rPr>
          <w:bCs/>
          <w:i/>
          <w:kern w:val="22"/>
          <w:sz w:val="22"/>
          <w:szCs w:val="22"/>
          <w:lang w:val="fr-CA"/>
        </w:rPr>
      </w:pPr>
      <w:r w:rsidRPr="007F7417">
        <w:rPr>
          <w:bCs/>
          <w:i/>
          <w:kern w:val="22"/>
          <w:sz w:val="22"/>
          <w:szCs w:val="22"/>
          <w:lang w:val="fr-CA"/>
        </w:rPr>
        <w:t xml:space="preserve">Confirmant </w:t>
      </w:r>
      <w:r w:rsidRPr="007F7417">
        <w:rPr>
          <w:bCs/>
          <w:kern w:val="22"/>
          <w:sz w:val="22"/>
          <w:szCs w:val="22"/>
          <w:lang w:val="fr-CA"/>
        </w:rPr>
        <w:t>l’engagemen</w:t>
      </w:r>
      <w:r w:rsidR="00B37DE5" w:rsidRPr="007F7417">
        <w:rPr>
          <w:bCs/>
          <w:kern w:val="22"/>
          <w:sz w:val="22"/>
          <w:szCs w:val="22"/>
          <w:lang w:val="fr-CA"/>
        </w:rPr>
        <w:t xml:space="preserve">t de la Conférence des Parties à </w:t>
      </w:r>
      <w:r w:rsidRPr="007F7417">
        <w:rPr>
          <w:bCs/>
          <w:kern w:val="22"/>
          <w:sz w:val="22"/>
          <w:szCs w:val="22"/>
          <w:lang w:val="fr-CA"/>
        </w:rPr>
        <w:t>examiner périodiquement l’efficacité du mécanisme de financement dans l’applicatio</w:t>
      </w:r>
      <w:r w:rsidR="00B37DE5" w:rsidRPr="007F7417">
        <w:rPr>
          <w:bCs/>
          <w:kern w:val="22"/>
          <w:sz w:val="22"/>
          <w:szCs w:val="22"/>
          <w:lang w:val="fr-CA"/>
        </w:rPr>
        <w:t xml:space="preserve">n de la Convention dans le Mémorandum d’accord </w:t>
      </w:r>
      <w:r w:rsidRPr="007F7417">
        <w:rPr>
          <w:bCs/>
          <w:kern w:val="22"/>
          <w:sz w:val="22"/>
          <w:szCs w:val="22"/>
          <w:lang w:val="fr-CA"/>
        </w:rPr>
        <w:t>avec le Conseil du Fonds pour l’environnement mondial présenté dans la décision III/8</w:t>
      </w:r>
      <w:r w:rsidR="009421EB" w:rsidRPr="007F7417">
        <w:rPr>
          <w:kern w:val="22"/>
          <w:sz w:val="22"/>
          <w:szCs w:val="22"/>
          <w:lang w:val="fr-CA" w:eastAsia="zh-CN"/>
        </w:rPr>
        <w:t>,</w:t>
      </w:r>
    </w:p>
    <w:p w14:paraId="0BC9DB03" w14:textId="6E900A20" w:rsidR="00FE50B6" w:rsidRPr="007F7417" w:rsidRDefault="00B37DE5" w:rsidP="0011729F">
      <w:pPr>
        <w:pStyle w:val="Para1"/>
        <w:suppressLineNumbers/>
        <w:suppressAutoHyphens/>
        <w:spacing w:before="120"/>
        <w:ind w:left="851" w:firstLine="567"/>
        <w:jc w:val="both"/>
        <w:rPr>
          <w:kern w:val="22"/>
          <w:sz w:val="22"/>
          <w:szCs w:val="22"/>
          <w:lang w:val="fr-CA" w:eastAsia="zh-CN"/>
        </w:rPr>
      </w:pPr>
      <w:r w:rsidRPr="007F7417">
        <w:rPr>
          <w:i/>
          <w:kern w:val="22"/>
          <w:sz w:val="22"/>
          <w:szCs w:val="22"/>
          <w:lang w:val="fr-CA" w:eastAsia="zh-CN"/>
        </w:rPr>
        <w:t xml:space="preserve">Confirmant également </w:t>
      </w:r>
      <w:r w:rsidRPr="007F7417">
        <w:rPr>
          <w:kern w:val="22"/>
          <w:sz w:val="22"/>
          <w:szCs w:val="22"/>
          <w:lang w:val="fr-CA" w:eastAsia="zh-CN"/>
        </w:rPr>
        <w:t>le paragraphe 7 de la décision XI/5 sur les arrangements quadriennaux concernant l’examen de l’efficacité du mécanisme de financement</w:t>
      </w:r>
      <w:r w:rsidR="009421EB" w:rsidRPr="007F7417">
        <w:rPr>
          <w:kern w:val="22"/>
          <w:sz w:val="22"/>
          <w:szCs w:val="22"/>
          <w:lang w:val="fr-CA" w:eastAsia="zh-CN"/>
        </w:rPr>
        <w:t>,</w:t>
      </w:r>
    </w:p>
    <w:p w14:paraId="660E2808" w14:textId="26E164FD" w:rsidR="00C213C7" w:rsidRPr="007F7417" w:rsidRDefault="00B37DE5" w:rsidP="0011729F">
      <w:pPr>
        <w:pStyle w:val="Para1"/>
        <w:suppressLineNumbers/>
        <w:suppressAutoHyphens/>
        <w:spacing w:before="120"/>
        <w:ind w:left="851" w:firstLine="567"/>
        <w:jc w:val="both"/>
        <w:rPr>
          <w:kern w:val="22"/>
          <w:sz w:val="22"/>
          <w:szCs w:val="22"/>
          <w:lang w:val="fr-CA" w:eastAsia="zh-CN"/>
        </w:rPr>
      </w:pPr>
      <w:r w:rsidRPr="007F7417">
        <w:rPr>
          <w:i/>
          <w:kern w:val="22"/>
          <w:sz w:val="22"/>
          <w:szCs w:val="22"/>
          <w:lang w:val="fr-CA" w:eastAsia="zh-CN"/>
        </w:rPr>
        <w:t xml:space="preserve">Rappelant </w:t>
      </w:r>
      <w:r w:rsidRPr="007F7417">
        <w:rPr>
          <w:kern w:val="22"/>
          <w:sz w:val="22"/>
          <w:szCs w:val="22"/>
          <w:lang w:val="fr-CA" w:eastAsia="zh-CN"/>
        </w:rPr>
        <w:t xml:space="preserve">le paragraphe 13 de la décision 14/23 </w:t>
      </w:r>
      <w:r w:rsidR="003C23F9" w:rsidRPr="007F7417">
        <w:rPr>
          <w:kern w:val="22"/>
          <w:sz w:val="22"/>
          <w:szCs w:val="22"/>
          <w:lang w:val="fr-CA" w:eastAsia="zh-CN"/>
        </w:rPr>
        <w:t>concernant le mandat du sixième examen de l’efficacité du mécanisme de financement, pour examen par la Conférence des Parties à sa quinzième réunion</w:t>
      </w:r>
      <w:r w:rsidR="007D6D34">
        <w:rPr>
          <w:kern w:val="22"/>
          <w:sz w:val="22"/>
          <w:szCs w:val="22"/>
          <w:lang w:val="fr-CA" w:eastAsia="zh-CN"/>
        </w:rPr>
        <w:t> </w:t>
      </w:r>
      <w:r w:rsidR="00A360C6" w:rsidRPr="007F7417">
        <w:rPr>
          <w:kern w:val="22"/>
          <w:sz w:val="22"/>
          <w:szCs w:val="22"/>
          <w:lang w:val="fr-CA" w:eastAsia="zh-CN"/>
        </w:rPr>
        <w:t>;</w:t>
      </w:r>
    </w:p>
    <w:p w14:paraId="5FD3DDF5" w14:textId="7762660F" w:rsidR="00A360C6" w:rsidRPr="007F7417" w:rsidRDefault="003C23F9" w:rsidP="0011729F">
      <w:pPr>
        <w:pStyle w:val="Para1"/>
        <w:suppressLineNumbers/>
        <w:suppressAutoHyphens/>
        <w:spacing w:before="120"/>
        <w:ind w:left="851" w:firstLine="567"/>
        <w:jc w:val="both"/>
        <w:rPr>
          <w:kern w:val="22"/>
          <w:sz w:val="22"/>
          <w:szCs w:val="22"/>
          <w:lang w:val="fr-CA" w:eastAsia="zh-CN"/>
        </w:rPr>
      </w:pPr>
      <w:r w:rsidRPr="007F7417">
        <w:rPr>
          <w:i/>
          <w:kern w:val="22"/>
          <w:sz w:val="22"/>
          <w:szCs w:val="22"/>
          <w:lang w:val="fr-CA" w:eastAsia="zh-CN"/>
        </w:rPr>
        <w:t xml:space="preserve">Réitérant </w:t>
      </w:r>
      <w:r w:rsidRPr="007F7417">
        <w:rPr>
          <w:kern w:val="22"/>
          <w:sz w:val="22"/>
          <w:szCs w:val="22"/>
          <w:lang w:val="fr-CA" w:eastAsia="zh-CN"/>
        </w:rPr>
        <w:t>l’importance d’examiner l’efficacité du mécanisme de financement dans l’application de la Convention et de ses Protocoles, stratégies et programmes</w:t>
      </w:r>
      <w:r w:rsidR="009421EB" w:rsidRPr="007F7417">
        <w:rPr>
          <w:kern w:val="22"/>
          <w:sz w:val="22"/>
          <w:szCs w:val="22"/>
          <w:lang w:val="fr-CA" w:eastAsia="zh-CN"/>
        </w:rPr>
        <w:t>,</w:t>
      </w:r>
    </w:p>
    <w:p w14:paraId="31321223" w14:textId="5ACFEC7C" w:rsidR="000C5395" w:rsidRPr="007F7417" w:rsidRDefault="009421EB" w:rsidP="0011729F">
      <w:pPr>
        <w:pStyle w:val="Para1"/>
        <w:suppressLineNumbers/>
        <w:suppressAutoHyphens/>
        <w:spacing w:before="120"/>
        <w:ind w:left="720" w:firstLine="698"/>
        <w:jc w:val="both"/>
        <w:rPr>
          <w:kern w:val="22"/>
          <w:sz w:val="22"/>
          <w:szCs w:val="22"/>
          <w:lang w:val="fr-CA" w:eastAsia="zh-CN"/>
        </w:rPr>
      </w:pPr>
      <w:r w:rsidRPr="007F7417">
        <w:rPr>
          <w:iCs/>
          <w:kern w:val="22"/>
          <w:sz w:val="22"/>
          <w:szCs w:val="22"/>
          <w:lang w:val="fr-CA" w:eastAsia="zh-CN"/>
        </w:rPr>
        <w:t>1.</w:t>
      </w:r>
      <w:r w:rsidRPr="007F7417">
        <w:rPr>
          <w:i/>
          <w:kern w:val="22"/>
          <w:sz w:val="22"/>
          <w:szCs w:val="22"/>
          <w:lang w:val="fr-CA" w:eastAsia="zh-CN"/>
        </w:rPr>
        <w:tab/>
      </w:r>
      <w:r w:rsidR="003C23F9" w:rsidRPr="007F7417">
        <w:rPr>
          <w:i/>
          <w:kern w:val="22"/>
          <w:sz w:val="22"/>
          <w:szCs w:val="22"/>
          <w:lang w:val="fr-CA" w:eastAsia="zh-CN"/>
        </w:rPr>
        <w:t xml:space="preserve">Se réjouit </w:t>
      </w:r>
      <w:r w:rsidR="003C23F9" w:rsidRPr="007F7417">
        <w:rPr>
          <w:kern w:val="22"/>
          <w:sz w:val="22"/>
          <w:szCs w:val="22"/>
          <w:lang w:val="fr-CA" w:eastAsia="zh-CN"/>
        </w:rPr>
        <w:t>du rapport du Conseil du Fonds pour l’environnement mondial à la quinzième réunion de la Conférence des Parties présenté dans le document {X}</w:t>
      </w:r>
      <w:r w:rsidR="00CB1322" w:rsidRPr="007F7417">
        <w:rPr>
          <w:kern w:val="22"/>
          <w:sz w:val="22"/>
          <w:szCs w:val="22"/>
          <w:lang w:val="fr-CA"/>
        </w:rPr>
        <w:t>;</w:t>
      </w:r>
    </w:p>
    <w:p w14:paraId="25BEE753" w14:textId="153772B5" w:rsidR="000C5395" w:rsidRPr="007F7417" w:rsidRDefault="000A0AB2" w:rsidP="0011729F">
      <w:pPr>
        <w:pStyle w:val="Para1"/>
        <w:suppressLineNumbers/>
        <w:suppressAutoHyphens/>
        <w:spacing w:before="120"/>
        <w:ind w:left="720" w:firstLine="698"/>
        <w:jc w:val="both"/>
        <w:rPr>
          <w:kern w:val="22"/>
          <w:sz w:val="22"/>
          <w:szCs w:val="22"/>
          <w:lang w:val="fr-CA" w:eastAsia="zh-CN"/>
        </w:rPr>
      </w:pPr>
      <w:r w:rsidRPr="007F7417">
        <w:rPr>
          <w:bCs/>
          <w:iCs/>
          <w:kern w:val="22"/>
          <w:sz w:val="22"/>
          <w:szCs w:val="22"/>
          <w:lang w:val="fr-CA"/>
        </w:rPr>
        <w:t>2.</w:t>
      </w:r>
      <w:r w:rsidRPr="007F7417">
        <w:rPr>
          <w:bCs/>
          <w:i/>
          <w:kern w:val="22"/>
          <w:sz w:val="22"/>
          <w:szCs w:val="22"/>
          <w:lang w:val="fr-CA"/>
        </w:rPr>
        <w:tab/>
      </w:r>
      <w:r w:rsidR="003C23F9" w:rsidRPr="007F7417">
        <w:rPr>
          <w:bCs/>
          <w:i/>
          <w:kern w:val="22"/>
          <w:sz w:val="22"/>
          <w:szCs w:val="22"/>
          <w:lang w:val="fr-CA"/>
        </w:rPr>
        <w:t xml:space="preserve">Prend note </w:t>
      </w:r>
      <w:r w:rsidR="003C23F9" w:rsidRPr="007F7417">
        <w:rPr>
          <w:bCs/>
          <w:kern w:val="22"/>
          <w:sz w:val="22"/>
          <w:szCs w:val="22"/>
          <w:lang w:val="fr-CA"/>
        </w:rPr>
        <w:t xml:space="preserve">de l’évaluation du financement nécessaire et disponible pour l’application de la Convention et de ses Protocoles pour la huitième période de reconstitution </w:t>
      </w:r>
      <w:r w:rsidR="00F57C14" w:rsidRPr="007F7417">
        <w:rPr>
          <w:bCs/>
          <w:kern w:val="22"/>
          <w:sz w:val="22"/>
          <w:szCs w:val="22"/>
          <w:lang w:val="fr-CA"/>
        </w:rPr>
        <w:t xml:space="preserve">du Fonds pour l’environnement mondial, en </w:t>
      </w:r>
      <w:r w:rsidR="003B4162" w:rsidRPr="007F7417">
        <w:rPr>
          <w:bCs/>
          <w:kern w:val="22"/>
          <w:sz w:val="22"/>
          <w:szCs w:val="22"/>
          <w:lang w:val="fr-CA"/>
        </w:rPr>
        <w:t>conformité</w:t>
      </w:r>
      <w:r w:rsidR="00F57C14" w:rsidRPr="007F7417">
        <w:rPr>
          <w:bCs/>
          <w:kern w:val="22"/>
          <w:sz w:val="22"/>
          <w:szCs w:val="22"/>
          <w:lang w:val="fr-CA"/>
        </w:rPr>
        <w:t xml:space="preserve"> avec le cadre mondial de la biodiversité pour l</w:t>
      </w:r>
      <w:r w:rsidR="007D6D34">
        <w:rPr>
          <w:bCs/>
          <w:kern w:val="22"/>
          <w:sz w:val="22"/>
          <w:szCs w:val="22"/>
          <w:lang w:val="fr-CA"/>
        </w:rPr>
        <w:t>’</w:t>
      </w:r>
      <w:r w:rsidR="00F57C14" w:rsidRPr="007F7417">
        <w:rPr>
          <w:bCs/>
          <w:kern w:val="22"/>
          <w:sz w:val="22"/>
          <w:szCs w:val="22"/>
          <w:lang w:val="fr-CA"/>
        </w:rPr>
        <w:t>après-2020 {Y} et le sommaire joint à l’annexe I à la présente décision</w:t>
      </w:r>
      <w:r w:rsidR="007D6D34">
        <w:rPr>
          <w:bCs/>
          <w:kern w:val="22"/>
          <w:sz w:val="22"/>
          <w:szCs w:val="22"/>
          <w:lang w:val="fr-CA"/>
        </w:rPr>
        <w:t> </w:t>
      </w:r>
      <w:r w:rsidR="000C5395" w:rsidRPr="007F7417">
        <w:rPr>
          <w:bCs/>
          <w:kern w:val="22"/>
          <w:sz w:val="22"/>
          <w:szCs w:val="22"/>
          <w:lang w:val="fr-CA"/>
        </w:rPr>
        <w:t>;</w:t>
      </w:r>
      <w:r w:rsidR="000C5395" w:rsidRPr="007F7417">
        <w:rPr>
          <w:rStyle w:val="Appelnotedebasdep"/>
          <w:bCs/>
          <w:kern w:val="22"/>
          <w:szCs w:val="22"/>
          <w:u w:val="none"/>
          <w:vertAlign w:val="superscript"/>
          <w:lang w:val="fr-CA"/>
        </w:rPr>
        <w:footnoteReference w:id="11"/>
      </w:r>
    </w:p>
    <w:p w14:paraId="7CA77E7B" w14:textId="2D0CB2A1" w:rsidR="000C5395" w:rsidRPr="007F7417" w:rsidRDefault="000A0AB2" w:rsidP="0011729F">
      <w:pPr>
        <w:pStyle w:val="Para1"/>
        <w:suppressLineNumbers/>
        <w:suppressAutoHyphens/>
        <w:spacing w:before="120"/>
        <w:ind w:left="720" w:firstLine="698"/>
        <w:jc w:val="both"/>
        <w:rPr>
          <w:kern w:val="22"/>
          <w:sz w:val="22"/>
          <w:szCs w:val="22"/>
          <w:lang w:val="fr-CA" w:eastAsia="zh-CN"/>
        </w:rPr>
      </w:pPr>
      <w:r w:rsidRPr="007F7417">
        <w:rPr>
          <w:bCs/>
          <w:iCs/>
          <w:kern w:val="22"/>
          <w:sz w:val="22"/>
          <w:szCs w:val="22"/>
          <w:lang w:val="fr-CA"/>
        </w:rPr>
        <w:t>3.</w:t>
      </w:r>
      <w:r w:rsidRPr="007F7417">
        <w:rPr>
          <w:bCs/>
          <w:i/>
          <w:kern w:val="22"/>
          <w:sz w:val="22"/>
          <w:szCs w:val="22"/>
          <w:lang w:val="fr-CA"/>
        </w:rPr>
        <w:tab/>
      </w:r>
      <w:r w:rsidR="00F57C14" w:rsidRPr="007F7417">
        <w:rPr>
          <w:bCs/>
          <w:i/>
          <w:kern w:val="22"/>
          <w:sz w:val="22"/>
          <w:szCs w:val="22"/>
          <w:lang w:val="fr-CA"/>
        </w:rPr>
        <w:t xml:space="preserve">Adopte </w:t>
      </w:r>
      <w:r w:rsidR="00F57C14" w:rsidRPr="007F7417">
        <w:rPr>
          <w:bCs/>
          <w:kern w:val="22"/>
          <w:sz w:val="22"/>
          <w:szCs w:val="22"/>
          <w:lang w:val="fr-CA"/>
        </w:rPr>
        <w:t xml:space="preserve">le cadre quadriennal des priorités du programme axé sur les résultats pour la huitième période de reconstitution (juillet 2022 à juin 2026) de la Caisse du Fonds pour l’environnement mondial, en </w:t>
      </w:r>
      <w:r w:rsidR="003B4162" w:rsidRPr="007F7417">
        <w:rPr>
          <w:bCs/>
          <w:kern w:val="22"/>
          <w:sz w:val="22"/>
          <w:szCs w:val="22"/>
          <w:lang w:val="fr-CA"/>
        </w:rPr>
        <w:t>conformité</w:t>
      </w:r>
      <w:r w:rsidR="00F57C14" w:rsidRPr="007F7417">
        <w:rPr>
          <w:bCs/>
          <w:kern w:val="22"/>
          <w:sz w:val="22"/>
          <w:szCs w:val="22"/>
          <w:lang w:val="fr-CA"/>
        </w:rPr>
        <w:t xml:space="preserve"> avec le </w:t>
      </w:r>
      <w:r w:rsidR="00752ED8">
        <w:rPr>
          <w:bCs/>
          <w:kern w:val="22"/>
          <w:sz w:val="22"/>
          <w:szCs w:val="22"/>
          <w:lang w:val="fr-CA"/>
        </w:rPr>
        <w:t>cadre mondial de la biodiversité pour l</w:t>
      </w:r>
      <w:r w:rsidR="007D6D34">
        <w:rPr>
          <w:bCs/>
          <w:kern w:val="22"/>
          <w:sz w:val="22"/>
          <w:szCs w:val="22"/>
          <w:lang w:val="fr-CA"/>
        </w:rPr>
        <w:t>’</w:t>
      </w:r>
      <w:r w:rsidR="00752ED8">
        <w:rPr>
          <w:bCs/>
          <w:kern w:val="22"/>
          <w:sz w:val="22"/>
          <w:szCs w:val="22"/>
          <w:lang w:val="fr-CA"/>
        </w:rPr>
        <w:t xml:space="preserve">après-2020 </w:t>
      </w:r>
      <w:r w:rsidR="00F57C14" w:rsidRPr="007F7417">
        <w:rPr>
          <w:bCs/>
          <w:kern w:val="22"/>
          <w:sz w:val="22"/>
          <w:szCs w:val="22"/>
          <w:lang w:val="fr-CA"/>
        </w:rPr>
        <w:t>joint à l’annexe II à la présente décision</w:t>
      </w:r>
      <w:r w:rsidR="007D6D34">
        <w:rPr>
          <w:bCs/>
          <w:kern w:val="22"/>
          <w:sz w:val="22"/>
          <w:szCs w:val="22"/>
          <w:lang w:val="fr-CA"/>
        </w:rPr>
        <w:t> </w:t>
      </w:r>
      <w:r w:rsidRPr="007F7417">
        <w:rPr>
          <w:bCs/>
          <w:kern w:val="22"/>
          <w:sz w:val="22"/>
          <w:szCs w:val="22"/>
          <w:lang w:val="fr-CA"/>
        </w:rPr>
        <w:t>;</w:t>
      </w:r>
      <w:r w:rsidR="000C5395" w:rsidRPr="007F7417">
        <w:rPr>
          <w:rStyle w:val="Appelnotedebasdep"/>
          <w:bCs/>
          <w:kern w:val="22"/>
          <w:szCs w:val="22"/>
          <w:u w:val="none"/>
          <w:vertAlign w:val="superscript"/>
          <w:lang w:val="fr-CA"/>
        </w:rPr>
        <w:footnoteReference w:id="12"/>
      </w:r>
    </w:p>
    <w:p w14:paraId="24B3D5D9" w14:textId="5B2DA706" w:rsidR="000C5395" w:rsidRPr="007F7417" w:rsidRDefault="000A0AB2" w:rsidP="0011729F">
      <w:pPr>
        <w:pStyle w:val="Para1"/>
        <w:suppressLineNumbers/>
        <w:suppressAutoHyphens/>
        <w:spacing w:before="120"/>
        <w:ind w:left="720" w:firstLine="698"/>
        <w:jc w:val="both"/>
        <w:rPr>
          <w:kern w:val="22"/>
          <w:sz w:val="22"/>
          <w:szCs w:val="22"/>
          <w:lang w:val="fr-CA" w:eastAsia="zh-CN"/>
        </w:rPr>
      </w:pPr>
      <w:r w:rsidRPr="007F7417">
        <w:rPr>
          <w:bCs/>
          <w:iCs/>
          <w:kern w:val="22"/>
          <w:sz w:val="22"/>
          <w:szCs w:val="22"/>
          <w:lang w:val="fr-CA"/>
        </w:rPr>
        <w:t>4.</w:t>
      </w:r>
      <w:r w:rsidRPr="007F7417">
        <w:rPr>
          <w:bCs/>
          <w:i/>
          <w:kern w:val="22"/>
          <w:sz w:val="22"/>
          <w:szCs w:val="22"/>
          <w:lang w:val="fr-CA"/>
        </w:rPr>
        <w:tab/>
      </w:r>
      <w:r w:rsidR="00F57C14" w:rsidRPr="007F7417">
        <w:rPr>
          <w:bCs/>
          <w:i/>
          <w:kern w:val="22"/>
          <w:sz w:val="22"/>
          <w:szCs w:val="22"/>
          <w:lang w:val="fr-CA"/>
        </w:rPr>
        <w:t xml:space="preserve">Adopte également </w:t>
      </w:r>
      <w:r w:rsidR="00F57C14" w:rsidRPr="007F7417">
        <w:rPr>
          <w:bCs/>
          <w:kern w:val="22"/>
          <w:sz w:val="22"/>
          <w:szCs w:val="22"/>
          <w:lang w:val="fr-CA"/>
        </w:rPr>
        <w:t>l’orientation supplémentaire au mécanisme de financement présenté à l’annexe III à la présente décision</w:t>
      </w:r>
      <w:r w:rsidR="007D6D34">
        <w:rPr>
          <w:bCs/>
          <w:kern w:val="22"/>
          <w:sz w:val="22"/>
          <w:szCs w:val="22"/>
          <w:lang w:val="fr-CA"/>
        </w:rPr>
        <w:t> </w:t>
      </w:r>
      <w:r w:rsidRPr="007F7417">
        <w:rPr>
          <w:bCs/>
          <w:kern w:val="22"/>
          <w:sz w:val="22"/>
          <w:szCs w:val="22"/>
          <w:lang w:val="fr-CA"/>
        </w:rPr>
        <w:t>;</w:t>
      </w:r>
      <w:r w:rsidR="000C5395" w:rsidRPr="007F7417">
        <w:rPr>
          <w:rStyle w:val="Appelnotedebasdep"/>
          <w:bCs/>
          <w:kern w:val="22"/>
          <w:szCs w:val="22"/>
          <w:u w:val="none"/>
          <w:vertAlign w:val="superscript"/>
          <w:lang w:val="fr-CA"/>
        </w:rPr>
        <w:footnoteReference w:id="13"/>
      </w:r>
    </w:p>
    <w:p w14:paraId="7859FC99" w14:textId="579DB3C1" w:rsidR="000C5395" w:rsidRPr="007F7417" w:rsidRDefault="000A0AB2" w:rsidP="0011729F">
      <w:pPr>
        <w:pStyle w:val="Para1"/>
        <w:suppressLineNumbers/>
        <w:suppressAutoHyphens/>
        <w:spacing w:before="120"/>
        <w:ind w:left="720" w:firstLine="698"/>
        <w:jc w:val="both"/>
        <w:rPr>
          <w:kern w:val="22"/>
          <w:sz w:val="22"/>
          <w:szCs w:val="22"/>
          <w:lang w:val="fr-CA" w:eastAsia="zh-CN"/>
        </w:rPr>
      </w:pPr>
      <w:r w:rsidRPr="007F7417">
        <w:rPr>
          <w:iCs/>
          <w:kern w:val="22"/>
          <w:sz w:val="22"/>
          <w:szCs w:val="22"/>
          <w:lang w:val="fr-CA" w:eastAsia="zh-CN"/>
        </w:rPr>
        <w:t>5.</w:t>
      </w:r>
      <w:r w:rsidRPr="007F7417">
        <w:rPr>
          <w:i/>
          <w:kern w:val="22"/>
          <w:sz w:val="22"/>
          <w:szCs w:val="22"/>
          <w:lang w:val="fr-CA" w:eastAsia="zh-CN"/>
        </w:rPr>
        <w:tab/>
      </w:r>
      <w:r w:rsidR="00F57C14" w:rsidRPr="007F7417">
        <w:rPr>
          <w:i/>
          <w:kern w:val="22"/>
          <w:sz w:val="22"/>
          <w:szCs w:val="22"/>
          <w:lang w:val="fr-CA" w:eastAsia="zh-CN"/>
        </w:rPr>
        <w:t xml:space="preserve">Adopte </w:t>
      </w:r>
      <w:r w:rsidR="003416B9">
        <w:rPr>
          <w:i/>
          <w:kern w:val="22"/>
          <w:sz w:val="22"/>
          <w:szCs w:val="22"/>
          <w:lang w:val="fr-CA" w:eastAsia="zh-CN"/>
        </w:rPr>
        <w:t>en outre</w:t>
      </w:r>
      <w:r w:rsidR="00F57C14" w:rsidRPr="007F7417">
        <w:rPr>
          <w:i/>
          <w:kern w:val="22"/>
          <w:sz w:val="22"/>
          <w:szCs w:val="22"/>
          <w:lang w:val="fr-CA" w:eastAsia="zh-CN"/>
        </w:rPr>
        <w:t xml:space="preserve"> </w:t>
      </w:r>
      <w:r w:rsidR="00F57C14" w:rsidRPr="007F7417">
        <w:rPr>
          <w:kern w:val="22"/>
          <w:sz w:val="22"/>
          <w:szCs w:val="22"/>
          <w:lang w:val="fr-CA" w:eastAsia="zh-CN"/>
        </w:rPr>
        <w:t xml:space="preserve">le mandat du </w:t>
      </w:r>
      <w:r w:rsidR="00AB7C4D" w:rsidRPr="007F7417">
        <w:rPr>
          <w:kern w:val="22"/>
          <w:sz w:val="22"/>
          <w:szCs w:val="22"/>
          <w:lang w:val="fr-CA" w:eastAsia="zh-CN"/>
        </w:rPr>
        <w:t>sixième</w:t>
      </w:r>
      <w:r w:rsidR="00F57C14" w:rsidRPr="007F7417">
        <w:rPr>
          <w:kern w:val="22"/>
          <w:sz w:val="22"/>
          <w:szCs w:val="22"/>
          <w:lang w:val="fr-CA" w:eastAsia="zh-CN"/>
        </w:rPr>
        <w:t xml:space="preserve"> examen quadriennal de l’efficacité du mécanisme de financement et prie la Secrétaire exécutive </w:t>
      </w:r>
      <w:r w:rsidR="00AB7C4D" w:rsidRPr="007F7417">
        <w:rPr>
          <w:kern w:val="22"/>
          <w:sz w:val="22"/>
          <w:szCs w:val="22"/>
          <w:lang w:val="fr-CA" w:eastAsia="zh-CN"/>
        </w:rPr>
        <w:t>de veiller à ce que le rapport sur le sixième examen quadriennal de l’efficacité du mécanisme de financement soit préparé à temps pour son examen par la seizième réunion de la Conférence des Parties</w:t>
      </w:r>
      <w:r w:rsidRPr="007F7417">
        <w:rPr>
          <w:kern w:val="22"/>
          <w:sz w:val="22"/>
          <w:szCs w:val="22"/>
          <w:lang w:val="fr-CA" w:eastAsia="zh-CN"/>
        </w:rPr>
        <w:t>.</w:t>
      </w:r>
    </w:p>
    <w:p w14:paraId="53F1BF1D" w14:textId="29F67695" w:rsidR="00A55112" w:rsidRPr="007F7417" w:rsidRDefault="0092638F" w:rsidP="003D3020">
      <w:pPr>
        <w:pStyle w:val="Para1"/>
        <w:suppressLineNumbers/>
        <w:suppressAutoHyphens/>
        <w:spacing w:before="120"/>
        <w:jc w:val="center"/>
        <w:rPr>
          <w:i/>
          <w:kern w:val="22"/>
          <w:sz w:val="22"/>
          <w:szCs w:val="22"/>
          <w:lang w:val="fr-CA"/>
        </w:rPr>
      </w:pPr>
      <w:r w:rsidRPr="007F7417">
        <w:rPr>
          <w:i/>
          <w:kern w:val="22"/>
          <w:sz w:val="22"/>
          <w:szCs w:val="22"/>
          <w:lang w:val="fr-CA"/>
        </w:rPr>
        <w:t>Annex</w:t>
      </w:r>
      <w:r w:rsidR="00DD270F" w:rsidRPr="007F7417">
        <w:rPr>
          <w:i/>
          <w:kern w:val="22"/>
          <w:sz w:val="22"/>
          <w:szCs w:val="22"/>
          <w:lang w:val="fr-CA"/>
        </w:rPr>
        <w:t>e</w:t>
      </w:r>
    </w:p>
    <w:p w14:paraId="12410388" w14:textId="02336047" w:rsidR="00901516" w:rsidRPr="007F7417" w:rsidRDefault="00DD270F" w:rsidP="0011729F">
      <w:pPr>
        <w:pStyle w:val="Titre1"/>
        <w:spacing w:before="120"/>
        <w:rPr>
          <w:b w:val="0"/>
          <w:sz w:val="22"/>
          <w:szCs w:val="22"/>
          <w:lang w:val="fr-CA"/>
        </w:rPr>
      </w:pPr>
      <w:r w:rsidRPr="007F7417">
        <w:rPr>
          <w:sz w:val="22"/>
          <w:szCs w:val="22"/>
          <w:lang w:val="fr-CA"/>
        </w:rPr>
        <w:t>MANDAT DU SIXIème examen de l’eff</w:t>
      </w:r>
      <w:r w:rsidR="003416B9">
        <w:rPr>
          <w:sz w:val="22"/>
          <w:szCs w:val="22"/>
          <w:lang w:val="fr-CA"/>
        </w:rPr>
        <w:t>icacité du mécanisme de financEM</w:t>
      </w:r>
      <w:r w:rsidRPr="007F7417">
        <w:rPr>
          <w:sz w:val="22"/>
          <w:szCs w:val="22"/>
          <w:lang w:val="fr-CA"/>
        </w:rPr>
        <w:t>ent</w:t>
      </w:r>
    </w:p>
    <w:p w14:paraId="7EA21EA8" w14:textId="774892E7" w:rsidR="00105712" w:rsidRPr="007F7417" w:rsidRDefault="00DD270F" w:rsidP="00105712">
      <w:pPr>
        <w:pStyle w:val="Para1"/>
        <w:suppressLineNumbers/>
        <w:suppressAutoHyphens/>
        <w:spacing w:before="120"/>
        <w:rPr>
          <w:b/>
          <w:kern w:val="22"/>
          <w:sz w:val="22"/>
          <w:szCs w:val="22"/>
          <w:lang w:val="fr-CA"/>
        </w:rPr>
      </w:pPr>
      <w:r w:rsidRPr="007F7417">
        <w:rPr>
          <w:b/>
          <w:kern w:val="22"/>
          <w:sz w:val="22"/>
          <w:szCs w:val="22"/>
          <w:lang w:val="fr-CA"/>
        </w:rPr>
        <w:t>Objectif</w:t>
      </w:r>
      <w:r w:rsidR="00105712" w:rsidRPr="007F7417">
        <w:rPr>
          <w:b/>
          <w:kern w:val="22"/>
          <w:sz w:val="22"/>
          <w:szCs w:val="22"/>
          <w:lang w:val="fr-CA"/>
        </w:rPr>
        <w:t>s</w:t>
      </w:r>
    </w:p>
    <w:p w14:paraId="658C6276" w14:textId="5F8F7AE4" w:rsidR="00105712" w:rsidRPr="007F7417" w:rsidRDefault="00105712" w:rsidP="0011729F">
      <w:pPr>
        <w:pStyle w:val="Para1"/>
        <w:suppressLineNumbers/>
        <w:suppressAutoHyphens/>
        <w:spacing w:before="120"/>
        <w:jc w:val="both"/>
        <w:rPr>
          <w:kern w:val="22"/>
          <w:sz w:val="22"/>
          <w:szCs w:val="22"/>
          <w:lang w:val="fr-CA"/>
        </w:rPr>
      </w:pPr>
      <w:r w:rsidRPr="007F7417">
        <w:rPr>
          <w:kern w:val="22"/>
          <w:sz w:val="22"/>
          <w:szCs w:val="22"/>
          <w:lang w:val="fr-CA"/>
        </w:rPr>
        <w:lastRenderedPageBreak/>
        <w:t>1.</w:t>
      </w:r>
      <w:r w:rsidR="005846CD" w:rsidRPr="007F7417">
        <w:rPr>
          <w:kern w:val="22"/>
          <w:sz w:val="22"/>
          <w:szCs w:val="22"/>
          <w:lang w:val="fr-CA"/>
        </w:rPr>
        <w:tab/>
      </w:r>
      <w:r w:rsidR="00DE6335" w:rsidRPr="007F7417">
        <w:rPr>
          <w:kern w:val="22"/>
          <w:sz w:val="22"/>
          <w:szCs w:val="22"/>
          <w:lang w:val="fr-CA"/>
        </w:rPr>
        <w:t>Conformément au paragraphe 3 de l’article 21 et se fondant sur l’expérience des cinq derniers examens, la Conférence des Parties entreprendra son sixième examen de l’efficacité du mécanisme de financement à sa seizième réunion et prendra les mesures nécessaires pour améliorer l’efficacité du mécanisme, selon qu’il convient. L’efficacité, dans ce contexte, comprend</w:t>
      </w:r>
      <w:r w:rsidR="007D6D34">
        <w:rPr>
          <w:kern w:val="22"/>
          <w:sz w:val="22"/>
          <w:szCs w:val="22"/>
          <w:lang w:val="fr-CA"/>
        </w:rPr>
        <w:t> </w:t>
      </w:r>
      <w:r w:rsidRPr="007F7417">
        <w:rPr>
          <w:kern w:val="22"/>
          <w:sz w:val="22"/>
          <w:szCs w:val="22"/>
          <w:lang w:val="fr-CA"/>
        </w:rPr>
        <w:t>:</w:t>
      </w:r>
    </w:p>
    <w:p w14:paraId="1D20FEF1" w14:textId="007BFB9F" w:rsidR="00105712" w:rsidRPr="007F7417" w:rsidRDefault="00105712" w:rsidP="0011729F">
      <w:pPr>
        <w:pStyle w:val="Para1"/>
        <w:ind w:firstLine="709"/>
        <w:jc w:val="both"/>
        <w:rPr>
          <w:kern w:val="22"/>
          <w:sz w:val="22"/>
          <w:szCs w:val="22"/>
          <w:lang w:val="fr-CA"/>
        </w:rPr>
      </w:pPr>
      <w:r w:rsidRPr="007F7417">
        <w:rPr>
          <w:kern w:val="22"/>
          <w:sz w:val="22"/>
          <w:szCs w:val="22"/>
          <w:lang w:val="fr-CA"/>
        </w:rPr>
        <w:t>a)</w:t>
      </w:r>
      <w:r w:rsidR="00DE6335" w:rsidRPr="007F7417">
        <w:rPr>
          <w:kern w:val="22"/>
          <w:sz w:val="22"/>
          <w:szCs w:val="22"/>
          <w:lang w:val="fr-CA"/>
        </w:rPr>
        <w:tab/>
        <w:t>La conformité des activités du Fonds pour l’environnement mondial</w:t>
      </w:r>
      <w:r w:rsidR="00F328DC" w:rsidRPr="007F7417">
        <w:rPr>
          <w:kern w:val="22"/>
          <w:sz w:val="22"/>
          <w:szCs w:val="22"/>
          <w:lang w:val="fr-CA"/>
        </w:rPr>
        <w:t>,</w:t>
      </w:r>
      <w:r w:rsidR="00DE6335" w:rsidRPr="007F7417">
        <w:rPr>
          <w:kern w:val="22"/>
          <w:sz w:val="22"/>
          <w:szCs w:val="22"/>
          <w:lang w:val="fr-CA"/>
        </w:rPr>
        <w:t xml:space="preserve"> en tant que structure institutionnelle</w:t>
      </w:r>
      <w:r w:rsidR="00F328DC" w:rsidRPr="007F7417">
        <w:rPr>
          <w:kern w:val="22"/>
          <w:sz w:val="22"/>
          <w:szCs w:val="22"/>
          <w:lang w:val="fr-CA"/>
        </w:rPr>
        <w:t xml:space="preserve"> </w:t>
      </w:r>
      <w:r w:rsidR="00D64920" w:rsidRPr="007F7417">
        <w:rPr>
          <w:kern w:val="22"/>
          <w:sz w:val="22"/>
          <w:szCs w:val="22"/>
          <w:lang w:val="fr-CA"/>
        </w:rPr>
        <w:t>servant de mécanisme de financement</w:t>
      </w:r>
      <w:r w:rsidR="00F328DC" w:rsidRPr="007F7417">
        <w:rPr>
          <w:kern w:val="22"/>
          <w:sz w:val="22"/>
          <w:szCs w:val="22"/>
          <w:lang w:val="fr-CA"/>
        </w:rPr>
        <w:t>, selon l’orientation de la Conférence des Parties</w:t>
      </w:r>
      <w:r w:rsidR="007D6D34">
        <w:rPr>
          <w:kern w:val="22"/>
          <w:sz w:val="22"/>
          <w:szCs w:val="22"/>
          <w:lang w:val="fr-CA"/>
        </w:rPr>
        <w:t> </w:t>
      </w:r>
      <w:r w:rsidRPr="007F7417">
        <w:rPr>
          <w:kern w:val="22"/>
          <w:sz w:val="22"/>
          <w:szCs w:val="22"/>
          <w:lang w:val="fr-CA"/>
        </w:rPr>
        <w:t>;</w:t>
      </w:r>
    </w:p>
    <w:p w14:paraId="15E12125" w14:textId="0F37B46D" w:rsidR="00105712" w:rsidRPr="007F7417" w:rsidRDefault="00105712" w:rsidP="0011729F">
      <w:pPr>
        <w:pStyle w:val="Para1"/>
        <w:ind w:firstLine="709"/>
        <w:jc w:val="both"/>
        <w:rPr>
          <w:kern w:val="22"/>
          <w:sz w:val="22"/>
          <w:szCs w:val="22"/>
          <w:lang w:val="fr-CA"/>
        </w:rPr>
      </w:pPr>
      <w:r w:rsidRPr="007F7417">
        <w:rPr>
          <w:kern w:val="22"/>
          <w:sz w:val="22"/>
          <w:szCs w:val="22"/>
          <w:lang w:val="fr-CA"/>
        </w:rPr>
        <w:t>b)</w:t>
      </w:r>
      <w:r w:rsidR="005846CD" w:rsidRPr="007F7417">
        <w:rPr>
          <w:kern w:val="22"/>
          <w:sz w:val="22"/>
          <w:szCs w:val="22"/>
          <w:lang w:val="fr-CA"/>
        </w:rPr>
        <w:tab/>
      </w:r>
      <w:r w:rsidR="00F328DC" w:rsidRPr="007F7417">
        <w:rPr>
          <w:kern w:val="22"/>
          <w:sz w:val="22"/>
          <w:szCs w:val="22"/>
          <w:lang w:val="fr-CA"/>
        </w:rPr>
        <w:t>L’efficacité de la contribution au développement des politiques générales, stratégies et programmes mondiaux et régionaux pour la biodiversité</w:t>
      </w:r>
      <w:r w:rsidR="007D6D34">
        <w:rPr>
          <w:kern w:val="22"/>
          <w:sz w:val="22"/>
          <w:szCs w:val="22"/>
          <w:lang w:val="fr-CA"/>
        </w:rPr>
        <w:t> </w:t>
      </w:r>
      <w:r w:rsidRPr="007F7417">
        <w:rPr>
          <w:kern w:val="22"/>
          <w:sz w:val="22"/>
          <w:szCs w:val="22"/>
          <w:lang w:val="fr-CA"/>
        </w:rPr>
        <w:t>;</w:t>
      </w:r>
    </w:p>
    <w:p w14:paraId="78C147C1" w14:textId="6BB01EB0" w:rsidR="00105712" w:rsidRPr="007F7417" w:rsidRDefault="00105712" w:rsidP="0011729F">
      <w:pPr>
        <w:pStyle w:val="Para1"/>
        <w:ind w:firstLine="709"/>
        <w:jc w:val="both"/>
        <w:rPr>
          <w:kern w:val="22"/>
          <w:sz w:val="22"/>
          <w:szCs w:val="22"/>
          <w:lang w:val="fr-CA"/>
        </w:rPr>
      </w:pPr>
      <w:r w:rsidRPr="007F7417">
        <w:rPr>
          <w:kern w:val="22"/>
          <w:sz w:val="22"/>
          <w:szCs w:val="22"/>
          <w:lang w:val="fr-CA"/>
        </w:rPr>
        <w:t>c)</w:t>
      </w:r>
      <w:r w:rsidR="005846CD" w:rsidRPr="007F7417">
        <w:rPr>
          <w:kern w:val="22"/>
          <w:sz w:val="22"/>
          <w:szCs w:val="22"/>
          <w:lang w:val="fr-CA"/>
        </w:rPr>
        <w:tab/>
      </w:r>
      <w:r w:rsidR="00F328DC" w:rsidRPr="007F7417">
        <w:rPr>
          <w:kern w:val="22"/>
          <w:sz w:val="22"/>
          <w:szCs w:val="22"/>
          <w:lang w:val="fr-CA"/>
        </w:rPr>
        <w:t>L’efficacité à mobiliser des ressources financières de toutes les sources afin d’appuyer la mise en œuvre de la Convention et des Protocoles dans les pays</w:t>
      </w:r>
      <w:r w:rsidR="007D6D34">
        <w:rPr>
          <w:kern w:val="22"/>
          <w:sz w:val="22"/>
          <w:szCs w:val="22"/>
          <w:lang w:val="fr-CA"/>
        </w:rPr>
        <w:t> </w:t>
      </w:r>
      <w:r w:rsidRPr="007F7417">
        <w:rPr>
          <w:kern w:val="22"/>
          <w:sz w:val="22"/>
          <w:szCs w:val="22"/>
          <w:lang w:val="fr-CA"/>
        </w:rPr>
        <w:t>;</w:t>
      </w:r>
    </w:p>
    <w:p w14:paraId="29EAA39C" w14:textId="5E96423E" w:rsidR="00105712" w:rsidRPr="007F7417" w:rsidRDefault="00105712" w:rsidP="0011729F">
      <w:pPr>
        <w:pStyle w:val="Para1"/>
        <w:ind w:firstLine="709"/>
        <w:jc w:val="both"/>
        <w:rPr>
          <w:kern w:val="22"/>
          <w:sz w:val="22"/>
          <w:szCs w:val="22"/>
          <w:lang w:val="fr-CA"/>
        </w:rPr>
      </w:pPr>
      <w:r w:rsidRPr="007F7417">
        <w:rPr>
          <w:kern w:val="22"/>
          <w:sz w:val="22"/>
          <w:szCs w:val="22"/>
          <w:lang w:val="fr-CA"/>
        </w:rPr>
        <w:t>d)</w:t>
      </w:r>
      <w:r w:rsidR="005846CD" w:rsidRPr="007F7417">
        <w:rPr>
          <w:kern w:val="22"/>
          <w:sz w:val="22"/>
          <w:szCs w:val="22"/>
          <w:lang w:val="fr-CA"/>
        </w:rPr>
        <w:tab/>
      </w:r>
      <w:r w:rsidR="00F328DC" w:rsidRPr="007F7417">
        <w:rPr>
          <w:kern w:val="22"/>
          <w:sz w:val="22"/>
          <w:szCs w:val="22"/>
          <w:lang w:val="fr-CA"/>
        </w:rPr>
        <w:t>L’efficacité à catalyser et à améliorer les mesures nationales d’</w:t>
      </w:r>
      <w:r w:rsidR="00131C65" w:rsidRPr="007F7417">
        <w:rPr>
          <w:kern w:val="22"/>
          <w:sz w:val="22"/>
          <w:szCs w:val="22"/>
          <w:lang w:val="fr-CA"/>
        </w:rPr>
        <w:t>application afin de réal</w:t>
      </w:r>
      <w:r w:rsidR="00F328DC" w:rsidRPr="007F7417">
        <w:rPr>
          <w:kern w:val="22"/>
          <w:sz w:val="22"/>
          <w:szCs w:val="22"/>
          <w:lang w:val="fr-CA"/>
        </w:rPr>
        <w:t>iser les</w:t>
      </w:r>
      <w:r w:rsidR="00131C65" w:rsidRPr="007F7417">
        <w:rPr>
          <w:kern w:val="22"/>
          <w:sz w:val="22"/>
          <w:szCs w:val="22"/>
          <w:lang w:val="fr-CA"/>
        </w:rPr>
        <w:t xml:space="preserve"> objectifs et buts mondi</w:t>
      </w:r>
      <w:r w:rsidR="00F328DC" w:rsidRPr="007F7417">
        <w:rPr>
          <w:kern w:val="22"/>
          <w:sz w:val="22"/>
          <w:szCs w:val="22"/>
          <w:lang w:val="fr-CA"/>
        </w:rPr>
        <w:t>aux pour la diversité biologique, y compris ceux liés aux Protocoles</w:t>
      </w:r>
      <w:r w:rsidR="007D6D34">
        <w:rPr>
          <w:kern w:val="22"/>
          <w:sz w:val="22"/>
          <w:szCs w:val="22"/>
          <w:lang w:val="fr-CA"/>
        </w:rPr>
        <w:t> </w:t>
      </w:r>
      <w:r w:rsidRPr="007F7417">
        <w:rPr>
          <w:kern w:val="22"/>
          <w:sz w:val="22"/>
          <w:szCs w:val="22"/>
          <w:lang w:val="fr-CA"/>
        </w:rPr>
        <w:t>;</w:t>
      </w:r>
    </w:p>
    <w:p w14:paraId="2993721D" w14:textId="2E2B90B2" w:rsidR="00105712" w:rsidRPr="007F7417" w:rsidRDefault="00105712" w:rsidP="0011729F">
      <w:pPr>
        <w:pStyle w:val="Para1"/>
        <w:ind w:firstLine="709"/>
        <w:jc w:val="both"/>
        <w:rPr>
          <w:kern w:val="22"/>
          <w:sz w:val="22"/>
          <w:szCs w:val="22"/>
          <w:lang w:val="fr-CA"/>
        </w:rPr>
      </w:pPr>
      <w:r w:rsidRPr="007F7417">
        <w:rPr>
          <w:kern w:val="22"/>
          <w:sz w:val="22"/>
          <w:szCs w:val="22"/>
          <w:lang w:val="fr-CA"/>
        </w:rPr>
        <w:t>e)</w:t>
      </w:r>
      <w:r w:rsidR="005846CD" w:rsidRPr="007F7417">
        <w:rPr>
          <w:kern w:val="22"/>
          <w:sz w:val="22"/>
          <w:szCs w:val="22"/>
          <w:lang w:val="fr-CA"/>
        </w:rPr>
        <w:tab/>
      </w:r>
      <w:r w:rsidR="00131C65" w:rsidRPr="007F7417">
        <w:rPr>
          <w:kern w:val="22"/>
          <w:sz w:val="22"/>
          <w:szCs w:val="22"/>
          <w:lang w:val="fr-CA"/>
        </w:rPr>
        <w:t>L’efficacité à jouer un rôle majeur dans le financement international de la diversité biologique</w:t>
      </w:r>
      <w:r w:rsidR="007D6D34">
        <w:rPr>
          <w:kern w:val="22"/>
          <w:sz w:val="22"/>
          <w:szCs w:val="22"/>
          <w:lang w:val="fr-CA"/>
        </w:rPr>
        <w:t> </w:t>
      </w:r>
      <w:r w:rsidRPr="007F7417">
        <w:rPr>
          <w:kern w:val="22"/>
          <w:sz w:val="22"/>
          <w:szCs w:val="22"/>
          <w:lang w:val="fr-CA"/>
        </w:rPr>
        <w:t>;</w:t>
      </w:r>
    </w:p>
    <w:p w14:paraId="1995C654" w14:textId="585AD9A6" w:rsidR="00105712" w:rsidRPr="007F7417" w:rsidRDefault="00105712" w:rsidP="0011729F">
      <w:pPr>
        <w:pStyle w:val="Para1"/>
        <w:suppressLineNumbers/>
        <w:suppressAutoHyphens/>
        <w:spacing w:before="120"/>
        <w:ind w:firstLine="709"/>
        <w:jc w:val="both"/>
        <w:rPr>
          <w:kern w:val="22"/>
          <w:sz w:val="22"/>
          <w:szCs w:val="22"/>
          <w:lang w:val="fr-CA"/>
        </w:rPr>
      </w:pPr>
      <w:r w:rsidRPr="007F7417">
        <w:rPr>
          <w:kern w:val="22"/>
          <w:sz w:val="22"/>
          <w:szCs w:val="22"/>
          <w:lang w:val="fr-CA"/>
        </w:rPr>
        <w:t>f)</w:t>
      </w:r>
      <w:r w:rsidR="005846CD" w:rsidRPr="007F7417">
        <w:rPr>
          <w:kern w:val="22"/>
          <w:sz w:val="22"/>
          <w:szCs w:val="22"/>
          <w:lang w:val="fr-CA"/>
        </w:rPr>
        <w:tab/>
      </w:r>
      <w:r w:rsidR="00131C65" w:rsidRPr="007F7417">
        <w:rPr>
          <w:kern w:val="22"/>
          <w:sz w:val="22"/>
          <w:szCs w:val="22"/>
          <w:lang w:val="fr-CA"/>
        </w:rPr>
        <w:t>L’efficacité à soutenir l’application des objectifs de développement durable pertinents, y compris tous les accords multilatéraux sur l’environnement pertinents qui contribuent à la réalisation des objectifs de la Convention et de ses Protocoles</w:t>
      </w:r>
      <w:r w:rsidR="007D6D34">
        <w:rPr>
          <w:kern w:val="22"/>
          <w:sz w:val="22"/>
          <w:szCs w:val="22"/>
          <w:lang w:val="fr-CA"/>
        </w:rPr>
        <w:t> </w:t>
      </w:r>
      <w:r w:rsidR="004642C7" w:rsidRPr="007F7417">
        <w:rPr>
          <w:kern w:val="22"/>
          <w:sz w:val="22"/>
          <w:szCs w:val="22"/>
          <w:lang w:val="fr-CA"/>
        </w:rPr>
        <w:t>;</w:t>
      </w:r>
    </w:p>
    <w:p w14:paraId="06AA0FB0" w14:textId="0627D629" w:rsidR="004642C7" w:rsidRPr="007F7417" w:rsidRDefault="004642C7" w:rsidP="0011729F">
      <w:pPr>
        <w:pStyle w:val="Para1"/>
        <w:suppressLineNumbers/>
        <w:suppressAutoHyphens/>
        <w:spacing w:before="120"/>
        <w:ind w:firstLine="709"/>
        <w:jc w:val="both"/>
        <w:rPr>
          <w:kern w:val="22"/>
          <w:sz w:val="22"/>
          <w:szCs w:val="22"/>
          <w:lang w:val="fr-CA"/>
        </w:rPr>
      </w:pPr>
      <w:r w:rsidRPr="007F7417">
        <w:rPr>
          <w:kern w:val="22"/>
          <w:sz w:val="22"/>
          <w:szCs w:val="22"/>
          <w:lang w:val="fr-CA"/>
        </w:rPr>
        <w:t>g)</w:t>
      </w:r>
      <w:r w:rsidRPr="007F7417">
        <w:rPr>
          <w:kern w:val="22"/>
          <w:sz w:val="22"/>
          <w:szCs w:val="22"/>
          <w:lang w:val="fr-CA"/>
        </w:rPr>
        <w:tab/>
      </w:r>
      <w:r w:rsidR="00131C65" w:rsidRPr="007F7417">
        <w:rPr>
          <w:kern w:val="22"/>
          <w:sz w:val="22"/>
          <w:szCs w:val="22"/>
          <w:lang w:val="fr-CA"/>
        </w:rPr>
        <w:t>L’efficacité des processus et des procédures de déploiement des ressources pour les programmes</w:t>
      </w:r>
      <w:r w:rsidRPr="007F7417">
        <w:rPr>
          <w:kern w:val="22"/>
          <w:sz w:val="22"/>
          <w:szCs w:val="22"/>
          <w:lang w:val="fr-CA"/>
        </w:rPr>
        <w:t>.</w:t>
      </w:r>
    </w:p>
    <w:p w14:paraId="0756B2DC" w14:textId="47663CED" w:rsidR="00105712" w:rsidRPr="007F7417" w:rsidRDefault="00131C65" w:rsidP="00105712">
      <w:pPr>
        <w:pStyle w:val="Para1"/>
        <w:suppressLineNumbers/>
        <w:suppressAutoHyphens/>
        <w:spacing w:before="120"/>
        <w:rPr>
          <w:kern w:val="22"/>
          <w:sz w:val="22"/>
          <w:szCs w:val="22"/>
          <w:lang w:val="fr-CA" w:eastAsia="zh-CN"/>
        </w:rPr>
      </w:pPr>
      <w:r w:rsidRPr="007F7417">
        <w:rPr>
          <w:b/>
          <w:kern w:val="22"/>
          <w:sz w:val="22"/>
          <w:szCs w:val="22"/>
          <w:lang w:val="fr-CA"/>
        </w:rPr>
        <w:t>Méthodologie</w:t>
      </w:r>
    </w:p>
    <w:p w14:paraId="4FCCE132" w14:textId="63B7162E" w:rsidR="00105712" w:rsidRPr="007F7417" w:rsidRDefault="00105712" w:rsidP="0011729F">
      <w:pPr>
        <w:pStyle w:val="Para1"/>
        <w:suppressLineNumbers/>
        <w:suppressAutoHyphens/>
        <w:spacing w:before="120"/>
        <w:jc w:val="both"/>
        <w:rPr>
          <w:kern w:val="22"/>
          <w:sz w:val="22"/>
          <w:szCs w:val="22"/>
          <w:lang w:val="fr-CA"/>
        </w:rPr>
      </w:pPr>
      <w:r w:rsidRPr="007F7417">
        <w:rPr>
          <w:kern w:val="22"/>
          <w:sz w:val="22"/>
          <w:szCs w:val="22"/>
          <w:lang w:val="fr-CA"/>
        </w:rPr>
        <w:t>2.</w:t>
      </w:r>
      <w:r w:rsidR="005846CD" w:rsidRPr="007F7417">
        <w:rPr>
          <w:kern w:val="22"/>
          <w:sz w:val="22"/>
          <w:szCs w:val="22"/>
          <w:lang w:val="fr-CA"/>
        </w:rPr>
        <w:tab/>
      </w:r>
      <w:r w:rsidR="00131C65" w:rsidRPr="007F7417">
        <w:rPr>
          <w:kern w:val="22"/>
          <w:sz w:val="22"/>
          <w:szCs w:val="22"/>
          <w:lang w:val="fr-CA"/>
        </w:rPr>
        <w:t>L’examen englobera toutes les activités d</w:t>
      </w:r>
      <w:r w:rsidR="00386120">
        <w:rPr>
          <w:kern w:val="22"/>
          <w:sz w:val="22"/>
          <w:szCs w:val="22"/>
          <w:lang w:val="fr-CA"/>
        </w:rPr>
        <w:t>e la structure institutionnelle</w:t>
      </w:r>
      <w:r w:rsidR="00131C65" w:rsidRPr="007F7417">
        <w:rPr>
          <w:kern w:val="22"/>
          <w:sz w:val="22"/>
          <w:szCs w:val="22"/>
          <w:lang w:val="fr-CA"/>
        </w:rPr>
        <w:t xml:space="preserve"> </w:t>
      </w:r>
      <w:r w:rsidR="00D64920" w:rsidRPr="007F7417">
        <w:rPr>
          <w:kern w:val="22"/>
          <w:sz w:val="22"/>
          <w:szCs w:val="22"/>
          <w:lang w:val="fr-CA"/>
        </w:rPr>
        <w:t>servant de</w:t>
      </w:r>
      <w:r w:rsidR="00131C65" w:rsidRPr="007F7417">
        <w:rPr>
          <w:kern w:val="22"/>
          <w:sz w:val="22"/>
          <w:szCs w:val="22"/>
          <w:lang w:val="fr-CA"/>
        </w:rPr>
        <w:t xml:space="preserve"> mécanisme de financement, en particulier du 1</w:t>
      </w:r>
      <w:r w:rsidR="00131C65" w:rsidRPr="007F7417">
        <w:rPr>
          <w:kern w:val="22"/>
          <w:sz w:val="22"/>
          <w:szCs w:val="22"/>
          <w:vertAlign w:val="superscript"/>
          <w:lang w:val="fr-CA"/>
        </w:rPr>
        <w:t>er</w:t>
      </w:r>
      <w:r w:rsidR="00131C65" w:rsidRPr="007F7417">
        <w:rPr>
          <w:kern w:val="22"/>
          <w:sz w:val="22"/>
          <w:szCs w:val="22"/>
          <w:lang w:val="fr-CA"/>
        </w:rPr>
        <w:t xml:space="preserve"> juillet 2017 au 30 juin 2022</w:t>
      </w:r>
      <w:r w:rsidRPr="007F7417">
        <w:rPr>
          <w:kern w:val="22"/>
          <w:sz w:val="22"/>
          <w:szCs w:val="22"/>
          <w:lang w:val="fr-CA"/>
        </w:rPr>
        <w:t>.</w:t>
      </w:r>
    </w:p>
    <w:p w14:paraId="68ABCC8E" w14:textId="6A605CA2" w:rsidR="00105712" w:rsidRPr="007F7417" w:rsidRDefault="00105712" w:rsidP="0011729F">
      <w:pPr>
        <w:pStyle w:val="Para1"/>
        <w:jc w:val="both"/>
        <w:rPr>
          <w:kern w:val="22"/>
          <w:sz w:val="22"/>
          <w:szCs w:val="22"/>
          <w:lang w:val="fr-CA"/>
        </w:rPr>
      </w:pPr>
      <w:r w:rsidRPr="007F7417">
        <w:rPr>
          <w:kern w:val="22"/>
          <w:sz w:val="22"/>
          <w:szCs w:val="22"/>
          <w:lang w:val="fr-CA"/>
        </w:rPr>
        <w:t>3.</w:t>
      </w:r>
      <w:r w:rsidR="005846CD" w:rsidRPr="007F7417">
        <w:rPr>
          <w:kern w:val="22"/>
          <w:sz w:val="22"/>
          <w:szCs w:val="22"/>
          <w:lang w:val="fr-CA"/>
        </w:rPr>
        <w:tab/>
      </w:r>
      <w:r w:rsidR="001B19D9" w:rsidRPr="007F7417">
        <w:rPr>
          <w:kern w:val="22"/>
          <w:sz w:val="22"/>
          <w:szCs w:val="22"/>
          <w:lang w:val="fr-CA"/>
        </w:rPr>
        <w:t>L’examen puisera notamment dans les sources d’information suivantes</w:t>
      </w:r>
      <w:r w:rsidR="007D6D34">
        <w:rPr>
          <w:kern w:val="22"/>
          <w:sz w:val="22"/>
          <w:szCs w:val="22"/>
          <w:lang w:val="fr-CA"/>
        </w:rPr>
        <w:t> </w:t>
      </w:r>
      <w:r w:rsidRPr="007F7417">
        <w:rPr>
          <w:kern w:val="22"/>
          <w:sz w:val="22"/>
          <w:szCs w:val="22"/>
          <w:lang w:val="fr-CA"/>
        </w:rPr>
        <w:t>:</w:t>
      </w:r>
    </w:p>
    <w:p w14:paraId="21D36105" w14:textId="4C76003E" w:rsidR="00105712" w:rsidRPr="007F7417" w:rsidRDefault="00105712" w:rsidP="0011729F">
      <w:pPr>
        <w:pStyle w:val="Para1"/>
        <w:spacing w:before="120"/>
        <w:ind w:firstLine="709"/>
        <w:jc w:val="both"/>
        <w:rPr>
          <w:kern w:val="22"/>
          <w:sz w:val="22"/>
          <w:szCs w:val="22"/>
          <w:lang w:val="fr-CA"/>
        </w:rPr>
      </w:pPr>
      <w:r w:rsidRPr="007F7417">
        <w:rPr>
          <w:kern w:val="22"/>
          <w:sz w:val="22"/>
          <w:szCs w:val="22"/>
          <w:lang w:val="fr-CA"/>
        </w:rPr>
        <w:t>a)</w:t>
      </w:r>
      <w:r w:rsidR="005846CD" w:rsidRPr="007F7417">
        <w:rPr>
          <w:kern w:val="22"/>
          <w:sz w:val="22"/>
          <w:szCs w:val="22"/>
          <w:lang w:val="fr-CA"/>
        </w:rPr>
        <w:tab/>
      </w:r>
      <w:r w:rsidR="001B19D9" w:rsidRPr="007F7417">
        <w:rPr>
          <w:kern w:val="22"/>
          <w:sz w:val="22"/>
          <w:szCs w:val="22"/>
          <w:lang w:val="fr-CA"/>
        </w:rPr>
        <w:t>Les rapports préparés par le FEM, y compris ses rapports à la Conférence des Parties</w:t>
      </w:r>
      <w:r w:rsidR="007D6D34">
        <w:rPr>
          <w:kern w:val="22"/>
          <w:sz w:val="22"/>
          <w:szCs w:val="22"/>
          <w:lang w:val="fr-CA"/>
        </w:rPr>
        <w:t> </w:t>
      </w:r>
      <w:r w:rsidRPr="007F7417">
        <w:rPr>
          <w:kern w:val="22"/>
          <w:sz w:val="22"/>
          <w:szCs w:val="22"/>
          <w:lang w:val="fr-CA"/>
        </w:rPr>
        <w:t>;</w:t>
      </w:r>
    </w:p>
    <w:p w14:paraId="4D63159B" w14:textId="65F4251C" w:rsidR="00105712" w:rsidRPr="007F7417" w:rsidRDefault="00105712" w:rsidP="0011729F">
      <w:pPr>
        <w:pStyle w:val="Para1"/>
        <w:suppressLineNumbers/>
        <w:suppressAutoHyphens/>
        <w:spacing w:before="120"/>
        <w:ind w:firstLine="709"/>
        <w:jc w:val="both"/>
        <w:rPr>
          <w:kern w:val="22"/>
          <w:sz w:val="22"/>
          <w:szCs w:val="22"/>
          <w:lang w:val="fr-CA"/>
        </w:rPr>
      </w:pPr>
      <w:r w:rsidRPr="007F7417">
        <w:rPr>
          <w:kern w:val="22"/>
          <w:sz w:val="22"/>
          <w:szCs w:val="22"/>
          <w:lang w:val="fr-CA"/>
        </w:rPr>
        <w:t>b)</w:t>
      </w:r>
      <w:r w:rsidR="005846CD" w:rsidRPr="007F7417">
        <w:rPr>
          <w:kern w:val="22"/>
          <w:sz w:val="22"/>
          <w:szCs w:val="22"/>
          <w:lang w:val="fr-CA"/>
        </w:rPr>
        <w:tab/>
      </w:r>
      <w:r w:rsidR="001B19D9" w:rsidRPr="007F7417">
        <w:rPr>
          <w:kern w:val="22"/>
          <w:sz w:val="22"/>
          <w:szCs w:val="22"/>
          <w:lang w:val="fr-CA"/>
        </w:rPr>
        <w:t xml:space="preserve">Les rapports du Bureau indépendant d’évaluation du FEM concernant les activités du FEM relatives à la </w:t>
      </w:r>
      <w:r w:rsidR="00386120">
        <w:rPr>
          <w:kern w:val="22"/>
          <w:sz w:val="22"/>
          <w:szCs w:val="22"/>
          <w:lang w:val="fr-CA"/>
        </w:rPr>
        <w:t>diversité biologique</w:t>
      </w:r>
      <w:r w:rsidR="001B19D9" w:rsidRPr="007F7417">
        <w:rPr>
          <w:kern w:val="22"/>
          <w:sz w:val="22"/>
          <w:szCs w:val="22"/>
          <w:lang w:val="fr-CA"/>
        </w:rPr>
        <w:t>, y compris la septième étude complète, ainsi que les évaluations pertinentes des agences et autres partenaires du FEM</w:t>
      </w:r>
      <w:r w:rsidR="007D6D34">
        <w:rPr>
          <w:kern w:val="22"/>
          <w:sz w:val="22"/>
          <w:szCs w:val="22"/>
          <w:lang w:val="fr-CA"/>
        </w:rPr>
        <w:t> </w:t>
      </w:r>
      <w:r w:rsidRPr="007F7417">
        <w:rPr>
          <w:kern w:val="22"/>
          <w:sz w:val="22"/>
          <w:szCs w:val="22"/>
          <w:lang w:val="fr-CA"/>
        </w:rPr>
        <w:t>;</w:t>
      </w:r>
    </w:p>
    <w:p w14:paraId="451B0506" w14:textId="62409429" w:rsidR="00105712" w:rsidRPr="007F7417" w:rsidRDefault="00105712" w:rsidP="0011729F">
      <w:pPr>
        <w:pStyle w:val="Para1"/>
        <w:spacing w:before="120"/>
        <w:ind w:firstLine="709"/>
        <w:jc w:val="both"/>
        <w:rPr>
          <w:kern w:val="22"/>
          <w:sz w:val="22"/>
          <w:szCs w:val="22"/>
          <w:lang w:val="fr-CA"/>
        </w:rPr>
      </w:pPr>
      <w:r w:rsidRPr="007F7417">
        <w:rPr>
          <w:kern w:val="22"/>
          <w:sz w:val="22"/>
          <w:szCs w:val="22"/>
          <w:lang w:val="fr-CA"/>
        </w:rPr>
        <w:t>c)</w:t>
      </w:r>
      <w:r w:rsidR="005846CD" w:rsidRPr="007F7417">
        <w:rPr>
          <w:kern w:val="22"/>
          <w:sz w:val="22"/>
          <w:szCs w:val="22"/>
          <w:lang w:val="fr-CA"/>
        </w:rPr>
        <w:tab/>
      </w:r>
      <w:r w:rsidR="001B19D9" w:rsidRPr="007F7417">
        <w:rPr>
          <w:kern w:val="22"/>
          <w:sz w:val="22"/>
          <w:szCs w:val="22"/>
          <w:lang w:val="fr-CA"/>
        </w:rPr>
        <w:t xml:space="preserve">Les informations </w:t>
      </w:r>
      <w:r w:rsidR="00503509" w:rsidRPr="007F7417">
        <w:rPr>
          <w:kern w:val="22"/>
          <w:sz w:val="22"/>
          <w:szCs w:val="22"/>
          <w:lang w:val="fr-CA"/>
        </w:rPr>
        <w:t xml:space="preserve">concernant le mécanisme de financement </w:t>
      </w:r>
      <w:r w:rsidR="001B19D9" w:rsidRPr="007F7417">
        <w:rPr>
          <w:kern w:val="22"/>
          <w:sz w:val="22"/>
          <w:szCs w:val="22"/>
          <w:lang w:val="fr-CA"/>
        </w:rPr>
        <w:t>fournies par les Parties</w:t>
      </w:r>
      <w:r w:rsidR="00503509" w:rsidRPr="007F7417">
        <w:rPr>
          <w:kern w:val="22"/>
          <w:sz w:val="22"/>
          <w:szCs w:val="22"/>
          <w:lang w:val="fr-CA"/>
        </w:rPr>
        <w:t xml:space="preserve"> au moyen de rapports et autres exposés, des réponses aux questionnaires et des entrevues</w:t>
      </w:r>
      <w:r w:rsidR="007D6D34">
        <w:rPr>
          <w:kern w:val="22"/>
          <w:sz w:val="22"/>
          <w:szCs w:val="22"/>
          <w:lang w:val="fr-CA"/>
        </w:rPr>
        <w:t> </w:t>
      </w:r>
      <w:r w:rsidRPr="007F7417">
        <w:rPr>
          <w:kern w:val="22"/>
          <w:sz w:val="22"/>
          <w:szCs w:val="22"/>
          <w:lang w:val="fr-CA"/>
        </w:rPr>
        <w:t>;</w:t>
      </w:r>
    </w:p>
    <w:p w14:paraId="0B4F19CF" w14:textId="2191E533" w:rsidR="00503509" w:rsidRPr="00386120" w:rsidRDefault="00105712" w:rsidP="00386120">
      <w:pPr>
        <w:pStyle w:val="Para1"/>
        <w:suppressLineNumbers/>
        <w:suppressAutoHyphens/>
        <w:spacing w:before="120"/>
        <w:ind w:firstLine="709"/>
        <w:jc w:val="both"/>
        <w:rPr>
          <w:kern w:val="22"/>
          <w:sz w:val="22"/>
          <w:szCs w:val="22"/>
          <w:lang w:val="fr-CA"/>
        </w:rPr>
      </w:pPr>
      <w:r w:rsidRPr="007F7417">
        <w:rPr>
          <w:kern w:val="22"/>
          <w:sz w:val="22"/>
          <w:szCs w:val="22"/>
          <w:lang w:val="fr-CA"/>
        </w:rPr>
        <w:t>d)</w:t>
      </w:r>
      <w:r w:rsidR="005846CD" w:rsidRPr="007F7417">
        <w:rPr>
          <w:kern w:val="22"/>
          <w:sz w:val="22"/>
          <w:szCs w:val="22"/>
          <w:lang w:val="fr-CA"/>
        </w:rPr>
        <w:tab/>
      </w:r>
      <w:r w:rsidR="00503509" w:rsidRPr="007F7417">
        <w:rPr>
          <w:kern w:val="22"/>
          <w:sz w:val="22"/>
          <w:szCs w:val="22"/>
          <w:lang w:val="fr-CA"/>
        </w:rPr>
        <w:t>L’information fournie par d’autres parties prenantes pertinentes</w:t>
      </w:r>
      <w:r w:rsidRPr="007F7417">
        <w:rPr>
          <w:kern w:val="22"/>
          <w:sz w:val="22"/>
          <w:szCs w:val="22"/>
          <w:lang w:val="fr-CA"/>
        </w:rPr>
        <w:t>.</w:t>
      </w:r>
    </w:p>
    <w:p w14:paraId="6A65B39F" w14:textId="0167A6B1" w:rsidR="00105712" w:rsidRPr="007F7417" w:rsidRDefault="00503509" w:rsidP="00105712">
      <w:pPr>
        <w:pStyle w:val="Para1"/>
        <w:suppressLineNumbers/>
        <w:suppressAutoHyphens/>
        <w:spacing w:before="120"/>
        <w:rPr>
          <w:b/>
          <w:kern w:val="22"/>
          <w:sz w:val="22"/>
          <w:szCs w:val="22"/>
          <w:lang w:val="fr-CA"/>
        </w:rPr>
      </w:pPr>
      <w:r w:rsidRPr="007F7417">
        <w:rPr>
          <w:b/>
          <w:kern w:val="22"/>
          <w:sz w:val="22"/>
          <w:szCs w:val="22"/>
          <w:lang w:val="fr-CA"/>
        </w:rPr>
        <w:t>Critères</w:t>
      </w:r>
    </w:p>
    <w:p w14:paraId="1F594EB6" w14:textId="05FCBB73" w:rsidR="00105712" w:rsidRPr="007F7417" w:rsidRDefault="00105712" w:rsidP="0011729F">
      <w:pPr>
        <w:pStyle w:val="Para1"/>
        <w:suppressLineNumbers/>
        <w:suppressAutoHyphens/>
        <w:spacing w:before="120"/>
        <w:jc w:val="both"/>
        <w:rPr>
          <w:kern w:val="22"/>
          <w:sz w:val="22"/>
          <w:szCs w:val="22"/>
          <w:lang w:val="fr-CA"/>
        </w:rPr>
      </w:pPr>
      <w:r w:rsidRPr="007F7417">
        <w:rPr>
          <w:kern w:val="22"/>
          <w:sz w:val="22"/>
          <w:szCs w:val="22"/>
          <w:lang w:val="fr-CA"/>
        </w:rPr>
        <w:t>4.</w:t>
      </w:r>
      <w:r w:rsidR="005846CD" w:rsidRPr="007F7417">
        <w:rPr>
          <w:kern w:val="22"/>
          <w:sz w:val="22"/>
          <w:szCs w:val="22"/>
          <w:lang w:val="fr-CA"/>
        </w:rPr>
        <w:tab/>
      </w:r>
      <w:r w:rsidR="00503509" w:rsidRPr="007F7417">
        <w:rPr>
          <w:kern w:val="22"/>
          <w:sz w:val="22"/>
          <w:szCs w:val="22"/>
          <w:lang w:val="fr-CA"/>
        </w:rPr>
        <w:t>L’efficacité du mécanisme de financement sera évalué</w:t>
      </w:r>
      <w:r w:rsidR="00386120">
        <w:rPr>
          <w:kern w:val="22"/>
          <w:sz w:val="22"/>
          <w:szCs w:val="22"/>
          <w:lang w:val="fr-CA"/>
        </w:rPr>
        <w:t>e</w:t>
      </w:r>
      <w:r w:rsidR="00503509" w:rsidRPr="007F7417">
        <w:rPr>
          <w:kern w:val="22"/>
          <w:sz w:val="22"/>
          <w:szCs w:val="22"/>
          <w:lang w:val="fr-CA"/>
        </w:rPr>
        <w:t xml:space="preserve"> en tenant dûment compte des mesures prises par le FEM en réponse à l’orientation fournie par la Conférence des Parties pour le mécanisme de financement et des points de vue des Part</w:t>
      </w:r>
      <w:r w:rsidR="00431126" w:rsidRPr="007F7417">
        <w:rPr>
          <w:kern w:val="22"/>
          <w:sz w:val="22"/>
          <w:szCs w:val="22"/>
          <w:lang w:val="fr-CA"/>
        </w:rPr>
        <w:t>ies concernant l’efficacité et les conditions de l’offre de ressources financières, y compris les indicateurs ci-dessous dérivés des objectifs de l’examen</w:t>
      </w:r>
      <w:r w:rsidR="007D6D34">
        <w:rPr>
          <w:kern w:val="22"/>
          <w:sz w:val="22"/>
          <w:szCs w:val="22"/>
          <w:lang w:val="fr-CA"/>
        </w:rPr>
        <w:t> </w:t>
      </w:r>
      <w:r w:rsidRPr="007F7417">
        <w:rPr>
          <w:kern w:val="22"/>
          <w:sz w:val="22"/>
          <w:szCs w:val="22"/>
          <w:lang w:val="fr-CA"/>
        </w:rPr>
        <w:t>:</w:t>
      </w:r>
    </w:p>
    <w:p w14:paraId="36131D56" w14:textId="4BAFD350" w:rsidR="00FF1ACF" w:rsidRPr="007F7417" w:rsidRDefault="00C266E2" w:rsidP="0011729F">
      <w:pPr>
        <w:pStyle w:val="Para1"/>
        <w:ind w:firstLine="709"/>
        <w:jc w:val="both"/>
        <w:rPr>
          <w:kern w:val="22"/>
          <w:sz w:val="22"/>
          <w:szCs w:val="22"/>
          <w:lang w:val="fr-CA"/>
        </w:rPr>
      </w:pPr>
      <w:r w:rsidRPr="007F7417">
        <w:rPr>
          <w:kern w:val="22"/>
          <w:sz w:val="22"/>
          <w:szCs w:val="22"/>
          <w:lang w:val="fr-CA"/>
        </w:rPr>
        <w:t>a</w:t>
      </w:r>
      <w:r w:rsidR="00FF1ACF" w:rsidRPr="007F7417">
        <w:rPr>
          <w:kern w:val="22"/>
          <w:sz w:val="22"/>
          <w:szCs w:val="22"/>
          <w:lang w:val="fr-CA"/>
        </w:rPr>
        <w:t>)</w:t>
      </w:r>
      <w:r w:rsidR="005846CD" w:rsidRPr="007F7417">
        <w:rPr>
          <w:kern w:val="22"/>
          <w:sz w:val="22"/>
          <w:szCs w:val="22"/>
          <w:lang w:val="fr-CA"/>
        </w:rPr>
        <w:tab/>
      </w:r>
      <w:r w:rsidR="00431126" w:rsidRPr="007F7417">
        <w:rPr>
          <w:kern w:val="22"/>
          <w:sz w:val="22"/>
          <w:szCs w:val="22"/>
          <w:lang w:val="fr-CA"/>
        </w:rPr>
        <w:t>Le taux de réponse à l’orientation de la Conférence des Parties</w:t>
      </w:r>
      <w:r w:rsidR="007D6D34">
        <w:rPr>
          <w:kern w:val="22"/>
          <w:sz w:val="22"/>
          <w:szCs w:val="22"/>
          <w:lang w:val="fr-CA"/>
        </w:rPr>
        <w:t> </w:t>
      </w:r>
      <w:r w:rsidR="00FF1ACF" w:rsidRPr="007F7417">
        <w:rPr>
          <w:kern w:val="22"/>
          <w:sz w:val="22"/>
          <w:szCs w:val="22"/>
          <w:lang w:val="fr-CA"/>
        </w:rPr>
        <w:t>;</w:t>
      </w:r>
    </w:p>
    <w:p w14:paraId="4AC1FD53" w14:textId="334A882B" w:rsidR="00FF1ACF" w:rsidRPr="007F7417" w:rsidRDefault="00C266E2" w:rsidP="0011729F">
      <w:pPr>
        <w:pStyle w:val="Para1"/>
        <w:ind w:firstLine="709"/>
        <w:jc w:val="both"/>
        <w:rPr>
          <w:kern w:val="22"/>
          <w:sz w:val="22"/>
          <w:szCs w:val="22"/>
          <w:lang w:val="fr-CA"/>
        </w:rPr>
      </w:pPr>
      <w:r w:rsidRPr="007F7417">
        <w:rPr>
          <w:kern w:val="22"/>
          <w:sz w:val="22"/>
          <w:szCs w:val="22"/>
          <w:lang w:val="fr-CA"/>
        </w:rPr>
        <w:t>b</w:t>
      </w:r>
      <w:r w:rsidR="00FF1ACF" w:rsidRPr="007F7417">
        <w:rPr>
          <w:kern w:val="22"/>
          <w:sz w:val="22"/>
          <w:szCs w:val="22"/>
          <w:lang w:val="fr-CA"/>
        </w:rPr>
        <w:t>)</w:t>
      </w:r>
      <w:r w:rsidR="005846CD" w:rsidRPr="007F7417">
        <w:rPr>
          <w:kern w:val="22"/>
          <w:sz w:val="22"/>
          <w:szCs w:val="22"/>
          <w:lang w:val="fr-CA"/>
        </w:rPr>
        <w:tab/>
      </w:r>
      <w:r w:rsidR="00431126" w:rsidRPr="007F7417">
        <w:rPr>
          <w:kern w:val="22"/>
          <w:sz w:val="22"/>
          <w:szCs w:val="22"/>
          <w:lang w:val="fr-CA"/>
        </w:rPr>
        <w:t>Les tendances en matière de nombre d’événements d’information sur le mécanisme de financement organisés par les Parties et les parties prenantes de la Convention et de ses Protocoles</w:t>
      </w:r>
      <w:r w:rsidR="007D6D34">
        <w:rPr>
          <w:kern w:val="22"/>
          <w:sz w:val="22"/>
          <w:szCs w:val="22"/>
          <w:lang w:val="fr-CA"/>
        </w:rPr>
        <w:t> </w:t>
      </w:r>
      <w:r w:rsidR="00FF1ACF" w:rsidRPr="007F7417">
        <w:rPr>
          <w:kern w:val="22"/>
          <w:sz w:val="22"/>
          <w:szCs w:val="22"/>
          <w:lang w:val="fr-CA"/>
        </w:rPr>
        <w:t>;</w:t>
      </w:r>
    </w:p>
    <w:p w14:paraId="47E00E8E" w14:textId="663A14E4" w:rsidR="00FF1ACF" w:rsidRPr="007F7417" w:rsidRDefault="00C266E2" w:rsidP="0011729F">
      <w:pPr>
        <w:pStyle w:val="Para1"/>
        <w:ind w:firstLine="709"/>
        <w:jc w:val="both"/>
        <w:rPr>
          <w:kern w:val="22"/>
          <w:sz w:val="22"/>
          <w:szCs w:val="22"/>
          <w:lang w:val="fr-CA"/>
        </w:rPr>
      </w:pPr>
      <w:r w:rsidRPr="007F7417">
        <w:rPr>
          <w:kern w:val="22"/>
          <w:sz w:val="22"/>
          <w:szCs w:val="22"/>
          <w:lang w:val="fr-CA"/>
        </w:rPr>
        <w:lastRenderedPageBreak/>
        <w:t>c</w:t>
      </w:r>
      <w:r w:rsidR="00FF1ACF" w:rsidRPr="007F7417">
        <w:rPr>
          <w:kern w:val="22"/>
          <w:sz w:val="22"/>
          <w:szCs w:val="22"/>
          <w:lang w:val="fr-CA"/>
        </w:rPr>
        <w:t>)</w:t>
      </w:r>
      <w:r w:rsidR="005846CD" w:rsidRPr="007F7417">
        <w:rPr>
          <w:kern w:val="22"/>
          <w:sz w:val="22"/>
          <w:szCs w:val="22"/>
          <w:lang w:val="fr-CA"/>
        </w:rPr>
        <w:tab/>
      </w:r>
      <w:r w:rsidR="00431126" w:rsidRPr="007F7417">
        <w:rPr>
          <w:kern w:val="22"/>
          <w:sz w:val="22"/>
          <w:szCs w:val="22"/>
          <w:lang w:val="fr-CA"/>
        </w:rPr>
        <w:t>Les tendances concernant le financement total pour la diversité biologique étroitement lié</w:t>
      </w:r>
      <w:r w:rsidR="00071D02" w:rsidRPr="007F7417">
        <w:rPr>
          <w:kern w:val="22"/>
          <w:sz w:val="22"/>
          <w:szCs w:val="22"/>
          <w:lang w:val="fr-CA"/>
        </w:rPr>
        <w:t xml:space="preserve"> a</w:t>
      </w:r>
      <w:r w:rsidR="00431126" w:rsidRPr="007F7417">
        <w:rPr>
          <w:kern w:val="22"/>
          <w:sz w:val="22"/>
          <w:szCs w:val="22"/>
          <w:lang w:val="fr-CA"/>
        </w:rPr>
        <w:t xml:space="preserve">u mécanisme de </w:t>
      </w:r>
      <w:r w:rsidR="00071D02" w:rsidRPr="007F7417">
        <w:rPr>
          <w:kern w:val="22"/>
          <w:sz w:val="22"/>
          <w:szCs w:val="22"/>
          <w:lang w:val="fr-CA"/>
        </w:rPr>
        <w:t>financement</w:t>
      </w:r>
      <w:r w:rsidR="00431126" w:rsidRPr="007F7417">
        <w:rPr>
          <w:kern w:val="22"/>
          <w:sz w:val="22"/>
          <w:szCs w:val="22"/>
          <w:lang w:val="fr-CA"/>
        </w:rPr>
        <w:t>, y compris le financement lié aux objectifs des Protocoles et par source de financement</w:t>
      </w:r>
      <w:r w:rsidR="007D6D34">
        <w:rPr>
          <w:kern w:val="22"/>
          <w:sz w:val="22"/>
          <w:szCs w:val="22"/>
          <w:lang w:val="fr-CA"/>
        </w:rPr>
        <w:t> </w:t>
      </w:r>
      <w:r w:rsidR="00FF1ACF" w:rsidRPr="007F7417">
        <w:rPr>
          <w:kern w:val="22"/>
          <w:sz w:val="22"/>
          <w:szCs w:val="22"/>
          <w:lang w:val="fr-CA"/>
        </w:rPr>
        <w:t>;</w:t>
      </w:r>
    </w:p>
    <w:p w14:paraId="22AEDCD0" w14:textId="5D404AD7" w:rsidR="00FF1ACF" w:rsidRPr="007F7417" w:rsidRDefault="00C266E2" w:rsidP="0011729F">
      <w:pPr>
        <w:pStyle w:val="Para1"/>
        <w:ind w:firstLine="709"/>
        <w:jc w:val="both"/>
        <w:rPr>
          <w:kern w:val="22"/>
          <w:sz w:val="22"/>
          <w:szCs w:val="22"/>
          <w:lang w:val="fr-CA"/>
        </w:rPr>
      </w:pPr>
      <w:r w:rsidRPr="007F7417">
        <w:rPr>
          <w:kern w:val="22"/>
          <w:sz w:val="22"/>
          <w:szCs w:val="22"/>
          <w:lang w:val="fr-CA"/>
        </w:rPr>
        <w:t>d</w:t>
      </w:r>
      <w:r w:rsidR="00FF1ACF" w:rsidRPr="007F7417">
        <w:rPr>
          <w:kern w:val="22"/>
          <w:sz w:val="22"/>
          <w:szCs w:val="22"/>
          <w:lang w:val="fr-CA"/>
        </w:rPr>
        <w:t>)</w:t>
      </w:r>
      <w:r w:rsidR="005846CD" w:rsidRPr="007F7417">
        <w:rPr>
          <w:kern w:val="22"/>
          <w:sz w:val="22"/>
          <w:szCs w:val="22"/>
          <w:lang w:val="fr-CA"/>
        </w:rPr>
        <w:tab/>
      </w:r>
      <w:r w:rsidR="00071D02" w:rsidRPr="007F7417">
        <w:rPr>
          <w:kern w:val="22"/>
          <w:sz w:val="22"/>
          <w:szCs w:val="22"/>
          <w:lang w:val="fr-CA"/>
        </w:rPr>
        <w:t xml:space="preserve">Le pourcentage de pays bénéficiaires qui </w:t>
      </w:r>
      <w:r w:rsidR="00386120">
        <w:rPr>
          <w:kern w:val="22"/>
          <w:sz w:val="22"/>
          <w:szCs w:val="22"/>
          <w:lang w:val="fr-CA"/>
        </w:rPr>
        <w:t>ont reçu du soutien financier du</w:t>
      </w:r>
      <w:r w:rsidR="00071D02" w:rsidRPr="007F7417">
        <w:rPr>
          <w:kern w:val="22"/>
          <w:sz w:val="22"/>
          <w:szCs w:val="22"/>
          <w:lang w:val="fr-CA"/>
        </w:rPr>
        <w:t xml:space="preserve"> mécanisme de financement afin d’appliquer les buts et les objectifs mondiaux pour la diversité biologique, y compris ceux liés au Protocoles de la Convention</w:t>
      </w:r>
      <w:r w:rsidR="007D6D34">
        <w:rPr>
          <w:kern w:val="22"/>
          <w:sz w:val="22"/>
          <w:szCs w:val="22"/>
          <w:lang w:val="fr-CA"/>
        </w:rPr>
        <w:t> </w:t>
      </w:r>
      <w:r w:rsidR="00FF1ACF" w:rsidRPr="007F7417">
        <w:rPr>
          <w:kern w:val="22"/>
          <w:sz w:val="22"/>
          <w:szCs w:val="22"/>
          <w:lang w:val="fr-CA"/>
        </w:rPr>
        <w:t>;</w:t>
      </w:r>
    </w:p>
    <w:p w14:paraId="2959E411" w14:textId="0683F60C" w:rsidR="00FF1ACF" w:rsidRPr="007F7417" w:rsidRDefault="00C266E2" w:rsidP="0011729F">
      <w:pPr>
        <w:pStyle w:val="Para1"/>
        <w:ind w:firstLine="709"/>
        <w:jc w:val="both"/>
        <w:rPr>
          <w:kern w:val="22"/>
          <w:sz w:val="22"/>
          <w:szCs w:val="22"/>
          <w:lang w:val="fr-CA"/>
        </w:rPr>
      </w:pPr>
      <w:r w:rsidRPr="007F7417">
        <w:rPr>
          <w:kern w:val="22"/>
          <w:sz w:val="22"/>
          <w:szCs w:val="22"/>
          <w:lang w:val="fr-CA"/>
        </w:rPr>
        <w:t>e</w:t>
      </w:r>
      <w:r w:rsidR="00FF1ACF" w:rsidRPr="007F7417">
        <w:rPr>
          <w:kern w:val="22"/>
          <w:sz w:val="22"/>
          <w:szCs w:val="22"/>
          <w:lang w:val="fr-CA"/>
        </w:rPr>
        <w:t>)</w:t>
      </w:r>
      <w:r w:rsidR="005846CD" w:rsidRPr="007F7417">
        <w:rPr>
          <w:kern w:val="22"/>
          <w:sz w:val="22"/>
          <w:szCs w:val="22"/>
          <w:lang w:val="fr-CA"/>
        </w:rPr>
        <w:tab/>
      </w:r>
      <w:r w:rsidR="00071D02" w:rsidRPr="007F7417">
        <w:rPr>
          <w:kern w:val="22"/>
          <w:sz w:val="22"/>
          <w:szCs w:val="22"/>
          <w:lang w:val="fr-CA"/>
        </w:rPr>
        <w:t>Le pourcentage des buts et objectifs mondiaux pour la diversité biologique financés par le mécanisme de financement</w:t>
      </w:r>
      <w:r w:rsidR="007D6D34">
        <w:rPr>
          <w:kern w:val="22"/>
          <w:sz w:val="22"/>
          <w:szCs w:val="22"/>
          <w:lang w:val="fr-CA"/>
        </w:rPr>
        <w:t> </w:t>
      </w:r>
      <w:r w:rsidR="00FF1ACF" w:rsidRPr="007F7417">
        <w:rPr>
          <w:kern w:val="22"/>
          <w:sz w:val="22"/>
          <w:szCs w:val="22"/>
          <w:lang w:val="fr-CA"/>
        </w:rPr>
        <w:t>;</w:t>
      </w:r>
    </w:p>
    <w:p w14:paraId="28185DE3" w14:textId="0F82D8F8" w:rsidR="00FF1ACF" w:rsidRPr="007F7417" w:rsidRDefault="00C266E2" w:rsidP="0011729F">
      <w:pPr>
        <w:pStyle w:val="Para1"/>
        <w:ind w:firstLine="709"/>
        <w:jc w:val="both"/>
        <w:rPr>
          <w:kern w:val="22"/>
          <w:sz w:val="22"/>
          <w:szCs w:val="22"/>
          <w:lang w:val="fr-CA"/>
        </w:rPr>
      </w:pPr>
      <w:r w:rsidRPr="007F7417">
        <w:rPr>
          <w:kern w:val="22"/>
          <w:sz w:val="22"/>
          <w:szCs w:val="22"/>
          <w:lang w:val="fr-CA"/>
        </w:rPr>
        <w:t>f</w:t>
      </w:r>
      <w:r w:rsidR="00406F91" w:rsidRPr="007F7417">
        <w:rPr>
          <w:kern w:val="22"/>
          <w:sz w:val="22"/>
          <w:szCs w:val="22"/>
          <w:lang w:val="fr-CA"/>
        </w:rPr>
        <w:t>)</w:t>
      </w:r>
      <w:r w:rsidR="005846CD" w:rsidRPr="007F7417">
        <w:rPr>
          <w:kern w:val="22"/>
          <w:sz w:val="22"/>
          <w:szCs w:val="22"/>
          <w:lang w:val="fr-CA"/>
        </w:rPr>
        <w:tab/>
      </w:r>
      <w:r w:rsidR="00071D02" w:rsidRPr="007F7417">
        <w:rPr>
          <w:kern w:val="22"/>
          <w:sz w:val="22"/>
          <w:szCs w:val="22"/>
          <w:lang w:val="fr-CA"/>
        </w:rPr>
        <w:t>Le pourcentage du financement pour la diversité biologique</w:t>
      </w:r>
      <w:r w:rsidR="00336FDC" w:rsidRPr="007F7417">
        <w:rPr>
          <w:kern w:val="22"/>
          <w:sz w:val="22"/>
          <w:szCs w:val="22"/>
          <w:lang w:val="fr-CA"/>
        </w:rPr>
        <w:t xml:space="preserve"> assuré par le mécanisme de financement compris dans le financement international de la diversité biologique</w:t>
      </w:r>
      <w:r w:rsidR="007D6D34">
        <w:rPr>
          <w:kern w:val="22"/>
          <w:sz w:val="22"/>
          <w:szCs w:val="22"/>
          <w:lang w:val="fr-CA"/>
        </w:rPr>
        <w:t> </w:t>
      </w:r>
      <w:r w:rsidR="00FF1ACF" w:rsidRPr="007F7417">
        <w:rPr>
          <w:kern w:val="22"/>
          <w:sz w:val="22"/>
          <w:szCs w:val="22"/>
          <w:lang w:val="fr-CA"/>
        </w:rPr>
        <w:t>;</w:t>
      </w:r>
    </w:p>
    <w:p w14:paraId="49D6A102" w14:textId="29CA54D2" w:rsidR="00FF1ACF" w:rsidRPr="007F7417" w:rsidRDefault="00C266E2" w:rsidP="0011729F">
      <w:pPr>
        <w:pStyle w:val="Para1"/>
        <w:ind w:firstLine="709"/>
        <w:jc w:val="both"/>
        <w:rPr>
          <w:kern w:val="22"/>
          <w:sz w:val="22"/>
          <w:szCs w:val="22"/>
          <w:lang w:val="fr-CA"/>
        </w:rPr>
      </w:pPr>
      <w:r w:rsidRPr="007F7417">
        <w:rPr>
          <w:kern w:val="22"/>
          <w:sz w:val="22"/>
          <w:szCs w:val="22"/>
          <w:lang w:val="fr-CA"/>
        </w:rPr>
        <w:t>g</w:t>
      </w:r>
      <w:r w:rsidR="00FF1ACF" w:rsidRPr="007F7417">
        <w:rPr>
          <w:kern w:val="22"/>
          <w:sz w:val="22"/>
          <w:szCs w:val="22"/>
          <w:lang w:val="fr-CA"/>
        </w:rPr>
        <w:t>)</w:t>
      </w:r>
      <w:r w:rsidR="005846CD" w:rsidRPr="007F7417">
        <w:rPr>
          <w:kern w:val="22"/>
          <w:sz w:val="22"/>
          <w:szCs w:val="22"/>
          <w:lang w:val="fr-CA"/>
        </w:rPr>
        <w:tab/>
      </w:r>
      <w:r w:rsidR="00336FDC" w:rsidRPr="007F7417">
        <w:rPr>
          <w:kern w:val="22"/>
          <w:sz w:val="22"/>
          <w:szCs w:val="22"/>
          <w:lang w:val="fr-CA"/>
        </w:rPr>
        <w:t>Les tendances dans la reproduction des méthodes, stratégies et programmes de financement de la diversité biologique élaborés dans le cadre du mécanisme de financement</w:t>
      </w:r>
      <w:r w:rsidR="007D6D34">
        <w:rPr>
          <w:kern w:val="22"/>
          <w:sz w:val="22"/>
          <w:szCs w:val="22"/>
          <w:lang w:val="fr-CA"/>
        </w:rPr>
        <w:t> </w:t>
      </w:r>
      <w:r w:rsidR="00FF1ACF" w:rsidRPr="007F7417">
        <w:rPr>
          <w:kern w:val="22"/>
          <w:sz w:val="22"/>
          <w:szCs w:val="22"/>
          <w:lang w:val="fr-CA"/>
        </w:rPr>
        <w:t>;</w:t>
      </w:r>
    </w:p>
    <w:p w14:paraId="143BFAFA" w14:textId="5224D501" w:rsidR="00FF1ACF" w:rsidRPr="007F7417" w:rsidRDefault="00C266E2" w:rsidP="0011729F">
      <w:pPr>
        <w:pStyle w:val="Para1"/>
        <w:ind w:firstLine="709"/>
        <w:jc w:val="both"/>
        <w:rPr>
          <w:kern w:val="22"/>
          <w:sz w:val="22"/>
          <w:szCs w:val="22"/>
          <w:lang w:val="fr-CA"/>
        </w:rPr>
      </w:pPr>
      <w:r w:rsidRPr="007F7417">
        <w:rPr>
          <w:kern w:val="22"/>
          <w:sz w:val="22"/>
          <w:szCs w:val="22"/>
          <w:lang w:val="fr-CA"/>
        </w:rPr>
        <w:t>h</w:t>
      </w:r>
      <w:r w:rsidR="00FF1ACF" w:rsidRPr="007F7417">
        <w:rPr>
          <w:kern w:val="22"/>
          <w:sz w:val="22"/>
          <w:szCs w:val="22"/>
          <w:lang w:val="fr-CA"/>
        </w:rPr>
        <w:t>)</w:t>
      </w:r>
      <w:r w:rsidR="005846CD" w:rsidRPr="007F7417">
        <w:rPr>
          <w:kern w:val="22"/>
          <w:sz w:val="22"/>
          <w:szCs w:val="22"/>
          <w:lang w:val="fr-CA"/>
        </w:rPr>
        <w:tab/>
      </w:r>
      <w:r w:rsidR="00336FDC" w:rsidRPr="007F7417">
        <w:rPr>
          <w:kern w:val="22"/>
          <w:sz w:val="22"/>
          <w:szCs w:val="22"/>
          <w:lang w:val="fr-CA"/>
        </w:rPr>
        <w:t>Les tendances au niveau du financement des projets mondiaux, régionaux et infrarégionaux assuré par le mécanisme de financement</w:t>
      </w:r>
      <w:r w:rsidR="007D6D34">
        <w:rPr>
          <w:kern w:val="22"/>
          <w:sz w:val="22"/>
          <w:szCs w:val="22"/>
          <w:lang w:val="fr-CA"/>
        </w:rPr>
        <w:t> </w:t>
      </w:r>
      <w:r w:rsidR="00FF1ACF" w:rsidRPr="007F7417">
        <w:rPr>
          <w:kern w:val="22"/>
          <w:sz w:val="22"/>
          <w:szCs w:val="22"/>
          <w:lang w:val="fr-CA"/>
        </w:rPr>
        <w:t>;</w:t>
      </w:r>
    </w:p>
    <w:p w14:paraId="20B23036" w14:textId="6A0C6399" w:rsidR="00FF1ACF" w:rsidRPr="007F7417" w:rsidRDefault="00C266E2" w:rsidP="0011729F">
      <w:pPr>
        <w:pStyle w:val="Para1"/>
        <w:ind w:firstLine="709"/>
        <w:jc w:val="both"/>
        <w:rPr>
          <w:kern w:val="22"/>
          <w:sz w:val="22"/>
          <w:szCs w:val="22"/>
          <w:lang w:val="fr-CA"/>
        </w:rPr>
      </w:pPr>
      <w:r w:rsidRPr="007F7417">
        <w:rPr>
          <w:kern w:val="22"/>
          <w:sz w:val="22"/>
          <w:szCs w:val="22"/>
          <w:lang w:val="fr-CA"/>
        </w:rPr>
        <w:t>i</w:t>
      </w:r>
      <w:r w:rsidR="00FF1ACF" w:rsidRPr="007F7417">
        <w:rPr>
          <w:kern w:val="22"/>
          <w:sz w:val="22"/>
          <w:szCs w:val="22"/>
          <w:lang w:val="fr-CA"/>
        </w:rPr>
        <w:t>)</w:t>
      </w:r>
      <w:r w:rsidR="005846CD" w:rsidRPr="007F7417">
        <w:rPr>
          <w:kern w:val="22"/>
          <w:sz w:val="22"/>
          <w:szCs w:val="22"/>
          <w:lang w:val="fr-CA"/>
        </w:rPr>
        <w:tab/>
      </w:r>
      <w:r w:rsidR="00336FDC" w:rsidRPr="007F7417">
        <w:rPr>
          <w:kern w:val="22"/>
          <w:sz w:val="22"/>
          <w:szCs w:val="22"/>
          <w:lang w:val="fr-CA"/>
        </w:rPr>
        <w:t>Les tendances en matière de financement de projets qui tien</w:t>
      </w:r>
      <w:r w:rsidR="00FF7AB9">
        <w:rPr>
          <w:kern w:val="22"/>
          <w:sz w:val="22"/>
          <w:szCs w:val="22"/>
          <w:lang w:val="fr-CA"/>
        </w:rPr>
        <w:t>nen</w:t>
      </w:r>
      <w:r w:rsidR="00336FDC" w:rsidRPr="007F7417">
        <w:rPr>
          <w:kern w:val="22"/>
          <w:sz w:val="22"/>
          <w:szCs w:val="22"/>
          <w:lang w:val="fr-CA"/>
        </w:rPr>
        <w:t xml:space="preserve">t compte des synergies entre les conventions ayant désigné le FEM pour </w:t>
      </w:r>
      <w:r w:rsidR="00D64920" w:rsidRPr="007F7417">
        <w:rPr>
          <w:kern w:val="22"/>
          <w:sz w:val="22"/>
          <w:szCs w:val="22"/>
          <w:lang w:val="fr-CA"/>
        </w:rPr>
        <w:t xml:space="preserve">servir de </w:t>
      </w:r>
      <w:r w:rsidR="00336FDC" w:rsidRPr="007F7417">
        <w:rPr>
          <w:kern w:val="22"/>
          <w:sz w:val="22"/>
          <w:szCs w:val="22"/>
          <w:lang w:val="fr-CA"/>
        </w:rPr>
        <w:t>mécanisme de financement</w:t>
      </w:r>
      <w:r w:rsidR="007D6D34">
        <w:rPr>
          <w:kern w:val="22"/>
          <w:sz w:val="22"/>
          <w:szCs w:val="22"/>
          <w:lang w:val="fr-CA"/>
        </w:rPr>
        <w:t> </w:t>
      </w:r>
      <w:r w:rsidR="00FF1ACF" w:rsidRPr="007F7417">
        <w:rPr>
          <w:kern w:val="22"/>
          <w:sz w:val="22"/>
          <w:szCs w:val="22"/>
          <w:lang w:val="fr-CA"/>
        </w:rPr>
        <w:t>;</w:t>
      </w:r>
    </w:p>
    <w:p w14:paraId="7A0A4BF2" w14:textId="21D38308" w:rsidR="004642C7" w:rsidRPr="007F7417" w:rsidRDefault="00C266E2" w:rsidP="0011729F">
      <w:pPr>
        <w:pStyle w:val="Para1"/>
        <w:ind w:firstLine="709"/>
        <w:jc w:val="both"/>
        <w:rPr>
          <w:kern w:val="22"/>
          <w:sz w:val="22"/>
          <w:szCs w:val="22"/>
          <w:lang w:val="fr-CA"/>
        </w:rPr>
      </w:pPr>
      <w:r w:rsidRPr="007F7417">
        <w:rPr>
          <w:kern w:val="22"/>
          <w:sz w:val="22"/>
          <w:szCs w:val="22"/>
          <w:lang w:val="fr-CA"/>
        </w:rPr>
        <w:t>j</w:t>
      </w:r>
      <w:r w:rsidR="00FF1ACF" w:rsidRPr="007F7417">
        <w:rPr>
          <w:kern w:val="22"/>
          <w:sz w:val="22"/>
          <w:szCs w:val="22"/>
          <w:lang w:val="fr-CA"/>
        </w:rPr>
        <w:t>)</w:t>
      </w:r>
      <w:r w:rsidR="005846CD" w:rsidRPr="007F7417">
        <w:rPr>
          <w:kern w:val="22"/>
          <w:sz w:val="22"/>
          <w:szCs w:val="22"/>
          <w:lang w:val="fr-CA"/>
        </w:rPr>
        <w:tab/>
      </w:r>
      <w:r w:rsidR="00336FDC" w:rsidRPr="007F7417">
        <w:rPr>
          <w:kern w:val="22"/>
          <w:sz w:val="22"/>
          <w:szCs w:val="22"/>
          <w:lang w:val="fr-CA"/>
        </w:rPr>
        <w:t xml:space="preserve">Les tendances </w:t>
      </w:r>
      <w:r w:rsidR="00BF1BFD" w:rsidRPr="007F7417">
        <w:rPr>
          <w:kern w:val="22"/>
          <w:sz w:val="22"/>
          <w:szCs w:val="22"/>
          <w:lang w:val="fr-CA"/>
        </w:rPr>
        <w:t>en matière de financement de projet</w:t>
      </w:r>
      <w:r w:rsidR="00072E38">
        <w:rPr>
          <w:kern w:val="22"/>
          <w:sz w:val="22"/>
          <w:szCs w:val="22"/>
          <w:lang w:val="fr-CA"/>
        </w:rPr>
        <w:t>s</w:t>
      </w:r>
      <w:bookmarkStart w:id="2" w:name="_GoBack"/>
      <w:bookmarkEnd w:id="2"/>
      <w:r w:rsidR="00BF1BFD" w:rsidRPr="007F7417">
        <w:rPr>
          <w:kern w:val="22"/>
          <w:sz w:val="22"/>
          <w:szCs w:val="22"/>
          <w:lang w:val="fr-CA"/>
        </w:rPr>
        <w:t xml:space="preserve"> visant les conventions relatives à la diversité biologique</w:t>
      </w:r>
      <w:r w:rsidR="007D6D34">
        <w:rPr>
          <w:kern w:val="22"/>
          <w:sz w:val="22"/>
          <w:szCs w:val="22"/>
          <w:lang w:val="fr-CA"/>
        </w:rPr>
        <w:t> </w:t>
      </w:r>
      <w:r w:rsidR="004642C7" w:rsidRPr="007F7417">
        <w:rPr>
          <w:kern w:val="22"/>
          <w:sz w:val="22"/>
          <w:szCs w:val="22"/>
          <w:lang w:val="fr-CA"/>
        </w:rPr>
        <w:t>;</w:t>
      </w:r>
    </w:p>
    <w:p w14:paraId="6EF05A1C" w14:textId="0FE97F35" w:rsidR="00FF1ACF" w:rsidRPr="007F7417" w:rsidRDefault="00C266E2" w:rsidP="0011729F">
      <w:pPr>
        <w:pStyle w:val="Para1"/>
        <w:ind w:firstLine="709"/>
        <w:jc w:val="both"/>
        <w:rPr>
          <w:kern w:val="22"/>
          <w:sz w:val="22"/>
          <w:szCs w:val="22"/>
          <w:lang w:val="fr-CA"/>
        </w:rPr>
      </w:pPr>
      <w:r w:rsidRPr="007F7417">
        <w:rPr>
          <w:kern w:val="22"/>
          <w:sz w:val="22"/>
          <w:szCs w:val="22"/>
          <w:lang w:val="fr-CA"/>
        </w:rPr>
        <w:t>k</w:t>
      </w:r>
      <w:r w:rsidR="004642C7" w:rsidRPr="007F7417">
        <w:rPr>
          <w:kern w:val="22"/>
          <w:sz w:val="22"/>
          <w:szCs w:val="22"/>
          <w:lang w:val="fr-CA"/>
        </w:rPr>
        <w:t>)</w:t>
      </w:r>
      <w:r w:rsidR="004642C7" w:rsidRPr="007F7417">
        <w:rPr>
          <w:kern w:val="22"/>
          <w:sz w:val="22"/>
          <w:szCs w:val="22"/>
          <w:lang w:val="fr-CA"/>
        </w:rPr>
        <w:tab/>
      </w:r>
      <w:r w:rsidR="00BF1BFD" w:rsidRPr="007F7417">
        <w:rPr>
          <w:kern w:val="22"/>
          <w:sz w:val="22"/>
          <w:szCs w:val="22"/>
          <w:lang w:val="fr-CA"/>
        </w:rPr>
        <w:t>Les tendances au niveau des échéanciers de développement des projets et de décaissement des ressources</w:t>
      </w:r>
      <w:r w:rsidR="004642C7" w:rsidRPr="007F7417">
        <w:rPr>
          <w:kern w:val="22"/>
          <w:sz w:val="22"/>
          <w:szCs w:val="22"/>
          <w:lang w:val="fr-CA"/>
        </w:rPr>
        <w:t>.</w:t>
      </w:r>
    </w:p>
    <w:p w14:paraId="4BBA6CA0" w14:textId="604CE648" w:rsidR="00105712" w:rsidRPr="007F7417" w:rsidRDefault="00BF1BFD" w:rsidP="00105712">
      <w:pPr>
        <w:pStyle w:val="Para1"/>
        <w:rPr>
          <w:kern w:val="22"/>
          <w:sz w:val="22"/>
          <w:szCs w:val="22"/>
          <w:lang w:val="fr-CA"/>
        </w:rPr>
      </w:pPr>
      <w:r w:rsidRPr="007F7417">
        <w:rPr>
          <w:b/>
          <w:kern w:val="22"/>
          <w:sz w:val="22"/>
          <w:szCs w:val="22"/>
          <w:lang w:val="fr-CA"/>
        </w:rPr>
        <w:t>P</w:t>
      </w:r>
      <w:r w:rsidR="007A3DF8" w:rsidRPr="007F7417">
        <w:rPr>
          <w:b/>
          <w:kern w:val="22"/>
          <w:sz w:val="22"/>
          <w:szCs w:val="22"/>
          <w:lang w:val="fr-CA"/>
        </w:rPr>
        <w:t>rocédure</w:t>
      </w:r>
      <w:r w:rsidRPr="007F7417">
        <w:rPr>
          <w:b/>
          <w:kern w:val="22"/>
          <w:sz w:val="22"/>
          <w:szCs w:val="22"/>
          <w:lang w:val="fr-CA"/>
        </w:rPr>
        <w:t xml:space="preserve"> d’application</w:t>
      </w:r>
    </w:p>
    <w:p w14:paraId="7E493F38" w14:textId="5643FAE7" w:rsidR="005846CD" w:rsidRPr="007F7417" w:rsidRDefault="005846CD" w:rsidP="0011729F">
      <w:pPr>
        <w:pStyle w:val="Para1"/>
        <w:jc w:val="both"/>
        <w:rPr>
          <w:kern w:val="22"/>
          <w:sz w:val="22"/>
          <w:szCs w:val="22"/>
          <w:lang w:val="fr-CA"/>
        </w:rPr>
      </w:pPr>
      <w:r w:rsidRPr="007F7417">
        <w:rPr>
          <w:kern w:val="22"/>
          <w:sz w:val="22"/>
          <w:szCs w:val="22"/>
          <w:lang w:val="fr-CA"/>
        </w:rPr>
        <w:t>5.</w:t>
      </w:r>
      <w:r w:rsidRPr="007F7417">
        <w:rPr>
          <w:kern w:val="22"/>
          <w:sz w:val="22"/>
          <w:szCs w:val="22"/>
          <w:lang w:val="fr-CA"/>
        </w:rPr>
        <w:tab/>
      </w:r>
      <w:r w:rsidR="00BF1BFD" w:rsidRPr="007F7417">
        <w:rPr>
          <w:kern w:val="22"/>
          <w:sz w:val="22"/>
          <w:szCs w:val="22"/>
          <w:lang w:val="fr-CA"/>
        </w:rPr>
        <w:t>La Secrétaire exécutive, en consultation avec le Bureau de la Conférence des Parties, confiera le contrat d’examen</w:t>
      </w:r>
      <w:r w:rsidR="00FF7AB9">
        <w:rPr>
          <w:kern w:val="22"/>
          <w:sz w:val="22"/>
          <w:szCs w:val="22"/>
          <w:lang w:val="fr-CA"/>
        </w:rPr>
        <w:t xml:space="preserve"> </w:t>
      </w:r>
      <w:r w:rsidR="00FF7AB9" w:rsidRPr="007F7417">
        <w:rPr>
          <w:kern w:val="22"/>
          <w:sz w:val="22"/>
          <w:szCs w:val="22"/>
          <w:lang w:val="fr-CA"/>
        </w:rPr>
        <w:t>à un évaluateur indépenda</w:t>
      </w:r>
      <w:r w:rsidR="00FF7AB9">
        <w:rPr>
          <w:kern w:val="22"/>
          <w:sz w:val="22"/>
          <w:szCs w:val="22"/>
          <w:lang w:val="fr-CA"/>
        </w:rPr>
        <w:t>nt</w:t>
      </w:r>
      <w:r w:rsidR="00BF1BFD" w:rsidRPr="007F7417">
        <w:rPr>
          <w:kern w:val="22"/>
          <w:sz w:val="22"/>
          <w:szCs w:val="22"/>
          <w:lang w:val="fr-CA"/>
        </w:rPr>
        <w:t>, conformément aux objectifs, méthodologies et critères ci-dessus</w:t>
      </w:r>
      <w:r w:rsidRPr="007F7417">
        <w:rPr>
          <w:kern w:val="22"/>
          <w:sz w:val="22"/>
          <w:szCs w:val="22"/>
          <w:lang w:val="fr-CA"/>
        </w:rPr>
        <w:t>.</w:t>
      </w:r>
    </w:p>
    <w:p w14:paraId="5B0B4825" w14:textId="0BC1C82F" w:rsidR="005846CD" w:rsidRPr="007F7417" w:rsidRDefault="005846CD" w:rsidP="0011729F">
      <w:pPr>
        <w:pStyle w:val="Para1"/>
        <w:jc w:val="both"/>
        <w:rPr>
          <w:kern w:val="22"/>
          <w:sz w:val="22"/>
          <w:szCs w:val="22"/>
          <w:lang w:val="fr-CA"/>
        </w:rPr>
      </w:pPr>
      <w:r w:rsidRPr="007F7417">
        <w:rPr>
          <w:kern w:val="22"/>
          <w:sz w:val="22"/>
          <w:szCs w:val="22"/>
          <w:lang w:val="fr-CA"/>
        </w:rPr>
        <w:t>6.</w:t>
      </w:r>
      <w:r w:rsidRPr="007F7417">
        <w:rPr>
          <w:kern w:val="22"/>
          <w:sz w:val="22"/>
          <w:szCs w:val="22"/>
          <w:lang w:val="fr-CA"/>
        </w:rPr>
        <w:tab/>
      </w:r>
      <w:r w:rsidR="00BF1BFD" w:rsidRPr="007F7417">
        <w:rPr>
          <w:kern w:val="22"/>
          <w:sz w:val="22"/>
          <w:szCs w:val="22"/>
          <w:lang w:val="fr-CA"/>
        </w:rPr>
        <w:t>L’évaluateur mènera les études théoriques, enquêtes par questionnaire, entre</w:t>
      </w:r>
      <w:r w:rsidR="00E365A3" w:rsidRPr="007F7417">
        <w:rPr>
          <w:kern w:val="22"/>
          <w:sz w:val="22"/>
          <w:szCs w:val="22"/>
          <w:lang w:val="fr-CA"/>
        </w:rPr>
        <w:t xml:space="preserve">vues et visites </w:t>
      </w:r>
      <w:r w:rsidR="00FF7AB9">
        <w:rPr>
          <w:kern w:val="22"/>
          <w:sz w:val="22"/>
          <w:szCs w:val="22"/>
          <w:lang w:val="fr-CA"/>
        </w:rPr>
        <w:t>sur le terrain requises pour</w:t>
      </w:r>
      <w:r w:rsidR="00E365A3" w:rsidRPr="007F7417">
        <w:rPr>
          <w:kern w:val="22"/>
          <w:sz w:val="22"/>
          <w:szCs w:val="22"/>
          <w:lang w:val="fr-CA"/>
        </w:rPr>
        <w:t xml:space="preserve"> la réalisation de l’examen et préparera une compilation et une synthèse des informations reçues</w:t>
      </w:r>
      <w:r w:rsidRPr="007F7417">
        <w:rPr>
          <w:kern w:val="22"/>
          <w:sz w:val="22"/>
          <w:szCs w:val="22"/>
          <w:lang w:val="fr-CA"/>
        </w:rPr>
        <w:t>.</w:t>
      </w:r>
    </w:p>
    <w:p w14:paraId="5ADB9692" w14:textId="1C9594F0" w:rsidR="005846CD" w:rsidRPr="007F7417" w:rsidRDefault="005846CD" w:rsidP="0011729F">
      <w:pPr>
        <w:pStyle w:val="Para1"/>
        <w:jc w:val="both"/>
        <w:rPr>
          <w:kern w:val="22"/>
          <w:sz w:val="22"/>
          <w:szCs w:val="22"/>
          <w:lang w:val="fr-CA"/>
        </w:rPr>
      </w:pPr>
      <w:r w:rsidRPr="007F7417">
        <w:rPr>
          <w:kern w:val="22"/>
          <w:sz w:val="22"/>
          <w:szCs w:val="22"/>
          <w:lang w:val="fr-CA"/>
        </w:rPr>
        <w:t>7.</w:t>
      </w:r>
      <w:r w:rsidRPr="007F7417">
        <w:rPr>
          <w:kern w:val="22"/>
          <w:sz w:val="22"/>
          <w:szCs w:val="22"/>
          <w:lang w:val="fr-CA"/>
        </w:rPr>
        <w:tab/>
      </w:r>
      <w:r w:rsidR="00E365A3" w:rsidRPr="007F7417">
        <w:rPr>
          <w:kern w:val="22"/>
          <w:sz w:val="22"/>
          <w:szCs w:val="22"/>
          <w:lang w:val="fr-CA"/>
        </w:rPr>
        <w:t>Le projet de rapport de synthèse et des recommandations de l’évaluateur sera mis à la disposition du FEM pour examen et commentaires. Ces commentaires figureront dans la documentation et seront identifiés par source</w:t>
      </w:r>
      <w:r w:rsidRPr="007F7417">
        <w:rPr>
          <w:kern w:val="22"/>
          <w:sz w:val="22"/>
          <w:szCs w:val="22"/>
          <w:lang w:val="fr-CA"/>
        </w:rPr>
        <w:t>.</w:t>
      </w:r>
    </w:p>
    <w:p w14:paraId="352C44CB" w14:textId="629AE90A" w:rsidR="005846CD" w:rsidRPr="007F7417" w:rsidRDefault="005846CD" w:rsidP="0011729F">
      <w:pPr>
        <w:pStyle w:val="Para1"/>
        <w:jc w:val="both"/>
        <w:rPr>
          <w:kern w:val="22"/>
          <w:sz w:val="22"/>
          <w:szCs w:val="22"/>
          <w:lang w:val="fr-CA"/>
        </w:rPr>
      </w:pPr>
      <w:r w:rsidRPr="007F7417">
        <w:rPr>
          <w:kern w:val="22"/>
          <w:sz w:val="22"/>
          <w:szCs w:val="22"/>
          <w:lang w:val="fr-CA"/>
        </w:rPr>
        <w:t>8.</w:t>
      </w:r>
      <w:r w:rsidRPr="007F7417">
        <w:rPr>
          <w:kern w:val="22"/>
          <w:sz w:val="22"/>
          <w:szCs w:val="22"/>
          <w:lang w:val="fr-CA"/>
        </w:rPr>
        <w:tab/>
      </w:r>
      <w:r w:rsidR="00E365A3" w:rsidRPr="007F7417">
        <w:rPr>
          <w:kern w:val="22"/>
          <w:sz w:val="22"/>
          <w:szCs w:val="22"/>
          <w:lang w:val="fr-CA"/>
        </w:rPr>
        <w:t>La Secrétaire exécutive préparera un projet de décision sur le sixième examen du mécanisme de financement, comprenant des suggestions précises pour améliorer l’efficacité du mécanisme, si nécessaire, en co</w:t>
      </w:r>
      <w:r w:rsidR="00FF7AB9">
        <w:rPr>
          <w:kern w:val="22"/>
          <w:sz w:val="22"/>
          <w:szCs w:val="22"/>
          <w:lang w:val="fr-CA"/>
        </w:rPr>
        <w:t>nsultation avec le FEM, à partir</w:t>
      </w:r>
      <w:r w:rsidR="00E365A3" w:rsidRPr="007F7417">
        <w:rPr>
          <w:kern w:val="22"/>
          <w:sz w:val="22"/>
          <w:szCs w:val="22"/>
          <w:lang w:val="fr-CA"/>
        </w:rPr>
        <w:t xml:space="preserve"> du rapport de synthèse et des recommandations de l’évaluateur indépendant, pour examen par l’Organe subsidiaire chargé de l</w:t>
      </w:r>
      <w:r w:rsidR="007D6D34">
        <w:rPr>
          <w:kern w:val="22"/>
          <w:sz w:val="22"/>
          <w:szCs w:val="22"/>
          <w:lang w:val="fr-CA"/>
        </w:rPr>
        <w:t>’</w:t>
      </w:r>
      <w:r w:rsidR="00E365A3" w:rsidRPr="007F7417">
        <w:rPr>
          <w:kern w:val="22"/>
          <w:sz w:val="22"/>
          <w:szCs w:val="22"/>
          <w:lang w:val="fr-CA"/>
        </w:rPr>
        <w:t>application à sa quatrième réunion, afin qu’il puisse présenter ses recommandations à la Conférence des Parties à sa seizième réunion</w:t>
      </w:r>
      <w:r w:rsidRPr="007F7417">
        <w:rPr>
          <w:kern w:val="22"/>
          <w:sz w:val="22"/>
          <w:szCs w:val="22"/>
          <w:lang w:val="fr-CA"/>
        </w:rPr>
        <w:t>.</w:t>
      </w:r>
    </w:p>
    <w:p w14:paraId="49EBB7DF" w14:textId="0DCE979E" w:rsidR="00FF1ACF" w:rsidRPr="007F7417" w:rsidRDefault="005846CD" w:rsidP="0011729F">
      <w:pPr>
        <w:pStyle w:val="Para1"/>
        <w:jc w:val="both"/>
        <w:rPr>
          <w:kern w:val="22"/>
          <w:sz w:val="22"/>
          <w:szCs w:val="22"/>
          <w:lang w:val="fr-CA"/>
        </w:rPr>
      </w:pPr>
      <w:r w:rsidRPr="007F7417">
        <w:rPr>
          <w:kern w:val="22"/>
          <w:sz w:val="22"/>
          <w:szCs w:val="22"/>
          <w:lang w:val="fr-CA"/>
        </w:rPr>
        <w:t>9.</w:t>
      </w:r>
      <w:r w:rsidRPr="007F7417">
        <w:rPr>
          <w:kern w:val="22"/>
          <w:sz w:val="22"/>
          <w:szCs w:val="22"/>
          <w:lang w:val="fr-CA"/>
        </w:rPr>
        <w:tab/>
      </w:r>
      <w:r w:rsidR="00E365A3" w:rsidRPr="007F7417">
        <w:rPr>
          <w:kern w:val="22"/>
          <w:sz w:val="22"/>
          <w:szCs w:val="22"/>
          <w:lang w:val="fr-CA"/>
        </w:rPr>
        <w:t>La Secrétaire exécutive présentera tous les documents pertinents aux Parties au moins trois mois avant la seizième réunion de la Conférence des Parties</w:t>
      </w:r>
      <w:r w:rsidRPr="007F7417">
        <w:rPr>
          <w:kern w:val="22"/>
          <w:sz w:val="22"/>
          <w:szCs w:val="22"/>
          <w:lang w:val="fr-CA"/>
        </w:rPr>
        <w:t>.</w:t>
      </w:r>
    </w:p>
    <w:p w14:paraId="66E2278A" w14:textId="77777777" w:rsidR="00C34787" w:rsidRPr="007F7417" w:rsidRDefault="00C34787" w:rsidP="005846CD">
      <w:pPr>
        <w:pStyle w:val="Para1"/>
        <w:rPr>
          <w:kern w:val="22"/>
          <w:sz w:val="22"/>
          <w:szCs w:val="22"/>
          <w:lang w:val="fr-CA"/>
        </w:rPr>
      </w:pPr>
    </w:p>
    <w:p w14:paraId="3AFD761E" w14:textId="31ADAFEA" w:rsidR="00AE7A38" w:rsidRPr="007F7417" w:rsidRDefault="00AE7A38" w:rsidP="00ED543F">
      <w:pPr>
        <w:pStyle w:val="Para1"/>
        <w:suppressLineNumbers/>
        <w:suppressAutoHyphens/>
        <w:spacing w:before="120"/>
        <w:jc w:val="center"/>
        <w:rPr>
          <w:kern w:val="22"/>
          <w:sz w:val="22"/>
          <w:szCs w:val="22"/>
          <w:lang w:val="fr-CA"/>
        </w:rPr>
      </w:pPr>
      <w:r w:rsidRPr="007F7417">
        <w:rPr>
          <w:kern w:val="22"/>
          <w:sz w:val="22"/>
          <w:szCs w:val="22"/>
          <w:lang w:val="fr-CA"/>
        </w:rPr>
        <w:t>________</w:t>
      </w:r>
      <w:r w:rsidR="007A31F6" w:rsidRPr="007F7417">
        <w:rPr>
          <w:kern w:val="22"/>
          <w:sz w:val="22"/>
          <w:szCs w:val="22"/>
          <w:lang w:val="fr-CA"/>
        </w:rPr>
        <w:t>__</w:t>
      </w:r>
    </w:p>
    <w:p w14:paraId="552156BC" w14:textId="77777777" w:rsidR="007F7417" w:rsidRPr="007F7417" w:rsidRDefault="007F7417">
      <w:pPr>
        <w:pStyle w:val="Para1"/>
        <w:suppressLineNumbers/>
        <w:suppressAutoHyphens/>
        <w:spacing w:before="120"/>
        <w:jc w:val="center"/>
        <w:rPr>
          <w:kern w:val="22"/>
          <w:sz w:val="22"/>
          <w:szCs w:val="22"/>
          <w:lang w:val="fr-CA"/>
        </w:rPr>
      </w:pPr>
    </w:p>
    <w:sectPr w:rsidR="007F7417" w:rsidRPr="007F7417" w:rsidSect="001B7FE3">
      <w:headerReference w:type="even" r:id="rId25"/>
      <w:headerReference w:type="default" r:id="rId26"/>
      <w:footerReference w:type="even" r:id="rId27"/>
      <w:type w:val="continuous"/>
      <w:pgSz w:w="12240" w:h="15840" w:code="1"/>
      <w:pgMar w:top="567" w:right="1440" w:bottom="851" w:left="1440" w:header="461" w:footer="720"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A5125" w16cex:dateUtc="2021-02-19T20: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40CE60" w16cid:durableId="23DA512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696352" w14:textId="77777777" w:rsidR="003B16FD" w:rsidRDefault="003B16FD">
      <w:r>
        <w:separator/>
      </w:r>
    </w:p>
  </w:endnote>
  <w:endnote w:type="continuationSeparator" w:id="0">
    <w:p w14:paraId="489491A0" w14:textId="77777777" w:rsidR="003B16FD" w:rsidRDefault="003B16FD">
      <w:r>
        <w:continuationSeparator/>
      </w:r>
    </w:p>
  </w:endnote>
  <w:endnote w:type="continuationNotice" w:id="1">
    <w:p w14:paraId="4B82DF4A" w14:textId="77777777" w:rsidR="003B16FD" w:rsidRDefault="003B16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30204"/>
    <w:charset w:val="00"/>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w:altName w:val="等线"/>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14F17" w14:textId="77777777" w:rsidR="006E2CFC" w:rsidRDefault="006E2CFC" w:rsidP="006F4060">
    <w:pPr>
      <w:pStyle w:val="Pieddepage"/>
      <w:tabs>
        <w:tab w:val="clear" w:pos="4320"/>
        <w:tab w:val="clear" w:pos="8640"/>
      </w:tabs>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51F01" w14:textId="77777777" w:rsidR="003B16FD" w:rsidRDefault="003B16FD">
      <w:r>
        <w:separator/>
      </w:r>
    </w:p>
  </w:footnote>
  <w:footnote w:type="continuationSeparator" w:id="0">
    <w:p w14:paraId="11AC71E7" w14:textId="77777777" w:rsidR="003B16FD" w:rsidRDefault="003B16FD">
      <w:r>
        <w:continuationSeparator/>
      </w:r>
    </w:p>
  </w:footnote>
  <w:footnote w:type="continuationNotice" w:id="1">
    <w:p w14:paraId="7ECB29E1" w14:textId="77777777" w:rsidR="003B16FD" w:rsidRDefault="003B16FD"/>
  </w:footnote>
  <w:footnote w:id="2">
    <w:p w14:paraId="38C8DBEC" w14:textId="77777777" w:rsidR="006E2CFC" w:rsidRPr="00CB6321" w:rsidRDefault="006E2CFC" w:rsidP="00D17B11">
      <w:pPr>
        <w:pStyle w:val="Notedebasdepage"/>
        <w:numPr>
          <w:ilvl w:val="0"/>
          <w:numId w:val="0"/>
        </w:numPr>
        <w:suppressLineNumbers/>
        <w:suppressAutoHyphens/>
        <w:kinsoku w:val="0"/>
        <w:overflowPunct w:val="0"/>
        <w:autoSpaceDE w:val="0"/>
        <w:autoSpaceDN w:val="0"/>
        <w:adjustRightInd w:val="0"/>
        <w:snapToGrid w:val="0"/>
        <w:rPr>
          <w:snapToGrid w:val="0"/>
          <w:kern w:val="18"/>
          <w:szCs w:val="18"/>
          <w:lang w:val="fr-CA"/>
        </w:rPr>
      </w:pPr>
      <w:r w:rsidRPr="00D17B11">
        <w:rPr>
          <w:rStyle w:val="Appelnotedebasdep"/>
          <w:snapToGrid w:val="0"/>
          <w:kern w:val="18"/>
          <w:szCs w:val="18"/>
          <w:u w:val="none"/>
          <w:lang w:val="fr-CA"/>
        </w:rPr>
        <w:t>*</w:t>
      </w:r>
      <w:r w:rsidRPr="00D17B11">
        <w:rPr>
          <w:snapToGrid w:val="0"/>
          <w:kern w:val="18"/>
          <w:szCs w:val="18"/>
          <w:lang w:val="fr-CA"/>
        </w:rPr>
        <w:t xml:space="preserve"> </w:t>
      </w:r>
      <w:r w:rsidRPr="00CB6321">
        <w:rPr>
          <w:snapToGrid w:val="0"/>
          <w:kern w:val="18"/>
          <w:szCs w:val="18"/>
          <w:lang w:val="fr-CA"/>
        </w:rPr>
        <w:t>CBD/SBI/3/1.</w:t>
      </w:r>
    </w:p>
  </w:footnote>
  <w:footnote w:id="3">
    <w:p w14:paraId="78A4A9E4" w14:textId="5650C48E" w:rsidR="006E2CFC" w:rsidRPr="00083A26" w:rsidRDefault="006E2CFC" w:rsidP="00CE65F7">
      <w:pPr>
        <w:keepLines/>
        <w:suppressLineNumbers/>
        <w:suppressAutoHyphens/>
        <w:spacing w:after="60"/>
        <w:rPr>
          <w:kern w:val="18"/>
          <w:lang w:val="fr-CA"/>
        </w:rPr>
      </w:pPr>
      <w:r w:rsidRPr="003963F8">
        <w:rPr>
          <w:rStyle w:val="Appelnotedebasdep"/>
          <w:kern w:val="18"/>
          <w:vertAlign w:val="superscript"/>
        </w:rPr>
        <w:footnoteRef/>
      </w:r>
      <w:r w:rsidRPr="00083A26">
        <w:rPr>
          <w:kern w:val="18"/>
          <w:sz w:val="18"/>
          <w:lang w:val="fr-CA"/>
        </w:rPr>
        <w:t xml:space="preserve"> https://www.cbd.int/financial/gef8needs.</w:t>
      </w:r>
      <w:r>
        <w:rPr>
          <w:kern w:val="18"/>
          <w:sz w:val="18"/>
          <w:lang w:val="fr-CA"/>
        </w:rPr>
        <w:t>shtml</w:t>
      </w:r>
      <w:r w:rsidRPr="00083A26">
        <w:rPr>
          <w:kern w:val="18"/>
          <w:sz w:val="18"/>
          <w:lang w:val="fr-CA"/>
        </w:rPr>
        <w:t xml:space="preserve"> </w:t>
      </w:r>
      <w:r w:rsidRPr="00083A26">
        <w:rPr>
          <w:bCs/>
          <w:kern w:val="18"/>
          <w:sz w:val="18"/>
          <w:lang w:val="fr-CA"/>
        </w:rPr>
        <w:t xml:space="preserve"> </w:t>
      </w:r>
    </w:p>
  </w:footnote>
  <w:footnote w:id="4">
    <w:p w14:paraId="0022C908" w14:textId="77777777" w:rsidR="006E2CFC" w:rsidRPr="003963F8" w:rsidRDefault="006E2CFC" w:rsidP="00C54DAF">
      <w:pPr>
        <w:keepLines/>
        <w:suppressLineNumbers/>
        <w:suppressAutoHyphens/>
        <w:spacing w:after="60"/>
        <w:rPr>
          <w:kern w:val="18"/>
        </w:rPr>
      </w:pPr>
      <w:r w:rsidRPr="003963F8">
        <w:rPr>
          <w:rStyle w:val="Appelnotedebasdep"/>
          <w:kern w:val="18"/>
          <w:vertAlign w:val="superscript"/>
        </w:rPr>
        <w:footnoteRef/>
      </w:r>
      <w:r w:rsidRPr="003963F8">
        <w:rPr>
          <w:kern w:val="18"/>
          <w:sz w:val="18"/>
        </w:rPr>
        <w:t xml:space="preserve"> </w:t>
      </w:r>
      <w:r>
        <w:rPr>
          <w:bCs/>
          <w:kern w:val="18"/>
          <w:sz w:val="18"/>
        </w:rPr>
        <w:t>GEF-5, UNEP/CBD/COP/DEC/IX/31; GEF-</w:t>
      </w:r>
      <w:r w:rsidRPr="002857F0">
        <w:rPr>
          <w:bCs/>
          <w:kern w:val="18"/>
          <w:sz w:val="18"/>
        </w:rPr>
        <w:t xml:space="preserve">6, </w:t>
      </w:r>
      <w:r>
        <w:rPr>
          <w:bCs/>
          <w:kern w:val="18"/>
          <w:sz w:val="18"/>
        </w:rPr>
        <w:t>UNEP/CBD/COP/DEC/XI/5; GEF-</w:t>
      </w:r>
      <w:r w:rsidRPr="002857F0">
        <w:rPr>
          <w:bCs/>
          <w:kern w:val="18"/>
          <w:sz w:val="18"/>
        </w:rPr>
        <w:t>7, CBD/COP/DEC/XIII/21</w:t>
      </w:r>
    </w:p>
  </w:footnote>
  <w:footnote w:id="5">
    <w:p w14:paraId="488E14F4" w14:textId="77CEFBCA" w:rsidR="006E2CFC" w:rsidRPr="003963F8" w:rsidRDefault="006E2CFC" w:rsidP="00EC7D73">
      <w:pPr>
        <w:keepLines/>
        <w:suppressLineNumbers/>
        <w:suppressAutoHyphens/>
        <w:spacing w:after="60"/>
        <w:rPr>
          <w:kern w:val="18"/>
        </w:rPr>
      </w:pPr>
      <w:r w:rsidRPr="003963F8">
        <w:rPr>
          <w:rStyle w:val="Appelnotedebasdep"/>
          <w:kern w:val="18"/>
          <w:vertAlign w:val="superscript"/>
        </w:rPr>
        <w:footnoteRef/>
      </w:r>
      <w:r w:rsidRPr="003963F8">
        <w:rPr>
          <w:kern w:val="18"/>
          <w:sz w:val="18"/>
        </w:rPr>
        <w:t xml:space="preserve"> </w:t>
      </w:r>
      <w:r w:rsidRPr="00EC7D73">
        <w:rPr>
          <w:bCs/>
          <w:kern w:val="18"/>
          <w:sz w:val="18"/>
        </w:rPr>
        <w:t>CBD/POST2020/PREP/2/1</w:t>
      </w:r>
      <w:r>
        <w:rPr>
          <w:bCs/>
          <w:kern w:val="18"/>
          <w:sz w:val="18"/>
        </w:rPr>
        <w:t xml:space="preserve"> </w:t>
      </w:r>
    </w:p>
  </w:footnote>
  <w:footnote w:id="6">
    <w:p w14:paraId="247D0B27" w14:textId="593257A3" w:rsidR="006E2CFC" w:rsidRPr="00DD6B06" w:rsidRDefault="006E2CFC" w:rsidP="00550615">
      <w:pPr>
        <w:keepLines/>
        <w:suppressLineNumbers/>
        <w:suppressAutoHyphens/>
        <w:spacing w:after="60"/>
        <w:rPr>
          <w:kern w:val="18"/>
          <w:lang w:val="fr-CA"/>
        </w:rPr>
      </w:pPr>
      <w:r w:rsidRPr="008A0346">
        <w:rPr>
          <w:rStyle w:val="Appelnotedebasdep"/>
          <w:kern w:val="18"/>
          <w:u w:val="none"/>
          <w:vertAlign w:val="superscript"/>
        </w:rPr>
        <w:footnoteRef/>
      </w:r>
      <w:r w:rsidRPr="00DD6B06">
        <w:rPr>
          <w:kern w:val="18"/>
          <w:sz w:val="18"/>
          <w:lang w:val="fr-CA"/>
        </w:rPr>
        <w:t xml:space="preserve"> </w:t>
      </w:r>
      <w:r>
        <w:rPr>
          <w:kern w:val="18"/>
          <w:sz w:val="18"/>
          <w:lang w:val="fr-CA"/>
        </w:rPr>
        <w:t xml:space="preserve">Les pays fixeront des objectifs/indicateurs nationaux correspondant à ce cadre, et les progrès accomplis en vue de la réalisation des objectifs nationaux et mondiaux seront examinés périodiquement. Le cadre de suivi (voir </w:t>
      </w:r>
      <w:r w:rsidRPr="002543A0">
        <w:rPr>
          <w:kern w:val="18"/>
          <w:sz w:val="18"/>
          <w:lang w:val="fr-CA"/>
        </w:rPr>
        <w:t xml:space="preserve">CBD/SBSTTA/24/3 </w:t>
      </w:r>
      <w:r>
        <w:rPr>
          <w:kern w:val="18"/>
          <w:sz w:val="18"/>
          <w:lang w:val="fr-CA"/>
        </w:rPr>
        <w:t>et</w:t>
      </w:r>
      <w:r w:rsidRPr="002543A0">
        <w:rPr>
          <w:kern w:val="18"/>
          <w:sz w:val="18"/>
          <w:lang w:val="fr-CA"/>
        </w:rPr>
        <w:t xml:space="preserve"> CBD/SBSTTA/24/3/Add.1</w:t>
      </w:r>
      <w:r>
        <w:rPr>
          <w:kern w:val="18"/>
          <w:sz w:val="18"/>
          <w:lang w:val="fr-CA"/>
        </w:rPr>
        <w:t>) fournit plus de rensei</w:t>
      </w:r>
      <w:r w:rsidRPr="002543A0">
        <w:rPr>
          <w:kern w:val="18"/>
          <w:sz w:val="18"/>
          <w:lang w:val="fr-CA"/>
        </w:rPr>
        <w:t>gnements sur les indicateurs de progr</w:t>
      </w:r>
      <w:r>
        <w:rPr>
          <w:kern w:val="18"/>
          <w:sz w:val="18"/>
          <w:lang w:val="fr-CA"/>
        </w:rPr>
        <w:t>ès en vue de la réalisation des objectifs</w:t>
      </w:r>
      <w:r w:rsidRPr="00DD6B06">
        <w:rPr>
          <w:kern w:val="18"/>
          <w:sz w:val="18"/>
          <w:lang w:val="fr-CA"/>
        </w:rPr>
        <w:t>.</w:t>
      </w:r>
    </w:p>
  </w:footnote>
  <w:footnote w:id="7">
    <w:p w14:paraId="5B55D234" w14:textId="2F85ABD8" w:rsidR="006E2CFC" w:rsidRPr="00B05209" w:rsidRDefault="006E2CFC" w:rsidP="001F7D22">
      <w:pPr>
        <w:keepLines/>
        <w:suppressLineNumbers/>
        <w:suppressAutoHyphens/>
        <w:spacing w:after="60"/>
        <w:rPr>
          <w:kern w:val="18"/>
          <w:lang w:val="fr-CA"/>
        </w:rPr>
      </w:pPr>
      <w:r w:rsidRPr="0011729F">
        <w:rPr>
          <w:rStyle w:val="Appelnotedebasdep"/>
          <w:kern w:val="18"/>
          <w:u w:val="none"/>
          <w:vertAlign w:val="superscript"/>
        </w:rPr>
        <w:footnoteRef/>
      </w:r>
      <w:r w:rsidRPr="00D246C8">
        <w:rPr>
          <w:kern w:val="18"/>
          <w:sz w:val="18"/>
          <w:lang w:val="fr-CA"/>
        </w:rPr>
        <w:t xml:space="preserve"> </w:t>
      </w:r>
      <w:r w:rsidRPr="00B05209">
        <w:rPr>
          <w:kern w:val="18"/>
          <w:sz w:val="18"/>
          <w:lang w:val="fr-CA"/>
        </w:rPr>
        <w:t>Onzième réunion  du Groupe de travail spécial à composition non limitée sur l’article 8 j) et les dispositions connexes, vingt-quatrième réunion de l’Organe subsidiaire chargé de fournir des avis scientifiques, techniques et technologiques, première et deuxième réunions du Groupe de travail à composition non limitée sur le cadre mondial de la biodiversité pour l'après-2020.</w:t>
      </w:r>
    </w:p>
  </w:footnote>
  <w:footnote w:id="8">
    <w:p w14:paraId="04BD57EA" w14:textId="5B1769CB" w:rsidR="006E2CFC" w:rsidRPr="008B20C8" w:rsidRDefault="006E2CFC" w:rsidP="009A0D6B">
      <w:pPr>
        <w:keepLines/>
        <w:suppressLineNumbers/>
        <w:suppressAutoHyphens/>
        <w:spacing w:after="60"/>
        <w:rPr>
          <w:kern w:val="18"/>
          <w:sz w:val="18"/>
          <w:szCs w:val="18"/>
          <w:lang w:val="fr-CA"/>
        </w:rPr>
      </w:pPr>
      <w:r w:rsidRPr="00610B67">
        <w:rPr>
          <w:rStyle w:val="Appelnotedebasdep"/>
          <w:kern w:val="18"/>
          <w:szCs w:val="18"/>
          <w:u w:val="none"/>
          <w:vertAlign w:val="superscript"/>
          <w:lang w:val="en-GB"/>
        </w:rPr>
        <w:footnoteRef/>
      </w:r>
      <w:r w:rsidRPr="008B20C8">
        <w:rPr>
          <w:kern w:val="18"/>
          <w:sz w:val="18"/>
          <w:szCs w:val="18"/>
          <w:lang w:val="fr-CA"/>
        </w:rPr>
        <w:t xml:space="preserve"> La note sur la pl</w:t>
      </w:r>
      <w:r>
        <w:rPr>
          <w:kern w:val="18"/>
          <w:sz w:val="18"/>
          <w:szCs w:val="18"/>
          <w:lang w:val="fr-CA"/>
        </w:rPr>
        <w:t xml:space="preserve">anification </w:t>
      </w:r>
      <w:r w:rsidR="00B05209">
        <w:rPr>
          <w:kern w:val="18"/>
          <w:sz w:val="18"/>
          <w:szCs w:val="18"/>
          <w:lang w:val="fr-CA"/>
        </w:rPr>
        <w:t>pour</w:t>
      </w:r>
      <w:r>
        <w:rPr>
          <w:kern w:val="18"/>
          <w:sz w:val="18"/>
          <w:szCs w:val="18"/>
          <w:lang w:val="fr-CA"/>
        </w:rPr>
        <w:t xml:space="preserve"> la huitième reconstitution de la Caisse du FEM (GEF/R.8/Rev 01) est publiée sur le site Web du FEM au https://www.thegef.org/council-meetings/gef-8-replenishment-planning. Un lien vers ce document est également fourni sur la page des documents pour la troisième réunion de l’Organe subsidiaire chargé de l'application, sous l’onglet « other » documents</w:t>
      </w:r>
      <w:r w:rsidRPr="008B20C8">
        <w:rPr>
          <w:kern w:val="18"/>
          <w:sz w:val="18"/>
          <w:szCs w:val="18"/>
          <w:lang w:val="fr-CA"/>
        </w:rPr>
        <w:t>.</w:t>
      </w:r>
    </w:p>
  </w:footnote>
  <w:footnote w:id="9">
    <w:p w14:paraId="629EE7C9" w14:textId="7DBEB789" w:rsidR="006E2CFC" w:rsidRPr="009119AC" w:rsidRDefault="006E2CFC" w:rsidP="00EF0056">
      <w:pPr>
        <w:keepLines/>
        <w:suppressLineNumbers/>
        <w:suppressAutoHyphens/>
        <w:spacing w:after="60"/>
        <w:rPr>
          <w:kern w:val="18"/>
          <w:sz w:val="18"/>
          <w:szCs w:val="18"/>
          <w:lang w:val="fr-CA"/>
        </w:rPr>
      </w:pPr>
      <w:r w:rsidRPr="0011729F">
        <w:rPr>
          <w:rStyle w:val="Appelnotedebasdep"/>
          <w:kern w:val="18"/>
          <w:u w:val="none"/>
          <w:vertAlign w:val="superscript"/>
        </w:rPr>
        <w:footnoteRef/>
      </w:r>
      <w:r w:rsidRPr="009119AC">
        <w:rPr>
          <w:kern w:val="18"/>
          <w:sz w:val="18"/>
          <w:lang w:val="fr-CA"/>
        </w:rPr>
        <w:t xml:space="preserve"> </w:t>
      </w:r>
      <w:r>
        <w:rPr>
          <w:kern w:val="18"/>
          <w:sz w:val="18"/>
          <w:lang w:val="fr-CA"/>
        </w:rPr>
        <w:t>Les avis de l’Organe subsidiaire doivent être détaillés en fonction des résultats de la troisième réunion de l’Organe subsidiaire chargé de l'application. Ces avis peuvent être élaborés à partir des considérations offertes dans la partie IV du document</w:t>
      </w:r>
      <w:r w:rsidRPr="009119AC">
        <w:rPr>
          <w:bCs/>
          <w:kern w:val="22"/>
          <w:sz w:val="18"/>
          <w:szCs w:val="18"/>
          <w:lang w:val="fr-CA"/>
        </w:rPr>
        <w:t xml:space="preserve"> CBD/SBI/3/6.</w:t>
      </w:r>
    </w:p>
  </w:footnote>
  <w:footnote w:id="10">
    <w:p w14:paraId="5B4FD53D" w14:textId="35E06713" w:rsidR="006E2CFC" w:rsidRPr="00AB7C4D" w:rsidRDefault="006E2CFC" w:rsidP="00F2019C">
      <w:pPr>
        <w:keepLines/>
        <w:suppressLineNumbers/>
        <w:suppressAutoHyphens/>
        <w:spacing w:after="60"/>
        <w:rPr>
          <w:kern w:val="18"/>
          <w:lang w:val="fr-CA"/>
        </w:rPr>
      </w:pPr>
      <w:r w:rsidRPr="0011729F">
        <w:rPr>
          <w:rStyle w:val="Appelnotedebasdep"/>
          <w:kern w:val="18"/>
          <w:u w:val="none"/>
          <w:vertAlign w:val="superscript"/>
        </w:rPr>
        <w:footnoteRef/>
      </w:r>
      <w:r w:rsidRPr="00AB7C4D">
        <w:rPr>
          <w:kern w:val="18"/>
          <w:sz w:val="18"/>
          <w:lang w:val="fr-CA"/>
        </w:rPr>
        <w:t xml:space="preserve"> </w:t>
      </w:r>
      <w:r>
        <w:rPr>
          <w:bCs/>
          <w:kern w:val="18"/>
          <w:sz w:val="18"/>
          <w:lang w:val="fr-CA"/>
        </w:rPr>
        <w:t>Gardant à l’esprit que des éléments supplémentaires d’un projet de décision seront élaborés avant la quinzième réunion de la Conférence des Parties</w:t>
      </w:r>
      <w:r w:rsidRPr="00AB7C4D">
        <w:rPr>
          <w:bCs/>
          <w:kern w:val="18"/>
          <w:sz w:val="18"/>
          <w:lang w:val="fr-CA"/>
        </w:rPr>
        <w:t>.</w:t>
      </w:r>
    </w:p>
  </w:footnote>
  <w:footnote w:id="11">
    <w:p w14:paraId="6778D2D1" w14:textId="6270F0D2" w:rsidR="006E2CFC" w:rsidRPr="00AB7C4D" w:rsidRDefault="006E2CFC" w:rsidP="0011729F">
      <w:pPr>
        <w:pStyle w:val="Notedebasdepage"/>
        <w:numPr>
          <w:ilvl w:val="0"/>
          <w:numId w:val="0"/>
        </w:numPr>
        <w:rPr>
          <w:lang w:val="fr-CA"/>
        </w:rPr>
      </w:pPr>
      <w:r w:rsidRPr="00AB7C4D">
        <w:rPr>
          <w:rStyle w:val="Appelnotedebasdep"/>
          <w:u w:val="none"/>
          <w:vertAlign w:val="superscript"/>
          <w:lang w:val="fr-CA"/>
        </w:rPr>
        <w:footnoteRef/>
      </w:r>
      <w:r w:rsidRPr="00AB7C4D">
        <w:rPr>
          <w:lang w:val="fr-CA"/>
        </w:rPr>
        <w:t xml:space="preserve"> </w:t>
      </w:r>
      <w:r>
        <w:rPr>
          <w:lang w:val="fr-CA"/>
        </w:rPr>
        <w:t xml:space="preserve">L’évaluation du financement nécessaire et disponible pour l’application de la Convention et de ses Protocoles pour la huitième période de reconstitution (juillet 2020 à juin 2026) du Fonds pour l’environnement mondial sera finalisée conformément </w:t>
      </w:r>
      <w:r w:rsidR="00072E38">
        <w:rPr>
          <w:lang w:val="fr-CA"/>
        </w:rPr>
        <w:t>aux</w:t>
      </w:r>
      <w:r>
        <w:rPr>
          <w:lang w:val="fr-CA"/>
        </w:rPr>
        <w:t xml:space="preserve"> paragraphes 6 et 7 de la recommandation 3/- de l’Organe subsidiaire chargé de l'application</w:t>
      </w:r>
      <w:r w:rsidRPr="00AB7C4D">
        <w:rPr>
          <w:bCs/>
          <w:lang w:val="fr-CA"/>
        </w:rPr>
        <w:t>.</w:t>
      </w:r>
    </w:p>
  </w:footnote>
  <w:footnote w:id="12">
    <w:p w14:paraId="5DD0B107" w14:textId="77C92916" w:rsidR="006E2CFC" w:rsidRPr="00AB7C4D" w:rsidRDefault="006E2CFC" w:rsidP="0011729F">
      <w:pPr>
        <w:pStyle w:val="Notedebasdepage"/>
        <w:numPr>
          <w:ilvl w:val="0"/>
          <w:numId w:val="0"/>
        </w:numPr>
        <w:rPr>
          <w:lang w:val="fr-CA"/>
        </w:rPr>
      </w:pPr>
      <w:r w:rsidRPr="00AB7C4D">
        <w:rPr>
          <w:rStyle w:val="Appelnotedebasdep"/>
          <w:u w:val="none"/>
          <w:vertAlign w:val="superscript"/>
          <w:lang w:val="fr-CA"/>
        </w:rPr>
        <w:footnoteRef/>
      </w:r>
      <w:r w:rsidRPr="00AB7C4D">
        <w:rPr>
          <w:lang w:val="fr-CA"/>
        </w:rPr>
        <w:t xml:space="preserve"> </w:t>
      </w:r>
      <w:r>
        <w:rPr>
          <w:lang w:val="fr-CA"/>
        </w:rPr>
        <w:t>Le cadre quadriennal des priorités du programme pour la huitième période de reconstitution (juillet 2022 à juin 2026) de la Caisse du Fonds pour l’environnement mondial sera finalisé conformément aux paragraphes 8 et 9 de la recommandation 3/- de l’Organe subsidiaire chargé de l'application</w:t>
      </w:r>
      <w:r w:rsidRPr="00AB7C4D">
        <w:rPr>
          <w:bCs/>
          <w:lang w:val="fr-CA"/>
        </w:rPr>
        <w:t>.</w:t>
      </w:r>
    </w:p>
  </w:footnote>
  <w:footnote w:id="13">
    <w:p w14:paraId="08F81956" w14:textId="198BF9AF" w:rsidR="006E2CFC" w:rsidRPr="00AB7C4D" w:rsidRDefault="006E2CFC">
      <w:pPr>
        <w:pStyle w:val="Notedebasdepage"/>
        <w:numPr>
          <w:ilvl w:val="0"/>
          <w:numId w:val="0"/>
        </w:numPr>
        <w:rPr>
          <w:lang w:val="fr-CA"/>
        </w:rPr>
      </w:pPr>
      <w:r w:rsidRPr="00AB7C4D">
        <w:rPr>
          <w:rStyle w:val="Appelnotedebasdep"/>
          <w:u w:val="none"/>
          <w:vertAlign w:val="superscript"/>
          <w:lang w:val="fr-CA"/>
        </w:rPr>
        <w:footnoteRef/>
      </w:r>
      <w:r w:rsidRPr="00AB7C4D">
        <w:rPr>
          <w:lang w:val="fr-CA"/>
        </w:rPr>
        <w:t xml:space="preserve"> </w:t>
      </w:r>
      <w:r>
        <w:rPr>
          <w:lang w:val="fr-CA"/>
        </w:rPr>
        <w:t>Des orientations supplémentaires seront élaborées par la Conférence des Parties, ainsi que par la Conférence des Parties siégeant en tant que réunion des Parties au Protocole de Cartagena et au Protocole de Nagoya</w:t>
      </w:r>
      <w:r w:rsidRPr="00AB7C4D">
        <w:rPr>
          <w:lang w:val="fr-C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1C648" w14:textId="0A1D1A11" w:rsidR="006E2CFC" w:rsidRPr="00ED543F" w:rsidRDefault="006E2CFC" w:rsidP="00ED543F">
    <w:pPr>
      <w:pStyle w:val="En-tte"/>
      <w:keepLines/>
      <w:suppressLineNumbers/>
      <w:tabs>
        <w:tab w:val="clear" w:pos="4320"/>
        <w:tab w:val="clear" w:pos="8640"/>
      </w:tabs>
      <w:suppressAutoHyphens/>
      <w:rPr>
        <w:noProof/>
        <w:kern w:val="22"/>
        <w:sz w:val="22"/>
        <w:szCs w:val="22"/>
        <w:lang w:val="en-GB"/>
      </w:rPr>
    </w:pPr>
    <w:r w:rsidRPr="00ED543F">
      <w:rPr>
        <w:noProof/>
        <w:kern w:val="22"/>
        <w:sz w:val="22"/>
        <w:szCs w:val="22"/>
        <w:lang w:val="en-GB"/>
      </w:rPr>
      <w:t>CBD/SBI/3/</w:t>
    </w:r>
    <w:r>
      <w:rPr>
        <w:noProof/>
        <w:kern w:val="22"/>
        <w:sz w:val="22"/>
        <w:szCs w:val="22"/>
        <w:lang w:val="en-GB"/>
      </w:rPr>
      <w:t>6</w:t>
    </w:r>
  </w:p>
  <w:p w14:paraId="15BB9849" w14:textId="5C5142D0" w:rsidR="006E2CFC" w:rsidRPr="00ED543F" w:rsidRDefault="006E2CFC" w:rsidP="00ED543F">
    <w:pPr>
      <w:pStyle w:val="En-tte"/>
      <w:keepLines/>
      <w:suppressLineNumbers/>
      <w:tabs>
        <w:tab w:val="clear" w:pos="4320"/>
        <w:tab w:val="clear" w:pos="8640"/>
      </w:tabs>
      <w:suppressAutoHyphens/>
      <w:spacing w:after="240"/>
      <w:rPr>
        <w:noProof/>
        <w:kern w:val="22"/>
        <w:sz w:val="22"/>
        <w:szCs w:val="22"/>
        <w:lang w:val="en-GB"/>
      </w:rPr>
    </w:pPr>
    <w:r w:rsidRPr="00ED543F">
      <w:rPr>
        <w:noProof/>
        <w:kern w:val="22"/>
        <w:sz w:val="22"/>
        <w:szCs w:val="22"/>
        <w:lang w:val="en-GB"/>
      </w:rPr>
      <w:t xml:space="preserve">Page </w:t>
    </w:r>
    <w:r w:rsidRPr="00ED543F">
      <w:rPr>
        <w:bCs/>
        <w:noProof/>
        <w:kern w:val="22"/>
        <w:sz w:val="22"/>
        <w:szCs w:val="22"/>
        <w:lang w:val="en-GB"/>
      </w:rPr>
      <w:fldChar w:fldCharType="begin"/>
    </w:r>
    <w:r w:rsidRPr="00ED543F">
      <w:rPr>
        <w:bCs/>
        <w:noProof/>
        <w:kern w:val="22"/>
        <w:sz w:val="22"/>
        <w:szCs w:val="22"/>
        <w:lang w:val="en-GB"/>
      </w:rPr>
      <w:instrText xml:space="preserve"> PAGE </w:instrText>
    </w:r>
    <w:r w:rsidRPr="00ED543F">
      <w:rPr>
        <w:bCs/>
        <w:noProof/>
        <w:kern w:val="22"/>
        <w:sz w:val="22"/>
        <w:szCs w:val="22"/>
        <w:lang w:val="en-GB"/>
      </w:rPr>
      <w:fldChar w:fldCharType="separate"/>
    </w:r>
    <w:r w:rsidR="00276C77">
      <w:rPr>
        <w:bCs/>
        <w:noProof/>
        <w:kern w:val="22"/>
        <w:sz w:val="22"/>
        <w:szCs w:val="22"/>
        <w:lang w:val="en-GB"/>
      </w:rPr>
      <w:t>18</w:t>
    </w:r>
    <w:r w:rsidRPr="00ED543F">
      <w:rPr>
        <w:bCs/>
        <w:noProof/>
        <w:kern w:val="22"/>
        <w:sz w:val="22"/>
        <w:szCs w:val="22"/>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118EA" w14:textId="13FB4FB0" w:rsidR="006E2CFC" w:rsidRPr="00ED543F" w:rsidRDefault="006E2CFC" w:rsidP="00ED543F">
    <w:pPr>
      <w:pStyle w:val="En-tte"/>
      <w:keepLines/>
      <w:suppressLineNumbers/>
      <w:tabs>
        <w:tab w:val="clear" w:pos="4320"/>
        <w:tab w:val="clear" w:pos="8640"/>
      </w:tabs>
      <w:suppressAutoHyphens/>
      <w:jc w:val="right"/>
      <w:rPr>
        <w:noProof/>
        <w:kern w:val="22"/>
        <w:sz w:val="22"/>
        <w:szCs w:val="22"/>
      </w:rPr>
    </w:pPr>
    <w:r w:rsidRPr="00ED543F">
      <w:rPr>
        <w:noProof/>
        <w:kern w:val="22"/>
        <w:sz w:val="22"/>
        <w:szCs w:val="22"/>
      </w:rPr>
      <w:t>CBD/SBI/3/</w:t>
    </w:r>
    <w:r>
      <w:rPr>
        <w:noProof/>
        <w:kern w:val="22"/>
        <w:sz w:val="22"/>
        <w:szCs w:val="22"/>
      </w:rPr>
      <w:t>6</w:t>
    </w:r>
  </w:p>
  <w:p w14:paraId="344C5F3B" w14:textId="347D0865" w:rsidR="006E2CFC" w:rsidRPr="00ED543F" w:rsidRDefault="006E2CFC" w:rsidP="00ED543F">
    <w:pPr>
      <w:pStyle w:val="En-tte"/>
      <w:keepLines/>
      <w:suppressLineNumbers/>
      <w:tabs>
        <w:tab w:val="clear" w:pos="4320"/>
        <w:tab w:val="clear" w:pos="8640"/>
      </w:tabs>
      <w:suppressAutoHyphens/>
      <w:spacing w:after="240"/>
      <w:jc w:val="right"/>
      <w:rPr>
        <w:noProof/>
        <w:kern w:val="22"/>
        <w:sz w:val="22"/>
        <w:szCs w:val="22"/>
      </w:rPr>
    </w:pPr>
    <w:r w:rsidRPr="00ED543F">
      <w:rPr>
        <w:noProof/>
        <w:kern w:val="22"/>
        <w:sz w:val="22"/>
        <w:szCs w:val="22"/>
      </w:rPr>
      <w:t xml:space="preserve">Page </w:t>
    </w:r>
    <w:r w:rsidRPr="00ED543F">
      <w:rPr>
        <w:bCs/>
        <w:noProof/>
        <w:kern w:val="22"/>
        <w:sz w:val="22"/>
        <w:szCs w:val="22"/>
      </w:rPr>
      <w:fldChar w:fldCharType="begin"/>
    </w:r>
    <w:r w:rsidRPr="00ED543F">
      <w:rPr>
        <w:bCs/>
        <w:noProof/>
        <w:kern w:val="22"/>
        <w:sz w:val="22"/>
        <w:szCs w:val="22"/>
      </w:rPr>
      <w:instrText xml:space="preserve"> PAGE </w:instrText>
    </w:r>
    <w:r w:rsidRPr="00ED543F">
      <w:rPr>
        <w:bCs/>
        <w:noProof/>
        <w:kern w:val="22"/>
        <w:sz w:val="22"/>
        <w:szCs w:val="22"/>
      </w:rPr>
      <w:fldChar w:fldCharType="separate"/>
    </w:r>
    <w:r w:rsidR="00276C77">
      <w:rPr>
        <w:bCs/>
        <w:noProof/>
        <w:kern w:val="22"/>
        <w:sz w:val="22"/>
        <w:szCs w:val="22"/>
      </w:rPr>
      <w:t>19</w:t>
    </w:r>
    <w:r w:rsidRPr="00ED543F">
      <w:rPr>
        <w:bCs/>
        <w:noProof/>
        <w:kern w:val="22"/>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6959"/>
    <w:multiLevelType w:val="hybridMultilevel"/>
    <w:tmpl w:val="848EBBD4"/>
    <w:lvl w:ilvl="0" w:tplc="D436A82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15:restartNumberingAfterBreak="0">
    <w:nsid w:val="25D819D9"/>
    <w:multiLevelType w:val="hybridMultilevel"/>
    <w:tmpl w:val="FB048764"/>
    <w:lvl w:ilvl="0" w:tplc="1009000B">
      <w:start w:val="1"/>
      <w:numFmt w:val="bullet"/>
      <w:lvlText w:val=""/>
      <w:lvlJc w:val="left"/>
      <w:pPr>
        <w:ind w:left="720" w:hanging="360"/>
      </w:pPr>
      <w:rPr>
        <w:rFonts w:ascii="Wingdings" w:hAnsi="Wingdings" w:hint="default"/>
      </w:rPr>
    </w:lvl>
    <w:lvl w:ilvl="1" w:tplc="7A8A90CA">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5513560"/>
    <w:multiLevelType w:val="hybridMultilevel"/>
    <w:tmpl w:val="D61447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8"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9" w15:restartNumberingAfterBreak="0">
    <w:nsid w:val="40D278F0"/>
    <w:multiLevelType w:val="hybridMultilevel"/>
    <w:tmpl w:val="848EBBD4"/>
    <w:lvl w:ilvl="0" w:tplc="D436A82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15:restartNumberingAfterBreak="0">
    <w:nsid w:val="4E0442B4"/>
    <w:multiLevelType w:val="multilevel"/>
    <w:tmpl w:val="11E6F11E"/>
    <w:lvl w:ilvl="0">
      <w:start w:val="1"/>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6245FA1"/>
    <w:multiLevelType w:val="multilevel"/>
    <w:tmpl w:val="98F8E9A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bCs w:val="0"/>
        <w:i w:val="0"/>
      </w:rPr>
    </w:lvl>
    <w:lvl w:ilvl="2">
      <w:start w:val="1"/>
      <w:numFmt w:val="lowerRoman"/>
      <w:pStyle w:val="Notedebasdepage"/>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9AE2FF4"/>
    <w:multiLevelType w:val="hybridMultilevel"/>
    <w:tmpl w:val="605058E8"/>
    <w:lvl w:ilvl="0" w:tplc="8E9C7300">
      <w:start w:val="1"/>
      <w:numFmt w:val="upperRoman"/>
      <w:lvlText w:val="%1."/>
      <w:lvlJc w:val="left"/>
      <w:pPr>
        <w:ind w:left="1287" w:hanging="72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61362455"/>
    <w:multiLevelType w:val="hybridMultilevel"/>
    <w:tmpl w:val="86E685EA"/>
    <w:lvl w:ilvl="0" w:tplc="FFFFFFFF">
      <w:start w:val="1"/>
      <w:numFmt w:val="decimal"/>
      <w:pStyle w:val="CBD-Para-1"/>
      <w:lvlText w:val="%1."/>
      <w:lvlJc w:val="left"/>
      <w:pPr>
        <w:ind w:left="1440" w:hanging="360"/>
      </w:pPr>
      <w:rPr>
        <w:b w:val="0"/>
      </w:rPr>
    </w:lvl>
    <w:lvl w:ilvl="1" w:tplc="FFFFFFFF">
      <w:start w:val="1"/>
      <w:numFmt w:val="lowerLetter"/>
      <w:lvlText w:val="%2."/>
      <w:lvlJc w:val="left"/>
      <w:pPr>
        <w:ind w:left="2160" w:hanging="360"/>
      </w:pPr>
      <w:rPr>
        <w:b w:val="0"/>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64EE46A3"/>
    <w:multiLevelType w:val="hybridMultilevel"/>
    <w:tmpl w:val="546041FE"/>
    <w:lvl w:ilvl="0" w:tplc="79A66D20">
      <w:start w:val="1"/>
      <w:numFmt w:val="decimal"/>
      <w:lvlText w:val="%1."/>
      <w:lvlJc w:val="left"/>
      <w:pPr>
        <w:ind w:left="360" w:hanging="360"/>
      </w:pPr>
      <w:rPr>
        <w:b w:val="0"/>
        <w:i w:val="0"/>
        <w:sz w:val="22"/>
        <w:lang w:val="en-CA"/>
      </w:rPr>
    </w:lvl>
    <w:lvl w:ilvl="1" w:tplc="0430ED7A">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1" w15:restartNumberingAfterBreak="0">
    <w:nsid w:val="65AB1F40"/>
    <w:multiLevelType w:val="hybridMultilevel"/>
    <w:tmpl w:val="EF066B28"/>
    <w:lvl w:ilvl="0" w:tplc="7856F1D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44378F"/>
    <w:multiLevelType w:val="hybridMultilevel"/>
    <w:tmpl w:val="4B2AD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DD1D63"/>
    <w:multiLevelType w:val="multilevel"/>
    <w:tmpl w:val="42E6CB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12"/>
  </w:num>
  <w:num w:numId="3">
    <w:abstractNumId w:val="10"/>
    <w:lvlOverride w:ilvl="0">
      <w:startOverride w:val="1"/>
    </w:lvlOverride>
  </w:num>
  <w:num w:numId="4">
    <w:abstractNumId w:val="1"/>
  </w:num>
  <w:num w:numId="5">
    <w:abstractNumId w:val="5"/>
  </w:num>
  <w:num w:numId="6">
    <w:abstractNumId w:val="20"/>
  </w:num>
  <w:num w:numId="7">
    <w:abstractNumId w:val="14"/>
  </w:num>
  <w:num w:numId="8">
    <w:abstractNumId w:val="7"/>
  </w:num>
  <w:num w:numId="9">
    <w:abstractNumId w:val="11"/>
  </w:num>
  <w:num w:numId="10">
    <w:abstractNumId w:val="8"/>
  </w:num>
  <w:num w:numId="11">
    <w:abstractNumId w:val="16"/>
  </w:num>
  <w:num w:numId="12">
    <w:abstractNumId w:val="3"/>
  </w:num>
  <w:num w:numId="13">
    <w:abstractNumId w:val="19"/>
  </w:num>
  <w:num w:numId="14">
    <w:abstractNumId w:val="13"/>
  </w:num>
  <w:num w:numId="15">
    <w:abstractNumId w:val="18"/>
  </w:num>
  <w:num w:numId="16">
    <w:abstractNumId w:val="2"/>
  </w:num>
  <w:num w:numId="17">
    <w:abstractNumId w:val="0"/>
  </w:num>
  <w:num w:numId="18">
    <w:abstractNumId w:val="6"/>
  </w:num>
  <w:num w:numId="19">
    <w:abstractNumId w:val="1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1"/>
  </w:num>
  <w:num w:numId="24">
    <w:abstractNumId w:val="9"/>
  </w:num>
  <w:num w:numId="25">
    <w:abstractNumId w:val="23"/>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CA" w:vendorID="64" w:dllVersion="0" w:nlCheck="1" w:checkStyle="0"/>
  <w:activeWritingStyle w:appName="MSWord" w:lang="en-CA" w:vendorID="64" w:dllVersion="4096" w:nlCheck="1" w:checkStyle="0"/>
  <w:activeWritingStyle w:appName="MSWord" w:lang="en-US" w:vendorID="64" w:dllVersion="0" w:nlCheck="1" w:checkStyle="0"/>
  <w:activeWritingStyle w:appName="MSWord" w:lang="fr-CA"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10"/>
  <w:displayHorizontalDrawingGridEvery w:val="0"/>
  <w:displayVerticalDrawingGridEvery w:val="0"/>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E0F"/>
    <w:rsid w:val="00000782"/>
    <w:rsid w:val="00001D66"/>
    <w:rsid w:val="00003238"/>
    <w:rsid w:val="0000395C"/>
    <w:rsid w:val="00003DA3"/>
    <w:rsid w:val="00004380"/>
    <w:rsid w:val="000047A7"/>
    <w:rsid w:val="00005724"/>
    <w:rsid w:val="00005E4D"/>
    <w:rsid w:val="000064AF"/>
    <w:rsid w:val="00006A12"/>
    <w:rsid w:val="0000752C"/>
    <w:rsid w:val="00007D03"/>
    <w:rsid w:val="0001023E"/>
    <w:rsid w:val="000106DF"/>
    <w:rsid w:val="00011122"/>
    <w:rsid w:val="00011546"/>
    <w:rsid w:val="00011731"/>
    <w:rsid w:val="00011B60"/>
    <w:rsid w:val="00011B6F"/>
    <w:rsid w:val="00011D38"/>
    <w:rsid w:val="00011E10"/>
    <w:rsid w:val="00011EC4"/>
    <w:rsid w:val="000130EE"/>
    <w:rsid w:val="000137DC"/>
    <w:rsid w:val="00013D92"/>
    <w:rsid w:val="00014137"/>
    <w:rsid w:val="00015385"/>
    <w:rsid w:val="000157BF"/>
    <w:rsid w:val="00015AA4"/>
    <w:rsid w:val="00015E58"/>
    <w:rsid w:val="00015F50"/>
    <w:rsid w:val="00016316"/>
    <w:rsid w:val="0001785A"/>
    <w:rsid w:val="00020EEC"/>
    <w:rsid w:val="00021D54"/>
    <w:rsid w:val="00021FB4"/>
    <w:rsid w:val="00022F52"/>
    <w:rsid w:val="00023270"/>
    <w:rsid w:val="00023D05"/>
    <w:rsid w:val="00024430"/>
    <w:rsid w:val="00024F21"/>
    <w:rsid w:val="00025298"/>
    <w:rsid w:val="0002569C"/>
    <w:rsid w:val="000261A5"/>
    <w:rsid w:val="00026D45"/>
    <w:rsid w:val="000270CE"/>
    <w:rsid w:val="0003089F"/>
    <w:rsid w:val="00030AFA"/>
    <w:rsid w:val="00031D50"/>
    <w:rsid w:val="0003261C"/>
    <w:rsid w:val="00032DE7"/>
    <w:rsid w:val="000332D4"/>
    <w:rsid w:val="0003374F"/>
    <w:rsid w:val="00036584"/>
    <w:rsid w:val="0003698A"/>
    <w:rsid w:val="00036EC8"/>
    <w:rsid w:val="0003703A"/>
    <w:rsid w:val="00037628"/>
    <w:rsid w:val="000379C5"/>
    <w:rsid w:val="00037B77"/>
    <w:rsid w:val="000400FA"/>
    <w:rsid w:val="000403AC"/>
    <w:rsid w:val="00040D2C"/>
    <w:rsid w:val="00040DEC"/>
    <w:rsid w:val="0004131C"/>
    <w:rsid w:val="00042F13"/>
    <w:rsid w:val="00043AD0"/>
    <w:rsid w:val="00044448"/>
    <w:rsid w:val="00045D03"/>
    <w:rsid w:val="00047858"/>
    <w:rsid w:val="00050FA5"/>
    <w:rsid w:val="000521F3"/>
    <w:rsid w:val="000529D1"/>
    <w:rsid w:val="00052B0D"/>
    <w:rsid w:val="00052C88"/>
    <w:rsid w:val="00052D9D"/>
    <w:rsid w:val="00054A4D"/>
    <w:rsid w:val="000554AA"/>
    <w:rsid w:val="000560B9"/>
    <w:rsid w:val="00056812"/>
    <w:rsid w:val="00057114"/>
    <w:rsid w:val="000577B0"/>
    <w:rsid w:val="00057950"/>
    <w:rsid w:val="000579A1"/>
    <w:rsid w:val="00060156"/>
    <w:rsid w:val="000604C1"/>
    <w:rsid w:val="000609D1"/>
    <w:rsid w:val="000613DB"/>
    <w:rsid w:val="000615F9"/>
    <w:rsid w:val="00062983"/>
    <w:rsid w:val="00062E18"/>
    <w:rsid w:val="00063619"/>
    <w:rsid w:val="000636D0"/>
    <w:rsid w:val="0006395B"/>
    <w:rsid w:val="000644E6"/>
    <w:rsid w:val="00064CD0"/>
    <w:rsid w:val="00065E05"/>
    <w:rsid w:val="00066CD8"/>
    <w:rsid w:val="0006711B"/>
    <w:rsid w:val="0006714C"/>
    <w:rsid w:val="00070654"/>
    <w:rsid w:val="00070E02"/>
    <w:rsid w:val="000719F5"/>
    <w:rsid w:val="00071D02"/>
    <w:rsid w:val="00072E38"/>
    <w:rsid w:val="00073903"/>
    <w:rsid w:val="00073DCF"/>
    <w:rsid w:val="00076574"/>
    <w:rsid w:val="000768AB"/>
    <w:rsid w:val="00076DAA"/>
    <w:rsid w:val="0008148F"/>
    <w:rsid w:val="00081A12"/>
    <w:rsid w:val="000823ED"/>
    <w:rsid w:val="00082AF6"/>
    <w:rsid w:val="00083167"/>
    <w:rsid w:val="0008365A"/>
    <w:rsid w:val="00083A26"/>
    <w:rsid w:val="00083EFA"/>
    <w:rsid w:val="00083F57"/>
    <w:rsid w:val="0008445C"/>
    <w:rsid w:val="00084640"/>
    <w:rsid w:val="00084DE7"/>
    <w:rsid w:val="000856B7"/>
    <w:rsid w:val="000857F4"/>
    <w:rsid w:val="0008586B"/>
    <w:rsid w:val="00086AB1"/>
    <w:rsid w:val="00087ABB"/>
    <w:rsid w:val="00090E40"/>
    <w:rsid w:val="00092340"/>
    <w:rsid w:val="0009237F"/>
    <w:rsid w:val="000927B5"/>
    <w:rsid w:val="00093501"/>
    <w:rsid w:val="00093703"/>
    <w:rsid w:val="000937AA"/>
    <w:rsid w:val="000948E5"/>
    <w:rsid w:val="00094BE7"/>
    <w:rsid w:val="00094C9B"/>
    <w:rsid w:val="00094EA8"/>
    <w:rsid w:val="0009593E"/>
    <w:rsid w:val="00095BBA"/>
    <w:rsid w:val="00095FB3"/>
    <w:rsid w:val="000962A9"/>
    <w:rsid w:val="0009645C"/>
    <w:rsid w:val="000965D7"/>
    <w:rsid w:val="00096CE5"/>
    <w:rsid w:val="000A0339"/>
    <w:rsid w:val="000A049D"/>
    <w:rsid w:val="000A0AB2"/>
    <w:rsid w:val="000A1021"/>
    <w:rsid w:val="000A2CDC"/>
    <w:rsid w:val="000A2EF5"/>
    <w:rsid w:val="000A37DF"/>
    <w:rsid w:val="000A3E0B"/>
    <w:rsid w:val="000A4CB7"/>
    <w:rsid w:val="000A610E"/>
    <w:rsid w:val="000A6299"/>
    <w:rsid w:val="000A6ED7"/>
    <w:rsid w:val="000A756B"/>
    <w:rsid w:val="000B0C7D"/>
    <w:rsid w:val="000B11A5"/>
    <w:rsid w:val="000B190D"/>
    <w:rsid w:val="000B1F25"/>
    <w:rsid w:val="000B2703"/>
    <w:rsid w:val="000B2998"/>
    <w:rsid w:val="000B3673"/>
    <w:rsid w:val="000B371E"/>
    <w:rsid w:val="000B3DAC"/>
    <w:rsid w:val="000B4303"/>
    <w:rsid w:val="000B4DCE"/>
    <w:rsid w:val="000B53BC"/>
    <w:rsid w:val="000B56BE"/>
    <w:rsid w:val="000B6E52"/>
    <w:rsid w:val="000B7DE4"/>
    <w:rsid w:val="000C06F8"/>
    <w:rsid w:val="000C0DAE"/>
    <w:rsid w:val="000C1A1F"/>
    <w:rsid w:val="000C24A8"/>
    <w:rsid w:val="000C29BC"/>
    <w:rsid w:val="000C2FBA"/>
    <w:rsid w:val="000C36FF"/>
    <w:rsid w:val="000C3E08"/>
    <w:rsid w:val="000C4970"/>
    <w:rsid w:val="000C5395"/>
    <w:rsid w:val="000C6567"/>
    <w:rsid w:val="000C6CC1"/>
    <w:rsid w:val="000C7659"/>
    <w:rsid w:val="000C7AED"/>
    <w:rsid w:val="000D0524"/>
    <w:rsid w:val="000D0625"/>
    <w:rsid w:val="000D0D11"/>
    <w:rsid w:val="000D1057"/>
    <w:rsid w:val="000D118D"/>
    <w:rsid w:val="000D178B"/>
    <w:rsid w:val="000D1B44"/>
    <w:rsid w:val="000D2531"/>
    <w:rsid w:val="000D32D5"/>
    <w:rsid w:val="000D385B"/>
    <w:rsid w:val="000D4525"/>
    <w:rsid w:val="000D4B87"/>
    <w:rsid w:val="000D6963"/>
    <w:rsid w:val="000D732B"/>
    <w:rsid w:val="000D742A"/>
    <w:rsid w:val="000E1262"/>
    <w:rsid w:val="000E15CE"/>
    <w:rsid w:val="000E2858"/>
    <w:rsid w:val="000E2B3F"/>
    <w:rsid w:val="000E328C"/>
    <w:rsid w:val="000E3FEA"/>
    <w:rsid w:val="000E44EB"/>
    <w:rsid w:val="000E4558"/>
    <w:rsid w:val="000E5529"/>
    <w:rsid w:val="000E590C"/>
    <w:rsid w:val="000E667D"/>
    <w:rsid w:val="000E6D08"/>
    <w:rsid w:val="000E71FB"/>
    <w:rsid w:val="000F03CC"/>
    <w:rsid w:val="000F0779"/>
    <w:rsid w:val="000F0981"/>
    <w:rsid w:val="000F0B04"/>
    <w:rsid w:val="000F0B1A"/>
    <w:rsid w:val="000F1F99"/>
    <w:rsid w:val="000F20E2"/>
    <w:rsid w:val="000F27AD"/>
    <w:rsid w:val="000F286D"/>
    <w:rsid w:val="000F3EA4"/>
    <w:rsid w:val="000F478E"/>
    <w:rsid w:val="000F4D69"/>
    <w:rsid w:val="000F55A4"/>
    <w:rsid w:val="000F599B"/>
    <w:rsid w:val="000F5C2E"/>
    <w:rsid w:val="000F5D41"/>
    <w:rsid w:val="000F6343"/>
    <w:rsid w:val="000F6F19"/>
    <w:rsid w:val="000F78FD"/>
    <w:rsid w:val="00101A5F"/>
    <w:rsid w:val="00101BF1"/>
    <w:rsid w:val="00101E91"/>
    <w:rsid w:val="00102DB3"/>
    <w:rsid w:val="001031F0"/>
    <w:rsid w:val="0010379D"/>
    <w:rsid w:val="00103F71"/>
    <w:rsid w:val="001048B5"/>
    <w:rsid w:val="00104E73"/>
    <w:rsid w:val="00105013"/>
    <w:rsid w:val="00105712"/>
    <w:rsid w:val="00105750"/>
    <w:rsid w:val="00105819"/>
    <w:rsid w:val="00105A40"/>
    <w:rsid w:val="00106900"/>
    <w:rsid w:val="00106A1E"/>
    <w:rsid w:val="00106B80"/>
    <w:rsid w:val="001101D4"/>
    <w:rsid w:val="00110D4C"/>
    <w:rsid w:val="00111C04"/>
    <w:rsid w:val="001122E9"/>
    <w:rsid w:val="0011245E"/>
    <w:rsid w:val="00113EF4"/>
    <w:rsid w:val="0011459D"/>
    <w:rsid w:val="0011689E"/>
    <w:rsid w:val="00116DC4"/>
    <w:rsid w:val="00116FFB"/>
    <w:rsid w:val="001171E8"/>
    <w:rsid w:val="0011729F"/>
    <w:rsid w:val="001178CC"/>
    <w:rsid w:val="001178F3"/>
    <w:rsid w:val="00120DAA"/>
    <w:rsid w:val="00120F8D"/>
    <w:rsid w:val="001221C3"/>
    <w:rsid w:val="00122AA3"/>
    <w:rsid w:val="00122DD5"/>
    <w:rsid w:val="001239FF"/>
    <w:rsid w:val="00123CB5"/>
    <w:rsid w:val="00123E8C"/>
    <w:rsid w:val="00123EFB"/>
    <w:rsid w:val="00124153"/>
    <w:rsid w:val="0012456B"/>
    <w:rsid w:val="00124821"/>
    <w:rsid w:val="00124F73"/>
    <w:rsid w:val="001251E9"/>
    <w:rsid w:val="0012526A"/>
    <w:rsid w:val="00125806"/>
    <w:rsid w:val="0012695E"/>
    <w:rsid w:val="00126993"/>
    <w:rsid w:val="00126AEA"/>
    <w:rsid w:val="00127268"/>
    <w:rsid w:val="001275BC"/>
    <w:rsid w:val="00130272"/>
    <w:rsid w:val="00131414"/>
    <w:rsid w:val="00131C65"/>
    <w:rsid w:val="001325CC"/>
    <w:rsid w:val="001343B9"/>
    <w:rsid w:val="001343FE"/>
    <w:rsid w:val="00135171"/>
    <w:rsid w:val="0013524D"/>
    <w:rsid w:val="001352FA"/>
    <w:rsid w:val="00136308"/>
    <w:rsid w:val="001366E4"/>
    <w:rsid w:val="0013691E"/>
    <w:rsid w:val="00136C38"/>
    <w:rsid w:val="00137579"/>
    <w:rsid w:val="0013779D"/>
    <w:rsid w:val="001401BA"/>
    <w:rsid w:val="001406C5"/>
    <w:rsid w:val="001416C5"/>
    <w:rsid w:val="001417CA"/>
    <w:rsid w:val="001423AD"/>
    <w:rsid w:val="00142A17"/>
    <w:rsid w:val="00142ED7"/>
    <w:rsid w:val="00143C89"/>
    <w:rsid w:val="00143DF1"/>
    <w:rsid w:val="0014421F"/>
    <w:rsid w:val="00144D88"/>
    <w:rsid w:val="001468B6"/>
    <w:rsid w:val="00146C45"/>
    <w:rsid w:val="00146D8E"/>
    <w:rsid w:val="0014781A"/>
    <w:rsid w:val="00147A01"/>
    <w:rsid w:val="0015004A"/>
    <w:rsid w:val="001503E2"/>
    <w:rsid w:val="00150BB2"/>
    <w:rsid w:val="00153349"/>
    <w:rsid w:val="00156168"/>
    <w:rsid w:val="00156977"/>
    <w:rsid w:val="00156D5A"/>
    <w:rsid w:val="001573C5"/>
    <w:rsid w:val="00157E56"/>
    <w:rsid w:val="00157F37"/>
    <w:rsid w:val="0016130A"/>
    <w:rsid w:val="00161F89"/>
    <w:rsid w:val="0016273C"/>
    <w:rsid w:val="0016296B"/>
    <w:rsid w:val="0016330A"/>
    <w:rsid w:val="00163321"/>
    <w:rsid w:val="001636DF"/>
    <w:rsid w:val="00163A97"/>
    <w:rsid w:val="00163E99"/>
    <w:rsid w:val="00164124"/>
    <w:rsid w:val="001645D2"/>
    <w:rsid w:val="001647F0"/>
    <w:rsid w:val="00164832"/>
    <w:rsid w:val="0017060C"/>
    <w:rsid w:val="0017253E"/>
    <w:rsid w:val="00174C7A"/>
    <w:rsid w:val="00175CA4"/>
    <w:rsid w:val="00175CE3"/>
    <w:rsid w:val="00181849"/>
    <w:rsid w:val="001821AE"/>
    <w:rsid w:val="0018289D"/>
    <w:rsid w:val="00183BAA"/>
    <w:rsid w:val="001841AA"/>
    <w:rsid w:val="001841C5"/>
    <w:rsid w:val="00184CF6"/>
    <w:rsid w:val="00186147"/>
    <w:rsid w:val="00187126"/>
    <w:rsid w:val="0018717F"/>
    <w:rsid w:val="00187622"/>
    <w:rsid w:val="00187D7A"/>
    <w:rsid w:val="001904B6"/>
    <w:rsid w:val="0019083F"/>
    <w:rsid w:val="00190F7D"/>
    <w:rsid w:val="00191514"/>
    <w:rsid w:val="00191686"/>
    <w:rsid w:val="001926EE"/>
    <w:rsid w:val="00192784"/>
    <w:rsid w:val="0019286D"/>
    <w:rsid w:val="001938F6"/>
    <w:rsid w:val="00194CFA"/>
    <w:rsid w:val="00194FF2"/>
    <w:rsid w:val="0019568D"/>
    <w:rsid w:val="00196278"/>
    <w:rsid w:val="001966DB"/>
    <w:rsid w:val="00196CD5"/>
    <w:rsid w:val="001972B8"/>
    <w:rsid w:val="0019744E"/>
    <w:rsid w:val="001A0585"/>
    <w:rsid w:val="001A08ED"/>
    <w:rsid w:val="001A0BC8"/>
    <w:rsid w:val="001A1309"/>
    <w:rsid w:val="001A13F6"/>
    <w:rsid w:val="001A1A8C"/>
    <w:rsid w:val="001A1B02"/>
    <w:rsid w:val="001A26E2"/>
    <w:rsid w:val="001A40CD"/>
    <w:rsid w:val="001A4154"/>
    <w:rsid w:val="001A6D42"/>
    <w:rsid w:val="001A76F8"/>
    <w:rsid w:val="001A7946"/>
    <w:rsid w:val="001A7D5E"/>
    <w:rsid w:val="001B08C1"/>
    <w:rsid w:val="001B14DD"/>
    <w:rsid w:val="001B19D9"/>
    <w:rsid w:val="001B1AF1"/>
    <w:rsid w:val="001B2C58"/>
    <w:rsid w:val="001B2CDE"/>
    <w:rsid w:val="001B2F43"/>
    <w:rsid w:val="001B412D"/>
    <w:rsid w:val="001B6130"/>
    <w:rsid w:val="001B73B3"/>
    <w:rsid w:val="001B7441"/>
    <w:rsid w:val="001B746A"/>
    <w:rsid w:val="001B7564"/>
    <w:rsid w:val="001B7CFC"/>
    <w:rsid w:val="001B7FE3"/>
    <w:rsid w:val="001C13C0"/>
    <w:rsid w:val="001C19F0"/>
    <w:rsid w:val="001C1A86"/>
    <w:rsid w:val="001C2D65"/>
    <w:rsid w:val="001C3AD2"/>
    <w:rsid w:val="001C4823"/>
    <w:rsid w:val="001C57A1"/>
    <w:rsid w:val="001C65AB"/>
    <w:rsid w:val="001C73C9"/>
    <w:rsid w:val="001C76AD"/>
    <w:rsid w:val="001C7D79"/>
    <w:rsid w:val="001C7EF2"/>
    <w:rsid w:val="001D0A49"/>
    <w:rsid w:val="001D188A"/>
    <w:rsid w:val="001D1B7B"/>
    <w:rsid w:val="001D2209"/>
    <w:rsid w:val="001D2772"/>
    <w:rsid w:val="001D2CD9"/>
    <w:rsid w:val="001D34E6"/>
    <w:rsid w:val="001D37AA"/>
    <w:rsid w:val="001D428D"/>
    <w:rsid w:val="001D4521"/>
    <w:rsid w:val="001D4538"/>
    <w:rsid w:val="001D4BA9"/>
    <w:rsid w:val="001D613E"/>
    <w:rsid w:val="001D7193"/>
    <w:rsid w:val="001E03DA"/>
    <w:rsid w:val="001E0D5A"/>
    <w:rsid w:val="001E13F4"/>
    <w:rsid w:val="001E17B8"/>
    <w:rsid w:val="001E199C"/>
    <w:rsid w:val="001E1F80"/>
    <w:rsid w:val="001E2BB2"/>
    <w:rsid w:val="001E36EA"/>
    <w:rsid w:val="001E3D65"/>
    <w:rsid w:val="001E3ECE"/>
    <w:rsid w:val="001E41D6"/>
    <w:rsid w:val="001E5074"/>
    <w:rsid w:val="001E73B7"/>
    <w:rsid w:val="001F0221"/>
    <w:rsid w:val="001F03A1"/>
    <w:rsid w:val="001F0A33"/>
    <w:rsid w:val="001F1DE6"/>
    <w:rsid w:val="001F2B5D"/>
    <w:rsid w:val="001F4230"/>
    <w:rsid w:val="001F4BC5"/>
    <w:rsid w:val="001F4C7E"/>
    <w:rsid w:val="001F4EAD"/>
    <w:rsid w:val="001F52EE"/>
    <w:rsid w:val="001F5977"/>
    <w:rsid w:val="001F7D22"/>
    <w:rsid w:val="002004CE"/>
    <w:rsid w:val="00200902"/>
    <w:rsid w:val="00201752"/>
    <w:rsid w:val="00201BCD"/>
    <w:rsid w:val="00201E1D"/>
    <w:rsid w:val="002023FB"/>
    <w:rsid w:val="00202D13"/>
    <w:rsid w:val="00202E66"/>
    <w:rsid w:val="00202E7F"/>
    <w:rsid w:val="00203053"/>
    <w:rsid w:val="002035EF"/>
    <w:rsid w:val="00203D4E"/>
    <w:rsid w:val="00205FEB"/>
    <w:rsid w:val="00206DB0"/>
    <w:rsid w:val="00207A61"/>
    <w:rsid w:val="00207D32"/>
    <w:rsid w:val="00210FDA"/>
    <w:rsid w:val="00211716"/>
    <w:rsid w:val="00211795"/>
    <w:rsid w:val="00211D9C"/>
    <w:rsid w:val="002120F6"/>
    <w:rsid w:val="00212CC5"/>
    <w:rsid w:val="00214212"/>
    <w:rsid w:val="002145C7"/>
    <w:rsid w:val="002169EB"/>
    <w:rsid w:val="002178D3"/>
    <w:rsid w:val="00217BCD"/>
    <w:rsid w:val="00220593"/>
    <w:rsid w:val="00220645"/>
    <w:rsid w:val="00220877"/>
    <w:rsid w:val="00220EBF"/>
    <w:rsid w:val="0022187B"/>
    <w:rsid w:val="00221F46"/>
    <w:rsid w:val="002220DB"/>
    <w:rsid w:val="00222837"/>
    <w:rsid w:val="00222BF5"/>
    <w:rsid w:val="00223A6E"/>
    <w:rsid w:val="00224A1E"/>
    <w:rsid w:val="00224EE9"/>
    <w:rsid w:val="002267FD"/>
    <w:rsid w:val="002268B2"/>
    <w:rsid w:val="00226D95"/>
    <w:rsid w:val="00226DE9"/>
    <w:rsid w:val="002270DD"/>
    <w:rsid w:val="0022782A"/>
    <w:rsid w:val="00227E6F"/>
    <w:rsid w:val="0023094C"/>
    <w:rsid w:val="002309E1"/>
    <w:rsid w:val="00230A8A"/>
    <w:rsid w:val="00230D31"/>
    <w:rsid w:val="00230F41"/>
    <w:rsid w:val="002311AB"/>
    <w:rsid w:val="00231453"/>
    <w:rsid w:val="0023272E"/>
    <w:rsid w:val="00233495"/>
    <w:rsid w:val="0023397D"/>
    <w:rsid w:val="00233CDF"/>
    <w:rsid w:val="00237641"/>
    <w:rsid w:val="0023787B"/>
    <w:rsid w:val="00237CAC"/>
    <w:rsid w:val="00240C99"/>
    <w:rsid w:val="00241DD1"/>
    <w:rsid w:val="00243F6D"/>
    <w:rsid w:val="00244094"/>
    <w:rsid w:val="00244FD7"/>
    <w:rsid w:val="00246471"/>
    <w:rsid w:val="00246A8A"/>
    <w:rsid w:val="00246FC4"/>
    <w:rsid w:val="0024794E"/>
    <w:rsid w:val="0025165B"/>
    <w:rsid w:val="00252472"/>
    <w:rsid w:val="00252547"/>
    <w:rsid w:val="00252B4C"/>
    <w:rsid w:val="00254375"/>
    <w:rsid w:val="002543A0"/>
    <w:rsid w:val="00254469"/>
    <w:rsid w:val="0025481E"/>
    <w:rsid w:val="0025563A"/>
    <w:rsid w:val="0025669A"/>
    <w:rsid w:val="00256F5C"/>
    <w:rsid w:val="00257129"/>
    <w:rsid w:val="0025768A"/>
    <w:rsid w:val="002579E7"/>
    <w:rsid w:val="0026001D"/>
    <w:rsid w:val="002616E7"/>
    <w:rsid w:val="00261C0D"/>
    <w:rsid w:val="00261DED"/>
    <w:rsid w:val="00263355"/>
    <w:rsid w:val="002633CB"/>
    <w:rsid w:val="002643CD"/>
    <w:rsid w:val="00264E4F"/>
    <w:rsid w:val="00264FF7"/>
    <w:rsid w:val="002679C0"/>
    <w:rsid w:val="00267AA3"/>
    <w:rsid w:val="00267B96"/>
    <w:rsid w:val="00267FBD"/>
    <w:rsid w:val="00270DFD"/>
    <w:rsid w:val="0027113A"/>
    <w:rsid w:val="00271A0E"/>
    <w:rsid w:val="00271C60"/>
    <w:rsid w:val="002722F9"/>
    <w:rsid w:val="0027264C"/>
    <w:rsid w:val="00272811"/>
    <w:rsid w:val="00272DCD"/>
    <w:rsid w:val="00273199"/>
    <w:rsid w:val="00273401"/>
    <w:rsid w:val="00273CEF"/>
    <w:rsid w:val="0027506E"/>
    <w:rsid w:val="002751D6"/>
    <w:rsid w:val="0027618F"/>
    <w:rsid w:val="0027698F"/>
    <w:rsid w:val="00276C77"/>
    <w:rsid w:val="00276F2E"/>
    <w:rsid w:val="00276F6A"/>
    <w:rsid w:val="002771D7"/>
    <w:rsid w:val="002774B7"/>
    <w:rsid w:val="00277CE2"/>
    <w:rsid w:val="002802A5"/>
    <w:rsid w:val="0028068B"/>
    <w:rsid w:val="00280753"/>
    <w:rsid w:val="002814CE"/>
    <w:rsid w:val="00281D97"/>
    <w:rsid w:val="0028254D"/>
    <w:rsid w:val="002830F7"/>
    <w:rsid w:val="00283D83"/>
    <w:rsid w:val="00283DAA"/>
    <w:rsid w:val="002840E3"/>
    <w:rsid w:val="002843A6"/>
    <w:rsid w:val="002843E9"/>
    <w:rsid w:val="00284907"/>
    <w:rsid w:val="002857A2"/>
    <w:rsid w:val="002857F0"/>
    <w:rsid w:val="00285B84"/>
    <w:rsid w:val="00285C0F"/>
    <w:rsid w:val="002866F7"/>
    <w:rsid w:val="00286DF5"/>
    <w:rsid w:val="002877E5"/>
    <w:rsid w:val="00287FEA"/>
    <w:rsid w:val="002907D1"/>
    <w:rsid w:val="002908C6"/>
    <w:rsid w:val="002909E7"/>
    <w:rsid w:val="00290A0E"/>
    <w:rsid w:val="00290B94"/>
    <w:rsid w:val="002914DE"/>
    <w:rsid w:val="00292988"/>
    <w:rsid w:val="00293265"/>
    <w:rsid w:val="0029393C"/>
    <w:rsid w:val="00294054"/>
    <w:rsid w:val="002944F4"/>
    <w:rsid w:val="00296260"/>
    <w:rsid w:val="002963C5"/>
    <w:rsid w:val="00296574"/>
    <w:rsid w:val="00296D39"/>
    <w:rsid w:val="002975AD"/>
    <w:rsid w:val="00297DDD"/>
    <w:rsid w:val="002A0055"/>
    <w:rsid w:val="002A0D72"/>
    <w:rsid w:val="002A1563"/>
    <w:rsid w:val="002A157C"/>
    <w:rsid w:val="002A1EED"/>
    <w:rsid w:val="002A29AC"/>
    <w:rsid w:val="002A3276"/>
    <w:rsid w:val="002A3316"/>
    <w:rsid w:val="002A34B2"/>
    <w:rsid w:val="002A3542"/>
    <w:rsid w:val="002A3A0E"/>
    <w:rsid w:val="002A45A9"/>
    <w:rsid w:val="002A4825"/>
    <w:rsid w:val="002A4871"/>
    <w:rsid w:val="002A4C61"/>
    <w:rsid w:val="002A4CF1"/>
    <w:rsid w:val="002A4EFF"/>
    <w:rsid w:val="002A5095"/>
    <w:rsid w:val="002A5455"/>
    <w:rsid w:val="002B020C"/>
    <w:rsid w:val="002B1308"/>
    <w:rsid w:val="002B1733"/>
    <w:rsid w:val="002B1D44"/>
    <w:rsid w:val="002B20AE"/>
    <w:rsid w:val="002B24E3"/>
    <w:rsid w:val="002B2C70"/>
    <w:rsid w:val="002B4A08"/>
    <w:rsid w:val="002B4B31"/>
    <w:rsid w:val="002B6732"/>
    <w:rsid w:val="002B674D"/>
    <w:rsid w:val="002B6940"/>
    <w:rsid w:val="002B6A0E"/>
    <w:rsid w:val="002C0139"/>
    <w:rsid w:val="002C08C7"/>
    <w:rsid w:val="002C0A85"/>
    <w:rsid w:val="002C0B6B"/>
    <w:rsid w:val="002C129C"/>
    <w:rsid w:val="002C1C2B"/>
    <w:rsid w:val="002C248D"/>
    <w:rsid w:val="002C2490"/>
    <w:rsid w:val="002C3291"/>
    <w:rsid w:val="002C509F"/>
    <w:rsid w:val="002C50A3"/>
    <w:rsid w:val="002C5D98"/>
    <w:rsid w:val="002C5F96"/>
    <w:rsid w:val="002C7BC7"/>
    <w:rsid w:val="002D0326"/>
    <w:rsid w:val="002D188D"/>
    <w:rsid w:val="002D2820"/>
    <w:rsid w:val="002D2A60"/>
    <w:rsid w:val="002D2FEF"/>
    <w:rsid w:val="002D3061"/>
    <w:rsid w:val="002D3270"/>
    <w:rsid w:val="002D37F6"/>
    <w:rsid w:val="002D4409"/>
    <w:rsid w:val="002D593D"/>
    <w:rsid w:val="002D5AC4"/>
    <w:rsid w:val="002D5D03"/>
    <w:rsid w:val="002D6C9A"/>
    <w:rsid w:val="002E006D"/>
    <w:rsid w:val="002E00FD"/>
    <w:rsid w:val="002E1AF0"/>
    <w:rsid w:val="002E1EE5"/>
    <w:rsid w:val="002E28DE"/>
    <w:rsid w:val="002E3B3A"/>
    <w:rsid w:val="002E3C03"/>
    <w:rsid w:val="002E4E67"/>
    <w:rsid w:val="002E552E"/>
    <w:rsid w:val="002E6D0C"/>
    <w:rsid w:val="002E7138"/>
    <w:rsid w:val="002E7A1D"/>
    <w:rsid w:val="002F1751"/>
    <w:rsid w:val="002F21E7"/>
    <w:rsid w:val="002F49DA"/>
    <w:rsid w:val="002F5DFE"/>
    <w:rsid w:val="002F7DE9"/>
    <w:rsid w:val="002F7E05"/>
    <w:rsid w:val="002F7F48"/>
    <w:rsid w:val="003014E4"/>
    <w:rsid w:val="00301520"/>
    <w:rsid w:val="00301AAF"/>
    <w:rsid w:val="003032CB"/>
    <w:rsid w:val="00304B50"/>
    <w:rsid w:val="00304C23"/>
    <w:rsid w:val="0030546E"/>
    <w:rsid w:val="00305925"/>
    <w:rsid w:val="00306095"/>
    <w:rsid w:val="003061EF"/>
    <w:rsid w:val="003062B2"/>
    <w:rsid w:val="00306310"/>
    <w:rsid w:val="003068CD"/>
    <w:rsid w:val="003077F6"/>
    <w:rsid w:val="00307F48"/>
    <w:rsid w:val="00307FFB"/>
    <w:rsid w:val="00310201"/>
    <w:rsid w:val="00310805"/>
    <w:rsid w:val="003109C9"/>
    <w:rsid w:val="00310C4A"/>
    <w:rsid w:val="00311756"/>
    <w:rsid w:val="0031237C"/>
    <w:rsid w:val="00312979"/>
    <w:rsid w:val="0031388D"/>
    <w:rsid w:val="003140F1"/>
    <w:rsid w:val="00314994"/>
    <w:rsid w:val="00315211"/>
    <w:rsid w:val="003152A0"/>
    <w:rsid w:val="00316C7D"/>
    <w:rsid w:val="00320D2F"/>
    <w:rsid w:val="003215F8"/>
    <w:rsid w:val="003218FC"/>
    <w:rsid w:val="00321B12"/>
    <w:rsid w:val="00321EAB"/>
    <w:rsid w:val="0032302F"/>
    <w:rsid w:val="0032316C"/>
    <w:rsid w:val="0032332A"/>
    <w:rsid w:val="00323CBF"/>
    <w:rsid w:val="003241D0"/>
    <w:rsid w:val="00324DD2"/>
    <w:rsid w:val="0032625E"/>
    <w:rsid w:val="003262E4"/>
    <w:rsid w:val="0032636E"/>
    <w:rsid w:val="003275A2"/>
    <w:rsid w:val="00330AC9"/>
    <w:rsid w:val="00330EBA"/>
    <w:rsid w:val="00331187"/>
    <w:rsid w:val="00331C98"/>
    <w:rsid w:val="00332852"/>
    <w:rsid w:val="00333A81"/>
    <w:rsid w:val="00333D5A"/>
    <w:rsid w:val="00333D9F"/>
    <w:rsid w:val="003340AE"/>
    <w:rsid w:val="00334685"/>
    <w:rsid w:val="00334FDD"/>
    <w:rsid w:val="0033550D"/>
    <w:rsid w:val="00335AA1"/>
    <w:rsid w:val="00336313"/>
    <w:rsid w:val="003367B6"/>
    <w:rsid w:val="00336FDC"/>
    <w:rsid w:val="0033701E"/>
    <w:rsid w:val="00337858"/>
    <w:rsid w:val="00337A08"/>
    <w:rsid w:val="00337AE6"/>
    <w:rsid w:val="00340C03"/>
    <w:rsid w:val="00341449"/>
    <w:rsid w:val="003416B9"/>
    <w:rsid w:val="00342287"/>
    <w:rsid w:val="00342BE1"/>
    <w:rsid w:val="0034426C"/>
    <w:rsid w:val="0034435D"/>
    <w:rsid w:val="00344A2D"/>
    <w:rsid w:val="003454C7"/>
    <w:rsid w:val="0034599A"/>
    <w:rsid w:val="00345AB5"/>
    <w:rsid w:val="00345B34"/>
    <w:rsid w:val="00346DA0"/>
    <w:rsid w:val="003476D0"/>
    <w:rsid w:val="00347AD4"/>
    <w:rsid w:val="00347E35"/>
    <w:rsid w:val="00347E5D"/>
    <w:rsid w:val="00350B80"/>
    <w:rsid w:val="0035124B"/>
    <w:rsid w:val="00351CFF"/>
    <w:rsid w:val="00351EDB"/>
    <w:rsid w:val="0035223B"/>
    <w:rsid w:val="00352D06"/>
    <w:rsid w:val="00354055"/>
    <w:rsid w:val="0035550C"/>
    <w:rsid w:val="003556DA"/>
    <w:rsid w:val="00355952"/>
    <w:rsid w:val="003566B1"/>
    <w:rsid w:val="00356D3E"/>
    <w:rsid w:val="003576DA"/>
    <w:rsid w:val="00357829"/>
    <w:rsid w:val="00360999"/>
    <w:rsid w:val="00361111"/>
    <w:rsid w:val="00361CB7"/>
    <w:rsid w:val="0036296B"/>
    <w:rsid w:val="00362CA3"/>
    <w:rsid w:val="00362FBA"/>
    <w:rsid w:val="00364951"/>
    <w:rsid w:val="00364ECD"/>
    <w:rsid w:val="003658BC"/>
    <w:rsid w:val="00365ABB"/>
    <w:rsid w:val="00365BD0"/>
    <w:rsid w:val="00365C6A"/>
    <w:rsid w:val="00367421"/>
    <w:rsid w:val="00367A94"/>
    <w:rsid w:val="0037123F"/>
    <w:rsid w:val="00373CEB"/>
    <w:rsid w:val="00373D9F"/>
    <w:rsid w:val="00374C17"/>
    <w:rsid w:val="00375350"/>
    <w:rsid w:val="00375463"/>
    <w:rsid w:val="00375520"/>
    <w:rsid w:val="00375E98"/>
    <w:rsid w:val="00375F94"/>
    <w:rsid w:val="00376218"/>
    <w:rsid w:val="003768B1"/>
    <w:rsid w:val="00376B51"/>
    <w:rsid w:val="0037716D"/>
    <w:rsid w:val="0037727D"/>
    <w:rsid w:val="00377805"/>
    <w:rsid w:val="00380EA6"/>
    <w:rsid w:val="0038157F"/>
    <w:rsid w:val="00381F45"/>
    <w:rsid w:val="0038264F"/>
    <w:rsid w:val="00383894"/>
    <w:rsid w:val="00383BE5"/>
    <w:rsid w:val="00383CFD"/>
    <w:rsid w:val="003841D6"/>
    <w:rsid w:val="003845E5"/>
    <w:rsid w:val="00384759"/>
    <w:rsid w:val="00384F1B"/>
    <w:rsid w:val="00385C30"/>
    <w:rsid w:val="00385E6E"/>
    <w:rsid w:val="00386120"/>
    <w:rsid w:val="003909CB"/>
    <w:rsid w:val="00391F6B"/>
    <w:rsid w:val="003923B1"/>
    <w:rsid w:val="003927C3"/>
    <w:rsid w:val="0039308E"/>
    <w:rsid w:val="00393677"/>
    <w:rsid w:val="003938FE"/>
    <w:rsid w:val="00394CF2"/>
    <w:rsid w:val="0039556E"/>
    <w:rsid w:val="00396487"/>
    <w:rsid w:val="003970FB"/>
    <w:rsid w:val="00397219"/>
    <w:rsid w:val="003975A6"/>
    <w:rsid w:val="00397AD0"/>
    <w:rsid w:val="003A0476"/>
    <w:rsid w:val="003A080D"/>
    <w:rsid w:val="003A219C"/>
    <w:rsid w:val="003A23C7"/>
    <w:rsid w:val="003A37AF"/>
    <w:rsid w:val="003A542F"/>
    <w:rsid w:val="003A5800"/>
    <w:rsid w:val="003A77B3"/>
    <w:rsid w:val="003A7B43"/>
    <w:rsid w:val="003A7B5D"/>
    <w:rsid w:val="003A7EAE"/>
    <w:rsid w:val="003B00B5"/>
    <w:rsid w:val="003B01B7"/>
    <w:rsid w:val="003B0FB0"/>
    <w:rsid w:val="003B1329"/>
    <w:rsid w:val="003B13D2"/>
    <w:rsid w:val="003B1594"/>
    <w:rsid w:val="003B168F"/>
    <w:rsid w:val="003B16FD"/>
    <w:rsid w:val="003B2E33"/>
    <w:rsid w:val="003B3F42"/>
    <w:rsid w:val="003B4162"/>
    <w:rsid w:val="003B4E13"/>
    <w:rsid w:val="003B54CD"/>
    <w:rsid w:val="003B56DC"/>
    <w:rsid w:val="003B5BC8"/>
    <w:rsid w:val="003B6DB2"/>
    <w:rsid w:val="003B6FF5"/>
    <w:rsid w:val="003B788F"/>
    <w:rsid w:val="003C00AA"/>
    <w:rsid w:val="003C06A1"/>
    <w:rsid w:val="003C0D75"/>
    <w:rsid w:val="003C0DF2"/>
    <w:rsid w:val="003C124D"/>
    <w:rsid w:val="003C1CF6"/>
    <w:rsid w:val="003C23F9"/>
    <w:rsid w:val="003C2EEF"/>
    <w:rsid w:val="003C3938"/>
    <w:rsid w:val="003C4714"/>
    <w:rsid w:val="003C4EFC"/>
    <w:rsid w:val="003C52EC"/>
    <w:rsid w:val="003C5BAD"/>
    <w:rsid w:val="003C6BDA"/>
    <w:rsid w:val="003D0166"/>
    <w:rsid w:val="003D044F"/>
    <w:rsid w:val="003D1F6D"/>
    <w:rsid w:val="003D28DC"/>
    <w:rsid w:val="003D2CA2"/>
    <w:rsid w:val="003D3020"/>
    <w:rsid w:val="003D3136"/>
    <w:rsid w:val="003D3908"/>
    <w:rsid w:val="003D3DA1"/>
    <w:rsid w:val="003D44B2"/>
    <w:rsid w:val="003D49C4"/>
    <w:rsid w:val="003D4A78"/>
    <w:rsid w:val="003D5742"/>
    <w:rsid w:val="003D5A21"/>
    <w:rsid w:val="003D5B9A"/>
    <w:rsid w:val="003D713D"/>
    <w:rsid w:val="003D72E5"/>
    <w:rsid w:val="003E1A03"/>
    <w:rsid w:val="003E1AF0"/>
    <w:rsid w:val="003E22EE"/>
    <w:rsid w:val="003E28C0"/>
    <w:rsid w:val="003E3473"/>
    <w:rsid w:val="003E3C79"/>
    <w:rsid w:val="003E567A"/>
    <w:rsid w:val="003E5971"/>
    <w:rsid w:val="003E6446"/>
    <w:rsid w:val="003E65DA"/>
    <w:rsid w:val="003E69D2"/>
    <w:rsid w:val="003E6F4E"/>
    <w:rsid w:val="003E6F57"/>
    <w:rsid w:val="003F04AB"/>
    <w:rsid w:val="003F058D"/>
    <w:rsid w:val="003F0F0E"/>
    <w:rsid w:val="003F1A7E"/>
    <w:rsid w:val="003F2E72"/>
    <w:rsid w:val="003F3789"/>
    <w:rsid w:val="003F3B1C"/>
    <w:rsid w:val="003F406C"/>
    <w:rsid w:val="003F4140"/>
    <w:rsid w:val="003F4150"/>
    <w:rsid w:val="003F4DF6"/>
    <w:rsid w:val="003F563E"/>
    <w:rsid w:val="003F6494"/>
    <w:rsid w:val="003F694E"/>
    <w:rsid w:val="003F6B08"/>
    <w:rsid w:val="003F6CEC"/>
    <w:rsid w:val="003F6D36"/>
    <w:rsid w:val="003F7302"/>
    <w:rsid w:val="003F75BC"/>
    <w:rsid w:val="003F7946"/>
    <w:rsid w:val="003F7D97"/>
    <w:rsid w:val="00401FA0"/>
    <w:rsid w:val="004024BF"/>
    <w:rsid w:val="004028B6"/>
    <w:rsid w:val="00402E07"/>
    <w:rsid w:val="00403156"/>
    <w:rsid w:val="00403428"/>
    <w:rsid w:val="00403939"/>
    <w:rsid w:val="00404385"/>
    <w:rsid w:val="00406438"/>
    <w:rsid w:val="004066B8"/>
    <w:rsid w:val="00406F91"/>
    <w:rsid w:val="00407791"/>
    <w:rsid w:val="00407C67"/>
    <w:rsid w:val="004101EA"/>
    <w:rsid w:val="004104C5"/>
    <w:rsid w:val="00411F73"/>
    <w:rsid w:val="00412011"/>
    <w:rsid w:val="004126A0"/>
    <w:rsid w:val="00412AE7"/>
    <w:rsid w:val="00412D1B"/>
    <w:rsid w:val="0041363C"/>
    <w:rsid w:val="00413893"/>
    <w:rsid w:val="00414977"/>
    <w:rsid w:val="00414E30"/>
    <w:rsid w:val="00414F70"/>
    <w:rsid w:val="004157E3"/>
    <w:rsid w:val="00415C2F"/>
    <w:rsid w:val="004168FE"/>
    <w:rsid w:val="00416910"/>
    <w:rsid w:val="00416CCF"/>
    <w:rsid w:val="00420D90"/>
    <w:rsid w:val="0042128E"/>
    <w:rsid w:val="00421D62"/>
    <w:rsid w:val="00422087"/>
    <w:rsid w:val="00422982"/>
    <w:rsid w:val="00422DD0"/>
    <w:rsid w:val="004238BD"/>
    <w:rsid w:val="00423A16"/>
    <w:rsid w:val="00423AA3"/>
    <w:rsid w:val="00424AB7"/>
    <w:rsid w:val="00424E0F"/>
    <w:rsid w:val="004262A8"/>
    <w:rsid w:val="0042641F"/>
    <w:rsid w:val="00427CC4"/>
    <w:rsid w:val="00427E78"/>
    <w:rsid w:val="00431126"/>
    <w:rsid w:val="004329C9"/>
    <w:rsid w:val="00432A08"/>
    <w:rsid w:val="00433B20"/>
    <w:rsid w:val="0043409E"/>
    <w:rsid w:val="0043466F"/>
    <w:rsid w:val="004358CA"/>
    <w:rsid w:val="00435A3C"/>
    <w:rsid w:val="00435DB4"/>
    <w:rsid w:val="00436194"/>
    <w:rsid w:val="00436683"/>
    <w:rsid w:val="00436C05"/>
    <w:rsid w:val="00437A9A"/>
    <w:rsid w:val="00440E0C"/>
    <w:rsid w:val="0044107D"/>
    <w:rsid w:val="0044183E"/>
    <w:rsid w:val="00442662"/>
    <w:rsid w:val="0044340B"/>
    <w:rsid w:val="00443BEC"/>
    <w:rsid w:val="00443C2E"/>
    <w:rsid w:val="0044424B"/>
    <w:rsid w:val="00444732"/>
    <w:rsid w:val="00444B04"/>
    <w:rsid w:val="00445558"/>
    <w:rsid w:val="00446745"/>
    <w:rsid w:val="00447483"/>
    <w:rsid w:val="004475DF"/>
    <w:rsid w:val="00447A51"/>
    <w:rsid w:val="0045087F"/>
    <w:rsid w:val="00451B77"/>
    <w:rsid w:val="00451E1C"/>
    <w:rsid w:val="004521B2"/>
    <w:rsid w:val="0045431C"/>
    <w:rsid w:val="00454DCD"/>
    <w:rsid w:val="00455A10"/>
    <w:rsid w:val="0045727D"/>
    <w:rsid w:val="004577B0"/>
    <w:rsid w:val="0046037E"/>
    <w:rsid w:val="00460DEA"/>
    <w:rsid w:val="004616CF"/>
    <w:rsid w:val="004616E3"/>
    <w:rsid w:val="00462327"/>
    <w:rsid w:val="00463F0E"/>
    <w:rsid w:val="004642C7"/>
    <w:rsid w:val="004651A2"/>
    <w:rsid w:val="004651BB"/>
    <w:rsid w:val="0046530B"/>
    <w:rsid w:val="004653FA"/>
    <w:rsid w:val="004659AD"/>
    <w:rsid w:val="00465C9A"/>
    <w:rsid w:val="00466E8C"/>
    <w:rsid w:val="004670B8"/>
    <w:rsid w:val="00467655"/>
    <w:rsid w:val="004677EF"/>
    <w:rsid w:val="004679CE"/>
    <w:rsid w:val="00467FE7"/>
    <w:rsid w:val="004705F7"/>
    <w:rsid w:val="00470DBE"/>
    <w:rsid w:val="004716A2"/>
    <w:rsid w:val="004718D7"/>
    <w:rsid w:val="00471C03"/>
    <w:rsid w:val="004724C8"/>
    <w:rsid w:val="0047371E"/>
    <w:rsid w:val="00473D34"/>
    <w:rsid w:val="004741F0"/>
    <w:rsid w:val="00475DA4"/>
    <w:rsid w:val="00476715"/>
    <w:rsid w:val="00477F62"/>
    <w:rsid w:val="00480748"/>
    <w:rsid w:val="004810B3"/>
    <w:rsid w:val="00481396"/>
    <w:rsid w:val="00481565"/>
    <w:rsid w:val="00481657"/>
    <w:rsid w:val="0048166C"/>
    <w:rsid w:val="004816F4"/>
    <w:rsid w:val="00481813"/>
    <w:rsid w:val="00482E5D"/>
    <w:rsid w:val="00484073"/>
    <w:rsid w:val="004846C6"/>
    <w:rsid w:val="00484A45"/>
    <w:rsid w:val="00484FE8"/>
    <w:rsid w:val="00485352"/>
    <w:rsid w:val="004858C8"/>
    <w:rsid w:val="00486069"/>
    <w:rsid w:val="004861E5"/>
    <w:rsid w:val="004877A6"/>
    <w:rsid w:val="00490040"/>
    <w:rsid w:val="00490622"/>
    <w:rsid w:val="00491A3C"/>
    <w:rsid w:val="00492099"/>
    <w:rsid w:val="00492ACE"/>
    <w:rsid w:val="004934B0"/>
    <w:rsid w:val="00493B00"/>
    <w:rsid w:val="004955A4"/>
    <w:rsid w:val="00495C70"/>
    <w:rsid w:val="004A0738"/>
    <w:rsid w:val="004A1C76"/>
    <w:rsid w:val="004A1D41"/>
    <w:rsid w:val="004A23EC"/>
    <w:rsid w:val="004A30D3"/>
    <w:rsid w:val="004A36C3"/>
    <w:rsid w:val="004A46FB"/>
    <w:rsid w:val="004A535B"/>
    <w:rsid w:val="004A60C0"/>
    <w:rsid w:val="004A69CA"/>
    <w:rsid w:val="004A6BBF"/>
    <w:rsid w:val="004A729F"/>
    <w:rsid w:val="004B062B"/>
    <w:rsid w:val="004B0C4A"/>
    <w:rsid w:val="004B185F"/>
    <w:rsid w:val="004B2287"/>
    <w:rsid w:val="004B3206"/>
    <w:rsid w:val="004B3229"/>
    <w:rsid w:val="004B42A0"/>
    <w:rsid w:val="004B42C4"/>
    <w:rsid w:val="004B4799"/>
    <w:rsid w:val="004B4C8B"/>
    <w:rsid w:val="004B5333"/>
    <w:rsid w:val="004B5D26"/>
    <w:rsid w:val="004B65B0"/>
    <w:rsid w:val="004B6735"/>
    <w:rsid w:val="004B67FF"/>
    <w:rsid w:val="004B68EA"/>
    <w:rsid w:val="004B7BDD"/>
    <w:rsid w:val="004C1312"/>
    <w:rsid w:val="004C1D73"/>
    <w:rsid w:val="004C41C9"/>
    <w:rsid w:val="004C4F7E"/>
    <w:rsid w:val="004C70F7"/>
    <w:rsid w:val="004D13E7"/>
    <w:rsid w:val="004D198C"/>
    <w:rsid w:val="004D1DEF"/>
    <w:rsid w:val="004D3168"/>
    <w:rsid w:val="004D391D"/>
    <w:rsid w:val="004D3FCF"/>
    <w:rsid w:val="004D3FDF"/>
    <w:rsid w:val="004D426E"/>
    <w:rsid w:val="004D4385"/>
    <w:rsid w:val="004D43EB"/>
    <w:rsid w:val="004D4C00"/>
    <w:rsid w:val="004D581D"/>
    <w:rsid w:val="004D5A6A"/>
    <w:rsid w:val="004D609F"/>
    <w:rsid w:val="004D62E9"/>
    <w:rsid w:val="004D74F5"/>
    <w:rsid w:val="004D7C6F"/>
    <w:rsid w:val="004E03AC"/>
    <w:rsid w:val="004E08FC"/>
    <w:rsid w:val="004E0918"/>
    <w:rsid w:val="004E0DFB"/>
    <w:rsid w:val="004E0E43"/>
    <w:rsid w:val="004E16C3"/>
    <w:rsid w:val="004E1FE3"/>
    <w:rsid w:val="004E2610"/>
    <w:rsid w:val="004E3DBC"/>
    <w:rsid w:val="004E5D67"/>
    <w:rsid w:val="004E6E36"/>
    <w:rsid w:val="004E6F42"/>
    <w:rsid w:val="004E758E"/>
    <w:rsid w:val="004E7E5B"/>
    <w:rsid w:val="004F0430"/>
    <w:rsid w:val="004F1286"/>
    <w:rsid w:val="004F12DE"/>
    <w:rsid w:val="004F1E31"/>
    <w:rsid w:val="004F2298"/>
    <w:rsid w:val="004F2918"/>
    <w:rsid w:val="004F3492"/>
    <w:rsid w:val="004F4BF9"/>
    <w:rsid w:val="004F63FF"/>
    <w:rsid w:val="004F6536"/>
    <w:rsid w:val="004F6BA1"/>
    <w:rsid w:val="004F6BD8"/>
    <w:rsid w:val="004F74AC"/>
    <w:rsid w:val="004F7749"/>
    <w:rsid w:val="004F7BB3"/>
    <w:rsid w:val="00500150"/>
    <w:rsid w:val="005003A0"/>
    <w:rsid w:val="00500B19"/>
    <w:rsid w:val="00500DF6"/>
    <w:rsid w:val="00501A70"/>
    <w:rsid w:val="00502623"/>
    <w:rsid w:val="00503509"/>
    <w:rsid w:val="0050355B"/>
    <w:rsid w:val="00503D7C"/>
    <w:rsid w:val="00504339"/>
    <w:rsid w:val="00504DAA"/>
    <w:rsid w:val="00506086"/>
    <w:rsid w:val="00506615"/>
    <w:rsid w:val="00506644"/>
    <w:rsid w:val="005069F8"/>
    <w:rsid w:val="005074CE"/>
    <w:rsid w:val="00507D6C"/>
    <w:rsid w:val="005100D6"/>
    <w:rsid w:val="00510260"/>
    <w:rsid w:val="00510463"/>
    <w:rsid w:val="00510B3B"/>
    <w:rsid w:val="00510D32"/>
    <w:rsid w:val="00510F01"/>
    <w:rsid w:val="005112D2"/>
    <w:rsid w:val="00511B0D"/>
    <w:rsid w:val="00512C24"/>
    <w:rsid w:val="00512F67"/>
    <w:rsid w:val="005144BA"/>
    <w:rsid w:val="00514EC9"/>
    <w:rsid w:val="0051593D"/>
    <w:rsid w:val="0051612C"/>
    <w:rsid w:val="00516301"/>
    <w:rsid w:val="005163FA"/>
    <w:rsid w:val="005167AA"/>
    <w:rsid w:val="00516B43"/>
    <w:rsid w:val="00517CC8"/>
    <w:rsid w:val="00517DBC"/>
    <w:rsid w:val="00520CFE"/>
    <w:rsid w:val="00520FD9"/>
    <w:rsid w:val="005212AE"/>
    <w:rsid w:val="00521F1A"/>
    <w:rsid w:val="0052265A"/>
    <w:rsid w:val="00523198"/>
    <w:rsid w:val="00523328"/>
    <w:rsid w:val="005236ED"/>
    <w:rsid w:val="00523860"/>
    <w:rsid w:val="00523D8E"/>
    <w:rsid w:val="00523EB6"/>
    <w:rsid w:val="00523FD2"/>
    <w:rsid w:val="00524D8A"/>
    <w:rsid w:val="00525530"/>
    <w:rsid w:val="00526968"/>
    <w:rsid w:val="00526A24"/>
    <w:rsid w:val="00527E13"/>
    <w:rsid w:val="00530F77"/>
    <w:rsid w:val="00531063"/>
    <w:rsid w:val="005310CA"/>
    <w:rsid w:val="00532185"/>
    <w:rsid w:val="00533529"/>
    <w:rsid w:val="005341FC"/>
    <w:rsid w:val="00535943"/>
    <w:rsid w:val="00535CFD"/>
    <w:rsid w:val="00537793"/>
    <w:rsid w:val="00540027"/>
    <w:rsid w:val="005402BB"/>
    <w:rsid w:val="0054076D"/>
    <w:rsid w:val="00540849"/>
    <w:rsid w:val="0054098C"/>
    <w:rsid w:val="00540D69"/>
    <w:rsid w:val="005413CB"/>
    <w:rsid w:val="00541905"/>
    <w:rsid w:val="00543DE2"/>
    <w:rsid w:val="00543E6D"/>
    <w:rsid w:val="00544631"/>
    <w:rsid w:val="005447D2"/>
    <w:rsid w:val="00544A14"/>
    <w:rsid w:val="00544D17"/>
    <w:rsid w:val="0054587A"/>
    <w:rsid w:val="00545C7A"/>
    <w:rsid w:val="00545FC1"/>
    <w:rsid w:val="00546138"/>
    <w:rsid w:val="00546911"/>
    <w:rsid w:val="00547F06"/>
    <w:rsid w:val="00550615"/>
    <w:rsid w:val="00550C72"/>
    <w:rsid w:val="005514CF"/>
    <w:rsid w:val="0055151A"/>
    <w:rsid w:val="00551A1E"/>
    <w:rsid w:val="00551FE3"/>
    <w:rsid w:val="005523FA"/>
    <w:rsid w:val="00552C98"/>
    <w:rsid w:val="00552FD3"/>
    <w:rsid w:val="00553048"/>
    <w:rsid w:val="0055331E"/>
    <w:rsid w:val="00553CC6"/>
    <w:rsid w:val="005552F3"/>
    <w:rsid w:val="0055613E"/>
    <w:rsid w:val="00556306"/>
    <w:rsid w:val="00557254"/>
    <w:rsid w:val="00557A51"/>
    <w:rsid w:val="00560118"/>
    <w:rsid w:val="0056020A"/>
    <w:rsid w:val="00560E36"/>
    <w:rsid w:val="005616B6"/>
    <w:rsid w:val="00561738"/>
    <w:rsid w:val="00561818"/>
    <w:rsid w:val="00562255"/>
    <w:rsid w:val="00562CE2"/>
    <w:rsid w:val="00563080"/>
    <w:rsid w:val="00563469"/>
    <w:rsid w:val="00563B5C"/>
    <w:rsid w:val="00563BDE"/>
    <w:rsid w:val="00564EEA"/>
    <w:rsid w:val="00565197"/>
    <w:rsid w:val="0056558E"/>
    <w:rsid w:val="00565760"/>
    <w:rsid w:val="00565B4B"/>
    <w:rsid w:val="00565C73"/>
    <w:rsid w:val="0056629A"/>
    <w:rsid w:val="005662A6"/>
    <w:rsid w:val="00570015"/>
    <w:rsid w:val="005705B8"/>
    <w:rsid w:val="00571158"/>
    <w:rsid w:val="0057128D"/>
    <w:rsid w:val="0057254C"/>
    <w:rsid w:val="005728FC"/>
    <w:rsid w:val="00572D82"/>
    <w:rsid w:val="00573E33"/>
    <w:rsid w:val="00573F2D"/>
    <w:rsid w:val="00574A5E"/>
    <w:rsid w:val="00575792"/>
    <w:rsid w:val="00576779"/>
    <w:rsid w:val="00577048"/>
    <w:rsid w:val="0057748B"/>
    <w:rsid w:val="0058016B"/>
    <w:rsid w:val="0058034C"/>
    <w:rsid w:val="0058036B"/>
    <w:rsid w:val="00581057"/>
    <w:rsid w:val="005817A6"/>
    <w:rsid w:val="0058250A"/>
    <w:rsid w:val="00582865"/>
    <w:rsid w:val="0058374F"/>
    <w:rsid w:val="00583811"/>
    <w:rsid w:val="00583FF4"/>
    <w:rsid w:val="005846CD"/>
    <w:rsid w:val="00584F50"/>
    <w:rsid w:val="005857F7"/>
    <w:rsid w:val="005862D3"/>
    <w:rsid w:val="005864AE"/>
    <w:rsid w:val="0058753B"/>
    <w:rsid w:val="00587596"/>
    <w:rsid w:val="00587BD9"/>
    <w:rsid w:val="005917BD"/>
    <w:rsid w:val="00591FEE"/>
    <w:rsid w:val="00592101"/>
    <w:rsid w:val="00592322"/>
    <w:rsid w:val="00593EC9"/>
    <w:rsid w:val="00594176"/>
    <w:rsid w:val="005943E7"/>
    <w:rsid w:val="00594994"/>
    <w:rsid w:val="00595431"/>
    <w:rsid w:val="00595CC1"/>
    <w:rsid w:val="0059644A"/>
    <w:rsid w:val="00596E7F"/>
    <w:rsid w:val="00597528"/>
    <w:rsid w:val="00597D85"/>
    <w:rsid w:val="00597E2E"/>
    <w:rsid w:val="005A09D3"/>
    <w:rsid w:val="005A1717"/>
    <w:rsid w:val="005A1FBE"/>
    <w:rsid w:val="005A201E"/>
    <w:rsid w:val="005A3577"/>
    <w:rsid w:val="005A41A8"/>
    <w:rsid w:val="005A44EB"/>
    <w:rsid w:val="005A466F"/>
    <w:rsid w:val="005A7820"/>
    <w:rsid w:val="005B084E"/>
    <w:rsid w:val="005B0B25"/>
    <w:rsid w:val="005B1433"/>
    <w:rsid w:val="005B15EE"/>
    <w:rsid w:val="005B16B5"/>
    <w:rsid w:val="005B2632"/>
    <w:rsid w:val="005B31F0"/>
    <w:rsid w:val="005B4A4A"/>
    <w:rsid w:val="005B4A7C"/>
    <w:rsid w:val="005B6B0F"/>
    <w:rsid w:val="005B77C2"/>
    <w:rsid w:val="005C23C2"/>
    <w:rsid w:val="005C48CC"/>
    <w:rsid w:val="005C4AA2"/>
    <w:rsid w:val="005C5008"/>
    <w:rsid w:val="005C5251"/>
    <w:rsid w:val="005C5B4A"/>
    <w:rsid w:val="005C63FB"/>
    <w:rsid w:val="005C69B0"/>
    <w:rsid w:val="005C6A5B"/>
    <w:rsid w:val="005C6C31"/>
    <w:rsid w:val="005C78F7"/>
    <w:rsid w:val="005C7A9F"/>
    <w:rsid w:val="005D0A75"/>
    <w:rsid w:val="005D0F2A"/>
    <w:rsid w:val="005D1794"/>
    <w:rsid w:val="005D1A2C"/>
    <w:rsid w:val="005D261E"/>
    <w:rsid w:val="005D2A1D"/>
    <w:rsid w:val="005D2AB0"/>
    <w:rsid w:val="005D3370"/>
    <w:rsid w:val="005D3C22"/>
    <w:rsid w:val="005D3EC9"/>
    <w:rsid w:val="005D3FD5"/>
    <w:rsid w:val="005D453E"/>
    <w:rsid w:val="005D46C0"/>
    <w:rsid w:val="005D6AC0"/>
    <w:rsid w:val="005E0090"/>
    <w:rsid w:val="005E13A7"/>
    <w:rsid w:val="005E15B0"/>
    <w:rsid w:val="005E2220"/>
    <w:rsid w:val="005E2304"/>
    <w:rsid w:val="005E2CCF"/>
    <w:rsid w:val="005E2DAC"/>
    <w:rsid w:val="005E2E4D"/>
    <w:rsid w:val="005E3B62"/>
    <w:rsid w:val="005E5B5C"/>
    <w:rsid w:val="005E5C37"/>
    <w:rsid w:val="005E6D8A"/>
    <w:rsid w:val="005E76EB"/>
    <w:rsid w:val="005E7FEF"/>
    <w:rsid w:val="005F02CC"/>
    <w:rsid w:val="005F09C1"/>
    <w:rsid w:val="005F0A24"/>
    <w:rsid w:val="005F14F4"/>
    <w:rsid w:val="005F1E6F"/>
    <w:rsid w:val="005F3185"/>
    <w:rsid w:val="005F3291"/>
    <w:rsid w:val="005F32ED"/>
    <w:rsid w:val="005F44DD"/>
    <w:rsid w:val="005F4B5E"/>
    <w:rsid w:val="005F588F"/>
    <w:rsid w:val="005F667B"/>
    <w:rsid w:val="005F6E06"/>
    <w:rsid w:val="0060029E"/>
    <w:rsid w:val="00600F04"/>
    <w:rsid w:val="00600F77"/>
    <w:rsid w:val="0060176C"/>
    <w:rsid w:val="00601A5E"/>
    <w:rsid w:val="00601F60"/>
    <w:rsid w:val="006029E2"/>
    <w:rsid w:val="006041F9"/>
    <w:rsid w:val="006067E3"/>
    <w:rsid w:val="00606ACC"/>
    <w:rsid w:val="00606E84"/>
    <w:rsid w:val="006076CF"/>
    <w:rsid w:val="006079C9"/>
    <w:rsid w:val="00607B76"/>
    <w:rsid w:val="00607C08"/>
    <w:rsid w:val="006102B1"/>
    <w:rsid w:val="00610FD9"/>
    <w:rsid w:val="00612E4B"/>
    <w:rsid w:val="00614212"/>
    <w:rsid w:val="00614BA5"/>
    <w:rsid w:val="00615954"/>
    <w:rsid w:val="00616125"/>
    <w:rsid w:val="00616614"/>
    <w:rsid w:val="00616CA9"/>
    <w:rsid w:val="0061700A"/>
    <w:rsid w:val="00620A9A"/>
    <w:rsid w:val="006218B6"/>
    <w:rsid w:val="006219F0"/>
    <w:rsid w:val="00622C91"/>
    <w:rsid w:val="00622FF2"/>
    <w:rsid w:val="00623240"/>
    <w:rsid w:val="0062384C"/>
    <w:rsid w:val="00624CDF"/>
    <w:rsid w:val="0062650E"/>
    <w:rsid w:val="00626E94"/>
    <w:rsid w:val="006271FC"/>
    <w:rsid w:val="0063338D"/>
    <w:rsid w:val="00633A69"/>
    <w:rsid w:val="00633E57"/>
    <w:rsid w:val="00634854"/>
    <w:rsid w:val="00634A58"/>
    <w:rsid w:val="00634C2E"/>
    <w:rsid w:val="0063517C"/>
    <w:rsid w:val="00635356"/>
    <w:rsid w:val="00635500"/>
    <w:rsid w:val="00635C4C"/>
    <w:rsid w:val="00637080"/>
    <w:rsid w:val="00637C96"/>
    <w:rsid w:val="00637FB1"/>
    <w:rsid w:val="006406D1"/>
    <w:rsid w:val="00640F8D"/>
    <w:rsid w:val="0064106A"/>
    <w:rsid w:val="006433C5"/>
    <w:rsid w:val="00643BB9"/>
    <w:rsid w:val="00643E0D"/>
    <w:rsid w:val="0064413D"/>
    <w:rsid w:val="00644438"/>
    <w:rsid w:val="00645441"/>
    <w:rsid w:val="00645C5C"/>
    <w:rsid w:val="00646236"/>
    <w:rsid w:val="00646F61"/>
    <w:rsid w:val="00647852"/>
    <w:rsid w:val="00647AA7"/>
    <w:rsid w:val="0065108A"/>
    <w:rsid w:val="00651524"/>
    <w:rsid w:val="00652596"/>
    <w:rsid w:val="00652FFB"/>
    <w:rsid w:val="006530D0"/>
    <w:rsid w:val="00653782"/>
    <w:rsid w:val="006537D6"/>
    <w:rsid w:val="0065389A"/>
    <w:rsid w:val="00653A11"/>
    <w:rsid w:val="00653ECD"/>
    <w:rsid w:val="006542E0"/>
    <w:rsid w:val="00654427"/>
    <w:rsid w:val="0065587B"/>
    <w:rsid w:val="00655A43"/>
    <w:rsid w:val="00655AE7"/>
    <w:rsid w:val="006562FD"/>
    <w:rsid w:val="00656B1A"/>
    <w:rsid w:val="00656C31"/>
    <w:rsid w:val="0065715F"/>
    <w:rsid w:val="00657358"/>
    <w:rsid w:val="00657623"/>
    <w:rsid w:val="0065784D"/>
    <w:rsid w:val="0065791B"/>
    <w:rsid w:val="00657C43"/>
    <w:rsid w:val="00660521"/>
    <w:rsid w:val="006606AF"/>
    <w:rsid w:val="00660A26"/>
    <w:rsid w:val="006611FA"/>
    <w:rsid w:val="0066188E"/>
    <w:rsid w:val="006622DA"/>
    <w:rsid w:val="00662E2A"/>
    <w:rsid w:val="00663476"/>
    <w:rsid w:val="00664479"/>
    <w:rsid w:val="00664A03"/>
    <w:rsid w:val="006700D2"/>
    <w:rsid w:val="006708A8"/>
    <w:rsid w:val="00671250"/>
    <w:rsid w:val="00672B67"/>
    <w:rsid w:val="0067451D"/>
    <w:rsid w:val="00674C19"/>
    <w:rsid w:val="00676EB8"/>
    <w:rsid w:val="00677524"/>
    <w:rsid w:val="00677548"/>
    <w:rsid w:val="00677E95"/>
    <w:rsid w:val="00680027"/>
    <w:rsid w:val="00680218"/>
    <w:rsid w:val="0068032F"/>
    <w:rsid w:val="00680B24"/>
    <w:rsid w:val="00680BF7"/>
    <w:rsid w:val="00680D94"/>
    <w:rsid w:val="00680E26"/>
    <w:rsid w:val="006812A8"/>
    <w:rsid w:val="00681B8D"/>
    <w:rsid w:val="0068221F"/>
    <w:rsid w:val="00682A44"/>
    <w:rsid w:val="00683877"/>
    <w:rsid w:val="00683FCE"/>
    <w:rsid w:val="006851AD"/>
    <w:rsid w:val="00685C14"/>
    <w:rsid w:val="00685D20"/>
    <w:rsid w:val="00686137"/>
    <w:rsid w:val="0068690D"/>
    <w:rsid w:val="00686BC2"/>
    <w:rsid w:val="006874E6"/>
    <w:rsid w:val="0068799E"/>
    <w:rsid w:val="00687E98"/>
    <w:rsid w:val="006901E1"/>
    <w:rsid w:val="00690E28"/>
    <w:rsid w:val="00690EF2"/>
    <w:rsid w:val="00691315"/>
    <w:rsid w:val="00691675"/>
    <w:rsid w:val="00691969"/>
    <w:rsid w:val="00692AD7"/>
    <w:rsid w:val="006938D0"/>
    <w:rsid w:val="00693F02"/>
    <w:rsid w:val="00694301"/>
    <w:rsid w:val="00694382"/>
    <w:rsid w:val="006946F4"/>
    <w:rsid w:val="006968AD"/>
    <w:rsid w:val="00696DAE"/>
    <w:rsid w:val="006A01B1"/>
    <w:rsid w:val="006A05D2"/>
    <w:rsid w:val="006A09F2"/>
    <w:rsid w:val="006A1A94"/>
    <w:rsid w:val="006A6B95"/>
    <w:rsid w:val="006A749F"/>
    <w:rsid w:val="006A74D4"/>
    <w:rsid w:val="006A7FB8"/>
    <w:rsid w:val="006B0F4A"/>
    <w:rsid w:val="006B15E2"/>
    <w:rsid w:val="006B1948"/>
    <w:rsid w:val="006B22F8"/>
    <w:rsid w:val="006B3B4B"/>
    <w:rsid w:val="006B4406"/>
    <w:rsid w:val="006B4C0A"/>
    <w:rsid w:val="006B5F7D"/>
    <w:rsid w:val="006B61CB"/>
    <w:rsid w:val="006B64F9"/>
    <w:rsid w:val="006B69C5"/>
    <w:rsid w:val="006B6C79"/>
    <w:rsid w:val="006B76E4"/>
    <w:rsid w:val="006C0393"/>
    <w:rsid w:val="006C07F7"/>
    <w:rsid w:val="006C15D9"/>
    <w:rsid w:val="006C2076"/>
    <w:rsid w:val="006C22B5"/>
    <w:rsid w:val="006C22D8"/>
    <w:rsid w:val="006C22DF"/>
    <w:rsid w:val="006C2CC5"/>
    <w:rsid w:val="006C4569"/>
    <w:rsid w:val="006C4675"/>
    <w:rsid w:val="006C4C23"/>
    <w:rsid w:val="006C5AA3"/>
    <w:rsid w:val="006C5F25"/>
    <w:rsid w:val="006C602A"/>
    <w:rsid w:val="006C68F4"/>
    <w:rsid w:val="006C7122"/>
    <w:rsid w:val="006D0293"/>
    <w:rsid w:val="006D1531"/>
    <w:rsid w:val="006D20F7"/>
    <w:rsid w:val="006D2BA4"/>
    <w:rsid w:val="006D2DDD"/>
    <w:rsid w:val="006D365C"/>
    <w:rsid w:val="006D3DF0"/>
    <w:rsid w:val="006D5257"/>
    <w:rsid w:val="006D63A8"/>
    <w:rsid w:val="006D6CF2"/>
    <w:rsid w:val="006D7054"/>
    <w:rsid w:val="006D7709"/>
    <w:rsid w:val="006D77DF"/>
    <w:rsid w:val="006E04A6"/>
    <w:rsid w:val="006E0861"/>
    <w:rsid w:val="006E0D86"/>
    <w:rsid w:val="006E1516"/>
    <w:rsid w:val="006E1726"/>
    <w:rsid w:val="006E2B21"/>
    <w:rsid w:val="006E2CFC"/>
    <w:rsid w:val="006E43AD"/>
    <w:rsid w:val="006E4C69"/>
    <w:rsid w:val="006E51A7"/>
    <w:rsid w:val="006E55AF"/>
    <w:rsid w:val="006E6B09"/>
    <w:rsid w:val="006E70CE"/>
    <w:rsid w:val="006F153E"/>
    <w:rsid w:val="006F21EB"/>
    <w:rsid w:val="006F2809"/>
    <w:rsid w:val="006F2CCB"/>
    <w:rsid w:val="006F3C5A"/>
    <w:rsid w:val="006F3D0E"/>
    <w:rsid w:val="006F4060"/>
    <w:rsid w:val="006F4234"/>
    <w:rsid w:val="006F4C2F"/>
    <w:rsid w:val="006F5825"/>
    <w:rsid w:val="006F72DE"/>
    <w:rsid w:val="006F7791"/>
    <w:rsid w:val="006F7BD2"/>
    <w:rsid w:val="006F7CAC"/>
    <w:rsid w:val="007000E3"/>
    <w:rsid w:val="00701407"/>
    <w:rsid w:val="007014ED"/>
    <w:rsid w:val="007018B2"/>
    <w:rsid w:val="00701B01"/>
    <w:rsid w:val="007029F8"/>
    <w:rsid w:val="00702B47"/>
    <w:rsid w:val="00703DDE"/>
    <w:rsid w:val="00705070"/>
    <w:rsid w:val="007054F3"/>
    <w:rsid w:val="007064A8"/>
    <w:rsid w:val="0070650D"/>
    <w:rsid w:val="007065B0"/>
    <w:rsid w:val="0070729C"/>
    <w:rsid w:val="00707300"/>
    <w:rsid w:val="007074E3"/>
    <w:rsid w:val="0071185D"/>
    <w:rsid w:val="0071255E"/>
    <w:rsid w:val="00712646"/>
    <w:rsid w:val="00712812"/>
    <w:rsid w:val="007128BA"/>
    <w:rsid w:val="00712AE2"/>
    <w:rsid w:val="00712BBB"/>
    <w:rsid w:val="00712FA1"/>
    <w:rsid w:val="00712FA8"/>
    <w:rsid w:val="007130A8"/>
    <w:rsid w:val="0071318C"/>
    <w:rsid w:val="00714479"/>
    <w:rsid w:val="007150F9"/>
    <w:rsid w:val="007153D8"/>
    <w:rsid w:val="00715C16"/>
    <w:rsid w:val="007174C9"/>
    <w:rsid w:val="00717723"/>
    <w:rsid w:val="007178A0"/>
    <w:rsid w:val="007209AD"/>
    <w:rsid w:val="00721615"/>
    <w:rsid w:val="007217C4"/>
    <w:rsid w:val="00722F73"/>
    <w:rsid w:val="007232C8"/>
    <w:rsid w:val="00723D0C"/>
    <w:rsid w:val="00724697"/>
    <w:rsid w:val="0072591D"/>
    <w:rsid w:val="00725C33"/>
    <w:rsid w:val="00726418"/>
    <w:rsid w:val="007270E8"/>
    <w:rsid w:val="007272BC"/>
    <w:rsid w:val="00727C4C"/>
    <w:rsid w:val="0073018C"/>
    <w:rsid w:val="007307BA"/>
    <w:rsid w:val="00731045"/>
    <w:rsid w:val="00731254"/>
    <w:rsid w:val="00731DB9"/>
    <w:rsid w:val="00733207"/>
    <w:rsid w:val="00733847"/>
    <w:rsid w:val="007340D5"/>
    <w:rsid w:val="007346F1"/>
    <w:rsid w:val="007351EF"/>
    <w:rsid w:val="007355FE"/>
    <w:rsid w:val="00735733"/>
    <w:rsid w:val="0073574A"/>
    <w:rsid w:val="007358A4"/>
    <w:rsid w:val="00735AB7"/>
    <w:rsid w:val="00735B69"/>
    <w:rsid w:val="00735C2B"/>
    <w:rsid w:val="00735D50"/>
    <w:rsid w:val="00735F22"/>
    <w:rsid w:val="007369BB"/>
    <w:rsid w:val="00736F4C"/>
    <w:rsid w:val="00737ABB"/>
    <w:rsid w:val="00737EC0"/>
    <w:rsid w:val="00737ED5"/>
    <w:rsid w:val="00740224"/>
    <w:rsid w:val="00740884"/>
    <w:rsid w:val="007414D4"/>
    <w:rsid w:val="00744168"/>
    <w:rsid w:val="007446CD"/>
    <w:rsid w:val="0074498D"/>
    <w:rsid w:val="00744D7B"/>
    <w:rsid w:val="00744E93"/>
    <w:rsid w:val="00745CC8"/>
    <w:rsid w:val="0074634A"/>
    <w:rsid w:val="00746AB2"/>
    <w:rsid w:val="0074727A"/>
    <w:rsid w:val="0074746F"/>
    <w:rsid w:val="007475A3"/>
    <w:rsid w:val="00750297"/>
    <w:rsid w:val="0075093A"/>
    <w:rsid w:val="00750E2F"/>
    <w:rsid w:val="00752623"/>
    <w:rsid w:val="00752ED8"/>
    <w:rsid w:val="00753458"/>
    <w:rsid w:val="00753859"/>
    <w:rsid w:val="00753B6B"/>
    <w:rsid w:val="00753DBA"/>
    <w:rsid w:val="00754A5A"/>
    <w:rsid w:val="00757A0A"/>
    <w:rsid w:val="0076065A"/>
    <w:rsid w:val="00760D74"/>
    <w:rsid w:val="00762098"/>
    <w:rsid w:val="007623FC"/>
    <w:rsid w:val="007634C8"/>
    <w:rsid w:val="00763504"/>
    <w:rsid w:val="007635ED"/>
    <w:rsid w:val="00764686"/>
    <w:rsid w:val="00764ABB"/>
    <w:rsid w:val="00764C56"/>
    <w:rsid w:val="00764CE7"/>
    <w:rsid w:val="0076595F"/>
    <w:rsid w:val="0076659D"/>
    <w:rsid w:val="00766864"/>
    <w:rsid w:val="00766B0C"/>
    <w:rsid w:val="00766E89"/>
    <w:rsid w:val="00766F69"/>
    <w:rsid w:val="00770903"/>
    <w:rsid w:val="00770D08"/>
    <w:rsid w:val="00771ECF"/>
    <w:rsid w:val="00773932"/>
    <w:rsid w:val="00774B54"/>
    <w:rsid w:val="00774BF8"/>
    <w:rsid w:val="00774F83"/>
    <w:rsid w:val="007757C6"/>
    <w:rsid w:val="0077622A"/>
    <w:rsid w:val="0077668E"/>
    <w:rsid w:val="007766D6"/>
    <w:rsid w:val="0077697B"/>
    <w:rsid w:val="00776BC9"/>
    <w:rsid w:val="00776C55"/>
    <w:rsid w:val="00777651"/>
    <w:rsid w:val="00777BE9"/>
    <w:rsid w:val="00777ECA"/>
    <w:rsid w:val="00780FE7"/>
    <w:rsid w:val="00781C02"/>
    <w:rsid w:val="00781CC3"/>
    <w:rsid w:val="00783E6D"/>
    <w:rsid w:val="0078513B"/>
    <w:rsid w:val="007854EB"/>
    <w:rsid w:val="00785646"/>
    <w:rsid w:val="007861B3"/>
    <w:rsid w:val="00786856"/>
    <w:rsid w:val="0078783B"/>
    <w:rsid w:val="007904EE"/>
    <w:rsid w:val="00790F82"/>
    <w:rsid w:val="007921D8"/>
    <w:rsid w:val="00792251"/>
    <w:rsid w:val="007922F3"/>
    <w:rsid w:val="00792999"/>
    <w:rsid w:val="00792B96"/>
    <w:rsid w:val="00793E7F"/>
    <w:rsid w:val="0079405E"/>
    <w:rsid w:val="00794494"/>
    <w:rsid w:val="007945B4"/>
    <w:rsid w:val="0079470A"/>
    <w:rsid w:val="00794ABC"/>
    <w:rsid w:val="007950D5"/>
    <w:rsid w:val="00797DE5"/>
    <w:rsid w:val="007A0207"/>
    <w:rsid w:val="007A051C"/>
    <w:rsid w:val="007A14D2"/>
    <w:rsid w:val="007A26C3"/>
    <w:rsid w:val="007A273C"/>
    <w:rsid w:val="007A29EF"/>
    <w:rsid w:val="007A31F6"/>
    <w:rsid w:val="007A3DF8"/>
    <w:rsid w:val="007A3E93"/>
    <w:rsid w:val="007A4922"/>
    <w:rsid w:val="007A4B0D"/>
    <w:rsid w:val="007A4C10"/>
    <w:rsid w:val="007A4ED0"/>
    <w:rsid w:val="007A580E"/>
    <w:rsid w:val="007A5826"/>
    <w:rsid w:val="007A6791"/>
    <w:rsid w:val="007A6AEC"/>
    <w:rsid w:val="007A6C52"/>
    <w:rsid w:val="007A74B4"/>
    <w:rsid w:val="007A7DCE"/>
    <w:rsid w:val="007B04F3"/>
    <w:rsid w:val="007B0A9B"/>
    <w:rsid w:val="007B1019"/>
    <w:rsid w:val="007B1B88"/>
    <w:rsid w:val="007B1E18"/>
    <w:rsid w:val="007B2944"/>
    <w:rsid w:val="007B2F69"/>
    <w:rsid w:val="007B344F"/>
    <w:rsid w:val="007B3D06"/>
    <w:rsid w:val="007B5030"/>
    <w:rsid w:val="007B5425"/>
    <w:rsid w:val="007B5627"/>
    <w:rsid w:val="007B5CD9"/>
    <w:rsid w:val="007B683A"/>
    <w:rsid w:val="007B6CFF"/>
    <w:rsid w:val="007B72EE"/>
    <w:rsid w:val="007B76A3"/>
    <w:rsid w:val="007B789F"/>
    <w:rsid w:val="007C07E1"/>
    <w:rsid w:val="007C085A"/>
    <w:rsid w:val="007C0AD3"/>
    <w:rsid w:val="007C0E7B"/>
    <w:rsid w:val="007C15FD"/>
    <w:rsid w:val="007C1D61"/>
    <w:rsid w:val="007C24CD"/>
    <w:rsid w:val="007C2BC5"/>
    <w:rsid w:val="007C4F7C"/>
    <w:rsid w:val="007C4FC1"/>
    <w:rsid w:val="007C5626"/>
    <w:rsid w:val="007C58D1"/>
    <w:rsid w:val="007C58DC"/>
    <w:rsid w:val="007C5AA2"/>
    <w:rsid w:val="007C5D84"/>
    <w:rsid w:val="007C6812"/>
    <w:rsid w:val="007C6897"/>
    <w:rsid w:val="007C6DDB"/>
    <w:rsid w:val="007D0143"/>
    <w:rsid w:val="007D07CB"/>
    <w:rsid w:val="007D0851"/>
    <w:rsid w:val="007D118B"/>
    <w:rsid w:val="007D1969"/>
    <w:rsid w:val="007D1FE8"/>
    <w:rsid w:val="007D2067"/>
    <w:rsid w:val="007D31F0"/>
    <w:rsid w:val="007D3209"/>
    <w:rsid w:val="007D3AD6"/>
    <w:rsid w:val="007D421E"/>
    <w:rsid w:val="007D463D"/>
    <w:rsid w:val="007D52DA"/>
    <w:rsid w:val="007D546F"/>
    <w:rsid w:val="007D5DB0"/>
    <w:rsid w:val="007D5FE5"/>
    <w:rsid w:val="007D6918"/>
    <w:rsid w:val="007D6D34"/>
    <w:rsid w:val="007D702D"/>
    <w:rsid w:val="007D73DD"/>
    <w:rsid w:val="007E0582"/>
    <w:rsid w:val="007E0ED0"/>
    <w:rsid w:val="007E0EFA"/>
    <w:rsid w:val="007E16CA"/>
    <w:rsid w:val="007E3947"/>
    <w:rsid w:val="007E3B27"/>
    <w:rsid w:val="007E467B"/>
    <w:rsid w:val="007E4A58"/>
    <w:rsid w:val="007E4BAF"/>
    <w:rsid w:val="007E4FFD"/>
    <w:rsid w:val="007E50AC"/>
    <w:rsid w:val="007E57DA"/>
    <w:rsid w:val="007E583E"/>
    <w:rsid w:val="007E6EF3"/>
    <w:rsid w:val="007E7978"/>
    <w:rsid w:val="007F09E9"/>
    <w:rsid w:val="007F0CD6"/>
    <w:rsid w:val="007F1595"/>
    <w:rsid w:val="007F1AAD"/>
    <w:rsid w:val="007F21BB"/>
    <w:rsid w:val="007F23D3"/>
    <w:rsid w:val="007F49E1"/>
    <w:rsid w:val="007F56A8"/>
    <w:rsid w:val="007F61C3"/>
    <w:rsid w:val="007F641E"/>
    <w:rsid w:val="007F64F1"/>
    <w:rsid w:val="007F70E6"/>
    <w:rsid w:val="007F7178"/>
    <w:rsid w:val="007F7417"/>
    <w:rsid w:val="007F7CB8"/>
    <w:rsid w:val="00800D60"/>
    <w:rsid w:val="008016CE"/>
    <w:rsid w:val="008019BD"/>
    <w:rsid w:val="008019FE"/>
    <w:rsid w:val="00801D61"/>
    <w:rsid w:val="00801EAA"/>
    <w:rsid w:val="00802F95"/>
    <w:rsid w:val="0080370B"/>
    <w:rsid w:val="00805C07"/>
    <w:rsid w:val="008062CC"/>
    <w:rsid w:val="008067A7"/>
    <w:rsid w:val="00806C05"/>
    <w:rsid w:val="00806EF2"/>
    <w:rsid w:val="008073F1"/>
    <w:rsid w:val="0080752B"/>
    <w:rsid w:val="008101A4"/>
    <w:rsid w:val="008118DC"/>
    <w:rsid w:val="00812011"/>
    <w:rsid w:val="0081221F"/>
    <w:rsid w:val="008129F5"/>
    <w:rsid w:val="00812C6E"/>
    <w:rsid w:val="00813F77"/>
    <w:rsid w:val="00814158"/>
    <w:rsid w:val="00814B64"/>
    <w:rsid w:val="00814C70"/>
    <w:rsid w:val="00815502"/>
    <w:rsid w:val="008157C4"/>
    <w:rsid w:val="00815A1A"/>
    <w:rsid w:val="00815FBB"/>
    <w:rsid w:val="00815FD7"/>
    <w:rsid w:val="008177C1"/>
    <w:rsid w:val="008179BD"/>
    <w:rsid w:val="00817C96"/>
    <w:rsid w:val="00817F44"/>
    <w:rsid w:val="00820C4E"/>
    <w:rsid w:val="00821F95"/>
    <w:rsid w:val="00822602"/>
    <w:rsid w:val="00823CDA"/>
    <w:rsid w:val="00824AF3"/>
    <w:rsid w:val="00826267"/>
    <w:rsid w:val="00826454"/>
    <w:rsid w:val="00826CA7"/>
    <w:rsid w:val="00826D2D"/>
    <w:rsid w:val="00826EEE"/>
    <w:rsid w:val="00827968"/>
    <w:rsid w:val="00827DAE"/>
    <w:rsid w:val="00831446"/>
    <w:rsid w:val="008315DF"/>
    <w:rsid w:val="00831E80"/>
    <w:rsid w:val="00832C0E"/>
    <w:rsid w:val="00833124"/>
    <w:rsid w:val="0083332C"/>
    <w:rsid w:val="00833341"/>
    <w:rsid w:val="00833FCA"/>
    <w:rsid w:val="00834042"/>
    <w:rsid w:val="00835E38"/>
    <w:rsid w:val="00840D5F"/>
    <w:rsid w:val="00841213"/>
    <w:rsid w:val="008416A1"/>
    <w:rsid w:val="00841A13"/>
    <w:rsid w:val="008424A4"/>
    <w:rsid w:val="0084290C"/>
    <w:rsid w:val="00842B9E"/>
    <w:rsid w:val="008434B9"/>
    <w:rsid w:val="00843823"/>
    <w:rsid w:val="008442A2"/>
    <w:rsid w:val="00844613"/>
    <w:rsid w:val="008447AD"/>
    <w:rsid w:val="00844A52"/>
    <w:rsid w:val="00844A58"/>
    <w:rsid w:val="00844A84"/>
    <w:rsid w:val="00845981"/>
    <w:rsid w:val="00846867"/>
    <w:rsid w:val="00847F08"/>
    <w:rsid w:val="0085035E"/>
    <w:rsid w:val="00852786"/>
    <w:rsid w:val="00852BEC"/>
    <w:rsid w:val="00853CAC"/>
    <w:rsid w:val="0085428E"/>
    <w:rsid w:val="0085431F"/>
    <w:rsid w:val="00854439"/>
    <w:rsid w:val="00854BF0"/>
    <w:rsid w:val="00854D24"/>
    <w:rsid w:val="00854FFD"/>
    <w:rsid w:val="00855B39"/>
    <w:rsid w:val="00855EBA"/>
    <w:rsid w:val="00855EDD"/>
    <w:rsid w:val="0085701F"/>
    <w:rsid w:val="008573DA"/>
    <w:rsid w:val="008600DD"/>
    <w:rsid w:val="00861DE7"/>
    <w:rsid w:val="00861F7C"/>
    <w:rsid w:val="008621D4"/>
    <w:rsid w:val="0086259E"/>
    <w:rsid w:val="00862BD6"/>
    <w:rsid w:val="00862C7B"/>
    <w:rsid w:val="00863029"/>
    <w:rsid w:val="00863650"/>
    <w:rsid w:val="008639B1"/>
    <w:rsid w:val="00863E4F"/>
    <w:rsid w:val="00864C63"/>
    <w:rsid w:val="00866029"/>
    <w:rsid w:val="008679B4"/>
    <w:rsid w:val="008702DA"/>
    <w:rsid w:val="008708F3"/>
    <w:rsid w:val="00870FFC"/>
    <w:rsid w:val="008711EC"/>
    <w:rsid w:val="00871B3C"/>
    <w:rsid w:val="00873E63"/>
    <w:rsid w:val="00874141"/>
    <w:rsid w:val="008743D4"/>
    <w:rsid w:val="00874404"/>
    <w:rsid w:val="008746B0"/>
    <w:rsid w:val="00874E89"/>
    <w:rsid w:val="008757EF"/>
    <w:rsid w:val="0087586B"/>
    <w:rsid w:val="00875C2D"/>
    <w:rsid w:val="00875C72"/>
    <w:rsid w:val="00876372"/>
    <w:rsid w:val="00876BFE"/>
    <w:rsid w:val="008802E6"/>
    <w:rsid w:val="008807AC"/>
    <w:rsid w:val="008816BF"/>
    <w:rsid w:val="00882872"/>
    <w:rsid w:val="00882F03"/>
    <w:rsid w:val="00883715"/>
    <w:rsid w:val="00883C2E"/>
    <w:rsid w:val="00883C30"/>
    <w:rsid w:val="00883C8C"/>
    <w:rsid w:val="00883CD1"/>
    <w:rsid w:val="00883F1C"/>
    <w:rsid w:val="0088508E"/>
    <w:rsid w:val="00886145"/>
    <w:rsid w:val="008866CA"/>
    <w:rsid w:val="00886B71"/>
    <w:rsid w:val="00887368"/>
    <w:rsid w:val="008873A4"/>
    <w:rsid w:val="0088758B"/>
    <w:rsid w:val="008879DB"/>
    <w:rsid w:val="00890722"/>
    <w:rsid w:val="008911EC"/>
    <w:rsid w:val="00891373"/>
    <w:rsid w:val="008921B8"/>
    <w:rsid w:val="00892471"/>
    <w:rsid w:val="008925C3"/>
    <w:rsid w:val="00892AB6"/>
    <w:rsid w:val="008937AD"/>
    <w:rsid w:val="00894750"/>
    <w:rsid w:val="00895092"/>
    <w:rsid w:val="00895DC5"/>
    <w:rsid w:val="00896550"/>
    <w:rsid w:val="00897085"/>
    <w:rsid w:val="008971C3"/>
    <w:rsid w:val="00897BF7"/>
    <w:rsid w:val="008A0346"/>
    <w:rsid w:val="008A0E57"/>
    <w:rsid w:val="008A0F03"/>
    <w:rsid w:val="008A1353"/>
    <w:rsid w:val="008A16C9"/>
    <w:rsid w:val="008A232C"/>
    <w:rsid w:val="008A293B"/>
    <w:rsid w:val="008A2A99"/>
    <w:rsid w:val="008A3511"/>
    <w:rsid w:val="008A3DB0"/>
    <w:rsid w:val="008A457C"/>
    <w:rsid w:val="008A4636"/>
    <w:rsid w:val="008A4E32"/>
    <w:rsid w:val="008A5154"/>
    <w:rsid w:val="008A5215"/>
    <w:rsid w:val="008A557D"/>
    <w:rsid w:val="008A565B"/>
    <w:rsid w:val="008A59DC"/>
    <w:rsid w:val="008A5E2A"/>
    <w:rsid w:val="008A6322"/>
    <w:rsid w:val="008A670E"/>
    <w:rsid w:val="008A694A"/>
    <w:rsid w:val="008A69D0"/>
    <w:rsid w:val="008A7128"/>
    <w:rsid w:val="008A7774"/>
    <w:rsid w:val="008B0393"/>
    <w:rsid w:val="008B0610"/>
    <w:rsid w:val="008B112D"/>
    <w:rsid w:val="008B15FE"/>
    <w:rsid w:val="008B19E9"/>
    <w:rsid w:val="008B1D84"/>
    <w:rsid w:val="008B1F46"/>
    <w:rsid w:val="008B1FED"/>
    <w:rsid w:val="008B20C8"/>
    <w:rsid w:val="008B2A2B"/>
    <w:rsid w:val="008B3673"/>
    <w:rsid w:val="008B503B"/>
    <w:rsid w:val="008B53C9"/>
    <w:rsid w:val="008B70A8"/>
    <w:rsid w:val="008B7B1B"/>
    <w:rsid w:val="008C0AF9"/>
    <w:rsid w:val="008C12C3"/>
    <w:rsid w:val="008C1FEE"/>
    <w:rsid w:val="008C2E31"/>
    <w:rsid w:val="008C3BBC"/>
    <w:rsid w:val="008C3D0D"/>
    <w:rsid w:val="008C5288"/>
    <w:rsid w:val="008C5F9D"/>
    <w:rsid w:val="008C6079"/>
    <w:rsid w:val="008C6877"/>
    <w:rsid w:val="008C6D13"/>
    <w:rsid w:val="008C76E8"/>
    <w:rsid w:val="008D0054"/>
    <w:rsid w:val="008D0BB2"/>
    <w:rsid w:val="008D0EF3"/>
    <w:rsid w:val="008D0FDB"/>
    <w:rsid w:val="008D14C3"/>
    <w:rsid w:val="008D1BA2"/>
    <w:rsid w:val="008D1EA6"/>
    <w:rsid w:val="008D23D2"/>
    <w:rsid w:val="008D23F0"/>
    <w:rsid w:val="008D2A73"/>
    <w:rsid w:val="008D325B"/>
    <w:rsid w:val="008D3318"/>
    <w:rsid w:val="008D3396"/>
    <w:rsid w:val="008D3E5A"/>
    <w:rsid w:val="008D4043"/>
    <w:rsid w:val="008D45BE"/>
    <w:rsid w:val="008D45C8"/>
    <w:rsid w:val="008D46D4"/>
    <w:rsid w:val="008D4744"/>
    <w:rsid w:val="008D4C52"/>
    <w:rsid w:val="008D58E0"/>
    <w:rsid w:val="008D6493"/>
    <w:rsid w:val="008D6B10"/>
    <w:rsid w:val="008D6E75"/>
    <w:rsid w:val="008D7998"/>
    <w:rsid w:val="008E147D"/>
    <w:rsid w:val="008E2369"/>
    <w:rsid w:val="008E2526"/>
    <w:rsid w:val="008E26B5"/>
    <w:rsid w:val="008E3035"/>
    <w:rsid w:val="008E3111"/>
    <w:rsid w:val="008E4A68"/>
    <w:rsid w:val="008E5364"/>
    <w:rsid w:val="008E5D58"/>
    <w:rsid w:val="008E66B7"/>
    <w:rsid w:val="008E66CD"/>
    <w:rsid w:val="008E7C93"/>
    <w:rsid w:val="008F0453"/>
    <w:rsid w:val="008F1F06"/>
    <w:rsid w:val="008F2E3F"/>
    <w:rsid w:val="008F32AE"/>
    <w:rsid w:val="008F33D2"/>
    <w:rsid w:val="008F33DD"/>
    <w:rsid w:val="008F4C69"/>
    <w:rsid w:val="008F4E7C"/>
    <w:rsid w:val="008F4FAA"/>
    <w:rsid w:val="008F65D7"/>
    <w:rsid w:val="008F78DC"/>
    <w:rsid w:val="0090060B"/>
    <w:rsid w:val="00900EE6"/>
    <w:rsid w:val="00901110"/>
    <w:rsid w:val="00901516"/>
    <w:rsid w:val="00901E93"/>
    <w:rsid w:val="00902726"/>
    <w:rsid w:val="00903136"/>
    <w:rsid w:val="00903163"/>
    <w:rsid w:val="00903660"/>
    <w:rsid w:val="00903BFB"/>
    <w:rsid w:val="00903F96"/>
    <w:rsid w:val="00905689"/>
    <w:rsid w:val="0090723A"/>
    <w:rsid w:val="009075E4"/>
    <w:rsid w:val="00907949"/>
    <w:rsid w:val="0091055B"/>
    <w:rsid w:val="009105CE"/>
    <w:rsid w:val="0091075B"/>
    <w:rsid w:val="0091091B"/>
    <w:rsid w:val="00911740"/>
    <w:rsid w:val="009119AC"/>
    <w:rsid w:val="0091216C"/>
    <w:rsid w:val="0091281E"/>
    <w:rsid w:val="009134E4"/>
    <w:rsid w:val="009135A7"/>
    <w:rsid w:val="0091368C"/>
    <w:rsid w:val="009141E9"/>
    <w:rsid w:val="009146DF"/>
    <w:rsid w:val="00914CB5"/>
    <w:rsid w:val="00914CF7"/>
    <w:rsid w:val="00914E1A"/>
    <w:rsid w:val="00915112"/>
    <w:rsid w:val="00915A62"/>
    <w:rsid w:val="00916591"/>
    <w:rsid w:val="009168A5"/>
    <w:rsid w:val="0091759D"/>
    <w:rsid w:val="00917E0F"/>
    <w:rsid w:val="009218B9"/>
    <w:rsid w:val="009223B8"/>
    <w:rsid w:val="00922D13"/>
    <w:rsid w:val="00923AC1"/>
    <w:rsid w:val="00923C02"/>
    <w:rsid w:val="00923C1D"/>
    <w:rsid w:val="009244FB"/>
    <w:rsid w:val="009252DF"/>
    <w:rsid w:val="00926245"/>
    <w:rsid w:val="0092636F"/>
    <w:rsid w:val="0092638F"/>
    <w:rsid w:val="009272E9"/>
    <w:rsid w:val="00927FE4"/>
    <w:rsid w:val="009310C2"/>
    <w:rsid w:val="00931AD9"/>
    <w:rsid w:val="00931CC2"/>
    <w:rsid w:val="0093225B"/>
    <w:rsid w:val="00933095"/>
    <w:rsid w:val="0093311C"/>
    <w:rsid w:val="00933138"/>
    <w:rsid w:val="00933415"/>
    <w:rsid w:val="00933C67"/>
    <w:rsid w:val="00934266"/>
    <w:rsid w:val="00934AD2"/>
    <w:rsid w:val="00934CC4"/>
    <w:rsid w:val="00934D9E"/>
    <w:rsid w:val="00934F79"/>
    <w:rsid w:val="009359AF"/>
    <w:rsid w:val="00935BC4"/>
    <w:rsid w:val="00935F53"/>
    <w:rsid w:val="009369BA"/>
    <w:rsid w:val="00936B37"/>
    <w:rsid w:val="009373E0"/>
    <w:rsid w:val="00937BF2"/>
    <w:rsid w:val="00937D2B"/>
    <w:rsid w:val="009416BA"/>
    <w:rsid w:val="00941840"/>
    <w:rsid w:val="0094199B"/>
    <w:rsid w:val="009421EB"/>
    <w:rsid w:val="00942793"/>
    <w:rsid w:val="00942882"/>
    <w:rsid w:val="009432E5"/>
    <w:rsid w:val="009436DE"/>
    <w:rsid w:val="009443D0"/>
    <w:rsid w:val="00944983"/>
    <w:rsid w:val="00945611"/>
    <w:rsid w:val="00945994"/>
    <w:rsid w:val="00950BAA"/>
    <w:rsid w:val="00951021"/>
    <w:rsid w:val="00951183"/>
    <w:rsid w:val="00952076"/>
    <w:rsid w:val="00952513"/>
    <w:rsid w:val="00953697"/>
    <w:rsid w:val="0095399F"/>
    <w:rsid w:val="009564AF"/>
    <w:rsid w:val="00956A1F"/>
    <w:rsid w:val="00957826"/>
    <w:rsid w:val="009602C5"/>
    <w:rsid w:val="00960511"/>
    <w:rsid w:val="00960971"/>
    <w:rsid w:val="00960A52"/>
    <w:rsid w:val="00960B16"/>
    <w:rsid w:val="00961438"/>
    <w:rsid w:val="009619F3"/>
    <w:rsid w:val="00961F0C"/>
    <w:rsid w:val="009622AD"/>
    <w:rsid w:val="009626F5"/>
    <w:rsid w:val="00962A63"/>
    <w:rsid w:val="00962D60"/>
    <w:rsid w:val="00963644"/>
    <w:rsid w:val="009639D8"/>
    <w:rsid w:val="00963AD2"/>
    <w:rsid w:val="00963BEB"/>
    <w:rsid w:val="00963D25"/>
    <w:rsid w:val="00964D92"/>
    <w:rsid w:val="00965BFE"/>
    <w:rsid w:val="00966390"/>
    <w:rsid w:val="00966C8A"/>
    <w:rsid w:val="00967C33"/>
    <w:rsid w:val="0097036C"/>
    <w:rsid w:val="00970840"/>
    <w:rsid w:val="00970890"/>
    <w:rsid w:val="00970A73"/>
    <w:rsid w:val="00970B6E"/>
    <w:rsid w:val="00970CDA"/>
    <w:rsid w:val="0097177A"/>
    <w:rsid w:val="009719DF"/>
    <w:rsid w:val="00972995"/>
    <w:rsid w:val="00973FE0"/>
    <w:rsid w:val="009741A7"/>
    <w:rsid w:val="00974D5C"/>
    <w:rsid w:val="00975AEA"/>
    <w:rsid w:val="009762BD"/>
    <w:rsid w:val="009764DC"/>
    <w:rsid w:val="00976675"/>
    <w:rsid w:val="0097691F"/>
    <w:rsid w:val="00976C6D"/>
    <w:rsid w:val="009775E1"/>
    <w:rsid w:val="009803BE"/>
    <w:rsid w:val="009808C2"/>
    <w:rsid w:val="0098127B"/>
    <w:rsid w:val="009822C4"/>
    <w:rsid w:val="00982DDC"/>
    <w:rsid w:val="009830D3"/>
    <w:rsid w:val="00983467"/>
    <w:rsid w:val="009850D0"/>
    <w:rsid w:val="00985C62"/>
    <w:rsid w:val="009867A2"/>
    <w:rsid w:val="00986A34"/>
    <w:rsid w:val="00987548"/>
    <w:rsid w:val="00987EFC"/>
    <w:rsid w:val="0099030D"/>
    <w:rsid w:val="009905C4"/>
    <w:rsid w:val="00990724"/>
    <w:rsid w:val="00990D65"/>
    <w:rsid w:val="00990D9A"/>
    <w:rsid w:val="00990DC0"/>
    <w:rsid w:val="00991000"/>
    <w:rsid w:val="00992EAE"/>
    <w:rsid w:val="009945F7"/>
    <w:rsid w:val="0099580C"/>
    <w:rsid w:val="009958A7"/>
    <w:rsid w:val="009972C4"/>
    <w:rsid w:val="009A0D6B"/>
    <w:rsid w:val="009A0E64"/>
    <w:rsid w:val="009A1202"/>
    <w:rsid w:val="009A12DE"/>
    <w:rsid w:val="009A15A9"/>
    <w:rsid w:val="009A1AED"/>
    <w:rsid w:val="009A28BD"/>
    <w:rsid w:val="009A2ABE"/>
    <w:rsid w:val="009A33AA"/>
    <w:rsid w:val="009A35CB"/>
    <w:rsid w:val="009A3805"/>
    <w:rsid w:val="009A40A9"/>
    <w:rsid w:val="009A471F"/>
    <w:rsid w:val="009A5C66"/>
    <w:rsid w:val="009A6535"/>
    <w:rsid w:val="009A6D02"/>
    <w:rsid w:val="009A7154"/>
    <w:rsid w:val="009A7CCC"/>
    <w:rsid w:val="009A7E17"/>
    <w:rsid w:val="009A7FFC"/>
    <w:rsid w:val="009B0A05"/>
    <w:rsid w:val="009B0FB2"/>
    <w:rsid w:val="009B1292"/>
    <w:rsid w:val="009B1A9E"/>
    <w:rsid w:val="009B1CE9"/>
    <w:rsid w:val="009B1DF1"/>
    <w:rsid w:val="009B2066"/>
    <w:rsid w:val="009B2480"/>
    <w:rsid w:val="009B25E8"/>
    <w:rsid w:val="009B27D1"/>
    <w:rsid w:val="009B2C93"/>
    <w:rsid w:val="009B40DE"/>
    <w:rsid w:val="009B5A40"/>
    <w:rsid w:val="009B5CFE"/>
    <w:rsid w:val="009B622A"/>
    <w:rsid w:val="009B72E7"/>
    <w:rsid w:val="009B72ED"/>
    <w:rsid w:val="009B7642"/>
    <w:rsid w:val="009C0977"/>
    <w:rsid w:val="009C0E1B"/>
    <w:rsid w:val="009C0FE2"/>
    <w:rsid w:val="009C1E1C"/>
    <w:rsid w:val="009C21A9"/>
    <w:rsid w:val="009C25E4"/>
    <w:rsid w:val="009C2781"/>
    <w:rsid w:val="009C2936"/>
    <w:rsid w:val="009C2FCF"/>
    <w:rsid w:val="009C37CE"/>
    <w:rsid w:val="009C3ED4"/>
    <w:rsid w:val="009C480F"/>
    <w:rsid w:val="009C48E8"/>
    <w:rsid w:val="009C5069"/>
    <w:rsid w:val="009C67B0"/>
    <w:rsid w:val="009C739C"/>
    <w:rsid w:val="009C7991"/>
    <w:rsid w:val="009D0B63"/>
    <w:rsid w:val="009D17D7"/>
    <w:rsid w:val="009D1889"/>
    <w:rsid w:val="009D18D4"/>
    <w:rsid w:val="009D34AA"/>
    <w:rsid w:val="009D3A6E"/>
    <w:rsid w:val="009D3F98"/>
    <w:rsid w:val="009D6536"/>
    <w:rsid w:val="009D6EEB"/>
    <w:rsid w:val="009D77B3"/>
    <w:rsid w:val="009D77F8"/>
    <w:rsid w:val="009E05C2"/>
    <w:rsid w:val="009E15C6"/>
    <w:rsid w:val="009E1896"/>
    <w:rsid w:val="009E1C4B"/>
    <w:rsid w:val="009E23F7"/>
    <w:rsid w:val="009E250C"/>
    <w:rsid w:val="009E25F1"/>
    <w:rsid w:val="009E32F4"/>
    <w:rsid w:val="009E3953"/>
    <w:rsid w:val="009E4386"/>
    <w:rsid w:val="009E473D"/>
    <w:rsid w:val="009E5242"/>
    <w:rsid w:val="009E5CDF"/>
    <w:rsid w:val="009E6803"/>
    <w:rsid w:val="009E77DA"/>
    <w:rsid w:val="009E7CAE"/>
    <w:rsid w:val="009F0853"/>
    <w:rsid w:val="009F11A4"/>
    <w:rsid w:val="009F38F0"/>
    <w:rsid w:val="009F4315"/>
    <w:rsid w:val="009F4407"/>
    <w:rsid w:val="009F4613"/>
    <w:rsid w:val="009F4638"/>
    <w:rsid w:val="009F5373"/>
    <w:rsid w:val="009F5545"/>
    <w:rsid w:val="009F55EC"/>
    <w:rsid w:val="009F65B2"/>
    <w:rsid w:val="009F690B"/>
    <w:rsid w:val="009F6B78"/>
    <w:rsid w:val="009F6D7D"/>
    <w:rsid w:val="009F6F8B"/>
    <w:rsid w:val="009F7C77"/>
    <w:rsid w:val="00A000F3"/>
    <w:rsid w:val="00A0060B"/>
    <w:rsid w:val="00A00807"/>
    <w:rsid w:val="00A01D14"/>
    <w:rsid w:val="00A0222A"/>
    <w:rsid w:val="00A0328D"/>
    <w:rsid w:val="00A03801"/>
    <w:rsid w:val="00A04050"/>
    <w:rsid w:val="00A04917"/>
    <w:rsid w:val="00A04EA7"/>
    <w:rsid w:val="00A05343"/>
    <w:rsid w:val="00A05347"/>
    <w:rsid w:val="00A05E6E"/>
    <w:rsid w:val="00A0645F"/>
    <w:rsid w:val="00A06C66"/>
    <w:rsid w:val="00A07394"/>
    <w:rsid w:val="00A07EA0"/>
    <w:rsid w:val="00A10255"/>
    <w:rsid w:val="00A11212"/>
    <w:rsid w:val="00A112AF"/>
    <w:rsid w:val="00A11637"/>
    <w:rsid w:val="00A11B34"/>
    <w:rsid w:val="00A12241"/>
    <w:rsid w:val="00A12259"/>
    <w:rsid w:val="00A12C4D"/>
    <w:rsid w:val="00A133BD"/>
    <w:rsid w:val="00A1362D"/>
    <w:rsid w:val="00A13789"/>
    <w:rsid w:val="00A13FAF"/>
    <w:rsid w:val="00A141D7"/>
    <w:rsid w:val="00A160D4"/>
    <w:rsid w:val="00A166EC"/>
    <w:rsid w:val="00A16B08"/>
    <w:rsid w:val="00A17820"/>
    <w:rsid w:val="00A17C9E"/>
    <w:rsid w:val="00A20A66"/>
    <w:rsid w:val="00A20B5A"/>
    <w:rsid w:val="00A20DD0"/>
    <w:rsid w:val="00A218C9"/>
    <w:rsid w:val="00A21EDC"/>
    <w:rsid w:val="00A22276"/>
    <w:rsid w:val="00A22FED"/>
    <w:rsid w:val="00A233B0"/>
    <w:rsid w:val="00A240A7"/>
    <w:rsid w:val="00A24918"/>
    <w:rsid w:val="00A249DF"/>
    <w:rsid w:val="00A2507C"/>
    <w:rsid w:val="00A25187"/>
    <w:rsid w:val="00A2683D"/>
    <w:rsid w:val="00A26D07"/>
    <w:rsid w:val="00A26E7B"/>
    <w:rsid w:val="00A27FC4"/>
    <w:rsid w:val="00A30DA2"/>
    <w:rsid w:val="00A32F1B"/>
    <w:rsid w:val="00A33A40"/>
    <w:rsid w:val="00A343FE"/>
    <w:rsid w:val="00A35C22"/>
    <w:rsid w:val="00A360C6"/>
    <w:rsid w:val="00A36A2E"/>
    <w:rsid w:val="00A36DE7"/>
    <w:rsid w:val="00A36E94"/>
    <w:rsid w:val="00A37700"/>
    <w:rsid w:val="00A41B34"/>
    <w:rsid w:val="00A4294C"/>
    <w:rsid w:val="00A430A8"/>
    <w:rsid w:val="00A444E4"/>
    <w:rsid w:val="00A459E0"/>
    <w:rsid w:val="00A46F37"/>
    <w:rsid w:val="00A47885"/>
    <w:rsid w:val="00A47D8E"/>
    <w:rsid w:val="00A505AC"/>
    <w:rsid w:val="00A50A4E"/>
    <w:rsid w:val="00A52C2A"/>
    <w:rsid w:val="00A531A5"/>
    <w:rsid w:val="00A53784"/>
    <w:rsid w:val="00A53B4D"/>
    <w:rsid w:val="00A55112"/>
    <w:rsid w:val="00A55B8E"/>
    <w:rsid w:val="00A57787"/>
    <w:rsid w:val="00A578FC"/>
    <w:rsid w:val="00A6053F"/>
    <w:rsid w:val="00A60583"/>
    <w:rsid w:val="00A607E8"/>
    <w:rsid w:val="00A60AC3"/>
    <w:rsid w:val="00A61660"/>
    <w:rsid w:val="00A61B46"/>
    <w:rsid w:val="00A62183"/>
    <w:rsid w:val="00A622AA"/>
    <w:rsid w:val="00A6285D"/>
    <w:rsid w:val="00A62B2E"/>
    <w:rsid w:val="00A62DC1"/>
    <w:rsid w:val="00A63C50"/>
    <w:rsid w:val="00A6457F"/>
    <w:rsid w:val="00A64765"/>
    <w:rsid w:val="00A649F8"/>
    <w:rsid w:val="00A64A67"/>
    <w:rsid w:val="00A65453"/>
    <w:rsid w:val="00A65509"/>
    <w:rsid w:val="00A660A7"/>
    <w:rsid w:val="00A6689D"/>
    <w:rsid w:val="00A66BEC"/>
    <w:rsid w:val="00A67535"/>
    <w:rsid w:val="00A67FEB"/>
    <w:rsid w:val="00A701C8"/>
    <w:rsid w:val="00A705B0"/>
    <w:rsid w:val="00A711F9"/>
    <w:rsid w:val="00A71652"/>
    <w:rsid w:val="00A71A60"/>
    <w:rsid w:val="00A71D04"/>
    <w:rsid w:val="00A7256C"/>
    <w:rsid w:val="00A72656"/>
    <w:rsid w:val="00A727EE"/>
    <w:rsid w:val="00A730F0"/>
    <w:rsid w:val="00A737FF"/>
    <w:rsid w:val="00A73ABB"/>
    <w:rsid w:val="00A75404"/>
    <w:rsid w:val="00A775A2"/>
    <w:rsid w:val="00A8023F"/>
    <w:rsid w:val="00A8123E"/>
    <w:rsid w:val="00A822E3"/>
    <w:rsid w:val="00A82DC9"/>
    <w:rsid w:val="00A8338B"/>
    <w:rsid w:val="00A83A51"/>
    <w:rsid w:val="00A83E6D"/>
    <w:rsid w:val="00A83E6F"/>
    <w:rsid w:val="00A8604A"/>
    <w:rsid w:val="00A876E9"/>
    <w:rsid w:val="00A8779D"/>
    <w:rsid w:val="00A9017E"/>
    <w:rsid w:val="00A902E7"/>
    <w:rsid w:val="00A90F20"/>
    <w:rsid w:val="00A91332"/>
    <w:rsid w:val="00A921D3"/>
    <w:rsid w:val="00A92B8B"/>
    <w:rsid w:val="00A92E93"/>
    <w:rsid w:val="00A932D3"/>
    <w:rsid w:val="00A9388F"/>
    <w:rsid w:val="00A9401F"/>
    <w:rsid w:val="00A941B0"/>
    <w:rsid w:val="00A947C1"/>
    <w:rsid w:val="00A950CD"/>
    <w:rsid w:val="00A963D8"/>
    <w:rsid w:val="00A97ADC"/>
    <w:rsid w:val="00A97C13"/>
    <w:rsid w:val="00A97CCA"/>
    <w:rsid w:val="00AA0D1E"/>
    <w:rsid w:val="00AA11BD"/>
    <w:rsid w:val="00AA2B78"/>
    <w:rsid w:val="00AA2D50"/>
    <w:rsid w:val="00AA2E78"/>
    <w:rsid w:val="00AA2F43"/>
    <w:rsid w:val="00AA459C"/>
    <w:rsid w:val="00AA4682"/>
    <w:rsid w:val="00AA50D2"/>
    <w:rsid w:val="00AA5C6C"/>
    <w:rsid w:val="00AA61A3"/>
    <w:rsid w:val="00AA6652"/>
    <w:rsid w:val="00AA6757"/>
    <w:rsid w:val="00AA68AE"/>
    <w:rsid w:val="00AA6BCE"/>
    <w:rsid w:val="00AA6BEB"/>
    <w:rsid w:val="00AA7171"/>
    <w:rsid w:val="00AA7751"/>
    <w:rsid w:val="00AB015A"/>
    <w:rsid w:val="00AB0AB7"/>
    <w:rsid w:val="00AB1259"/>
    <w:rsid w:val="00AB1B8E"/>
    <w:rsid w:val="00AB1C60"/>
    <w:rsid w:val="00AB2497"/>
    <w:rsid w:val="00AB24EB"/>
    <w:rsid w:val="00AB3E90"/>
    <w:rsid w:val="00AB41A3"/>
    <w:rsid w:val="00AB430C"/>
    <w:rsid w:val="00AB4F87"/>
    <w:rsid w:val="00AB52F4"/>
    <w:rsid w:val="00AB6B37"/>
    <w:rsid w:val="00AB6C1C"/>
    <w:rsid w:val="00AB74A9"/>
    <w:rsid w:val="00AB75A5"/>
    <w:rsid w:val="00AB7C4D"/>
    <w:rsid w:val="00AB7C83"/>
    <w:rsid w:val="00AC1003"/>
    <w:rsid w:val="00AC1774"/>
    <w:rsid w:val="00AC1A28"/>
    <w:rsid w:val="00AC2CC0"/>
    <w:rsid w:val="00AC3461"/>
    <w:rsid w:val="00AC34AB"/>
    <w:rsid w:val="00AC3C59"/>
    <w:rsid w:val="00AC415A"/>
    <w:rsid w:val="00AC4397"/>
    <w:rsid w:val="00AC4434"/>
    <w:rsid w:val="00AC4498"/>
    <w:rsid w:val="00AC4562"/>
    <w:rsid w:val="00AC7981"/>
    <w:rsid w:val="00AD09FA"/>
    <w:rsid w:val="00AD0A06"/>
    <w:rsid w:val="00AD145F"/>
    <w:rsid w:val="00AD1731"/>
    <w:rsid w:val="00AD19FF"/>
    <w:rsid w:val="00AD1C44"/>
    <w:rsid w:val="00AD2030"/>
    <w:rsid w:val="00AD20DE"/>
    <w:rsid w:val="00AD48A2"/>
    <w:rsid w:val="00AD5BCD"/>
    <w:rsid w:val="00AD6677"/>
    <w:rsid w:val="00AD6D65"/>
    <w:rsid w:val="00AD7C9A"/>
    <w:rsid w:val="00AD7F36"/>
    <w:rsid w:val="00AE09BD"/>
    <w:rsid w:val="00AE0C3B"/>
    <w:rsid w:val="00AE1D67"/>
    <w:rsid w:val="00AE3526"/>
    <w:rsid w:val="00AE3E91"/>
    <w:rsid w:val="00AE475D"/>
    <w:rsid w:val="00AE4B03"/>
    <w:rsid w:val="00AE4E65"/>
    <w:rsid w:val="00AE622F"/>
    <w:rsid w:val="00AE6B26"/>
    <w:rsid w:val="00AE7235"/>
    <w:rsid w:val="00AE7A38"/>
    <w:rsid w:val="00AF0ADF"/>
    <w:rsid w:val="00AF12C8"/>
    <w:rsid w:val="00AF24F8"/>
    <w:rsid w:val="00AF29DF"/>
    <w:rsid w:val="00AF2E75"/>
    <w:rsid w:val="00AF34B0"/>
    <w:rsid w:val="00AF3B10"/>
    <w:rsid w:val="00AF3C74"/>
    <w:rsid w:val="00AF4686"/>
    <w:rsid w:val="00AF53CC"/>
    <w:rsid w:val="00AF55D8"/>
    <w:rsid w:val="00AF6320"/>
    <w:rsid w:val="00AF63E0"/>
    <w:rsid w:val="00AF7C12"/>
    <w:rsid w:val="00AF7D8D"/>
    <w:rsid w:val="00B022B2"/>
    <w:rsid w:val="00B03F8C"/>
    <w:rsid w:val="00B0449A"/>
    <w:rsid w:val="00B04CCC"/>
    <w:rsid w:val="00B05209"/>
    <w:rsid w:val="00B05B96"/>
    <w:rsid w:val="00B05C87"/>
    <w:rsid w:val="00B069C0"/>
    <w:rsid w:val="00B06E95"/>
    <w:rsid w:val="00B07A0D"/>
    <w:rsid w:val="00B10C1C"/>
    <w:rsid w:val="00B10FDF"/>
    <w:rsid w:val="00B114C2"/>
    <w:rsid w:val="00B116E2"/>
    <w:rsid w:val="00B11CC1"/>
    <w:rsid w:val="00B12649"/>
    <w:rsid w:val="00B12679"/>
    <w:rsid w:val="00B142C7"/>
    <w:rsid w:val="00B144E7"/>
    <w:rsid w:val="00B146C1"/>
    <w:rsid w:val="00B14D46"/>
    <w:rsid w:val="00B14DDB"/>
    <w:rsid w:val="00B14E21"/>
    <w:rsid w:val="00B14E4D"/>
    <w:rsid w:val="00B153EE"/>
    <w:rsid w:val="00B16264"/>
    <w:rsid w:val="00B16A35"/>
    <w:rsid w:val="00B16D9B"/>
    <w:rsid w:val="00B1732A"/>
    <w:rsid w:val="00B1743F"/>
    <w:rsid w:val="00B20966"/>
    <w:rsid w:val="00B20F36"/>
    <w:rsid w:val="00B21C07"/>
    <w:rsid w:val="00B22506"/>
    <w:rsid w:val="00B22797"/>
    <w:rsid w:val="00B22C9D"/>
    <w:rsid w:val="00B2515D"/>
    <w:rsid w:val="00B25754"/>
    <w:rsid w:val="00B25945"/>
    <w:rsid w:val="00B25C5B"/>
    <w:rsid w:val="00B26428"/>
    <w:rsid w:val="00B2697E"/>
    <w:rsid w:val="00B279BE"/>
    <w:rsid w:val="00B3154F"/>
    <w:rsid w:val="00B31B41"/>
    <w:rsid w:val="00B326C2"/>
    <w:rsid w:val="00B32919"/>
    <w:rsid w:val="00B332E3"/>
    <w:rsid w:val="00B3340B"/>
    <w:rsid w:val="00B33741"/>
    <w:rsid w:val="00B338CF"/>
    <w:rsid w:val="00B33900"/>
    <w:rsid w:val="00B3434F"/>
    <w:rsid w:val="00B346C6"/>
    <w:rsid w:val="00B3533D"/>
    <w:rsid w:val="00B35BDF"/>
    <w:rsid w:val="00B35BED"/>
    <w:rsid w:val="00B361A1"/>
    <w:rsid w:val="00B37005"/>
    <w:rsid w:val="00B378D7"/>
    <w:rsid w:val="00B37957"/>
    <w:rsid w:val="00B37996"/>
    <w:rsid w:val="00B37DE5"/>
    <w:rsid w:val="00B404CD"/>
    <w:rsid w:val="00B405C4"/>
    <w:rsid w:val="00B40F4D"/>
    <w:rsid w:val="00B412A8"/>
    <w:rsid w:val="00B41857"/>
    <w:rsid w:val="00B41C3D"/>
    <w:rsid w:val="00B42F89"/>
    <w:rsid w:val="00B433D3"/>
    <w:rsid w:val="00B4520E"/>
    <w:rsid w:val="00B45CE3"/>
    <w:rsid w:val="00B5091B"/>
    <w:rsid w:val="00B50950"/>
    <w:rsid w:val="00B51434"/>
    <w:rsid w:val="00B514C9"/>
    <w:rsid w:val="00B52409"/>
    <w:rsid w:val="00B5313E"/>
    <w:rsid w:val="00B54072"/>
    <w:rsid w:val="00B549ED"/>
    <w:rsid w:val="00B5522A"/>
    <w:rsid w:val="00B55669"/>
    <w:rsid w:val="00B55C3C"/>
    <w:rsid w:val="00B5607F"/>
    <w:rsid w:val="00B56E46"/>
    <w:rsid w:val="00B577B1"/>
    <w:rsid w:val="00B5788C"/>
    <w:rsid w:val="00B57AF6"/>
    <w:rsid w:val="00B57CAD"/>
    <w:rsid w:val="00B57EB9"/>
    <w:rsid w:val="00B60886"/>
    <w:rsid w:val="00B610B6"/>
    <w:rsid w:val="00B61F90"/>
    <w:rsid w:val="00B62087"/>
    <w:rsid w:val="00B62467"/>
    <w:rsid w:val="00B6356E"/>
    <w:rsid w:val="00B635BD"/>
    <w:rsid w:val="00B64A4A"/>
    <w:rsid w:val="00B655CC"/>
    <w:rsid w:val="00B66F31"/>
    <w:rsid w:val="00B67116"/>
    <w:rsid w:val="00B67827"/>
    <w:rsid w:val="00B67B5C"/>
    <w:rsid w:val="00B73715"/>
    <w:rsid w:val="00B74EF1"/>
    <w:rsid w:val="00B753B1"/>
    <w:rsid w:val="00B759F6"/>
    <w:rsid w:val="00B75C7A"/>
    <w:rsid w:val="00B75CBF"/>
    <w:rsid w:val="00B76481"/>
    <w:rsid w:val="00B76917"/>
    <w:rsid w:val="00B76F25"/>
    <w:rsid w:val="00B775D8"/>
    <w:rsid w:val="00B77CD1"/>
    <w:rsid w:val="00B77E06"/>
    <w:rsid w:val="00B80E46"/>
    <w:rsid w:val="00B81B1B"/>
    <w:rsid w:val="00B82916"/>
    <w:rsid w:val="00B832C8"/>
    <w:rsid w:val="00B8344C"/>
    <w:rsid w:val="00B84CEC"/>
    <w:rsid w:val="00B85994"/>
    <w:rsid w:val="00B86142"/>
    <w:rsid w:val="00B86586"/>
    <w:rsid w:val="00B87897"/>
    <w:rsid w:val="00B9029A"/>
    <w:rsid w:val="00B906C7"/>
    <w:rsid w:val="00B912B1"/>
    <w:rsid w:val="00B914F3"/>
    <w:rsid w:val="00B91575"/>
    <w:rsid w:val="00B9464E"/>
    <w:rsid w:val="00B95A2C"/>
    <w:rsid w:val="00B9693C"/>
    <w:rsid w:val="00B96E84"/>
    <w:rsid w:val="00B97741"/>
    <w:rsid w:val="00B97E07"/>
    <w:rsid w:val="00B97F50"/>
    <w:rsid w:val="00BA051C"/>
    <w:rsid w:val="00BA07C7"/>
    <w:rsid w:val="00BA1347"/>
    <w:rsid w:val="00BA25A8"/>
    <w:rsid w:val="00BA4148"/>
    <w:rsid w:val="00BA4156"/>
    <w:rsid w:val="00BA4CAE"/>
    <w:rsid w:val="00BA4E69"/>
    <w:rsid w:val="00BA5909"/>
    <w:rsid w:val="00BA6096"/>
    <w:rsid w:val="00BA68EE"/>
    <w:rsid w:val="00BA691B"/>
    <w:rsid w:val="00BB018A"/>
    <w:rsid w:val="00BB2B61"/>
    <w:rsid w:val="00BB39DF"/>
    <w:rsid w:val="00BB3ACE"/>
    <w:rsid w:val="00BB42BE"/>
    <w:rsid w:val="00BB47A1"/>
    <w:rsid w:val="00BB4A36"/>
    <w:rsid w:val="00BB5287"/>
    <w:rsid w:val="00BB5FB3"/>
    <w:rsid w:val="00BB69E2"/>
    <w:rsid w:val="00BB6C6D"/>
    <w:rsid w:val="00BB6DD3"/>
    <w:rsid w:val="00BB6EA4"/>
    <w:rsid w:val="00BB7F18"/>
    <w:rsid w:val="00BC0483"/>
    <w:rsid w:val="00BC06C5"/>
    <w:rsid w:val="00BC0CB4"/>
    <w:rsid w:val="00BC27B1"/>
    <w:rsid w:val="00BC2BD6"/>
    <w:rsid w:val="00BC3CFB"/>
    <w:rsid w:val="00BC48EE"/>
    <w:rsid w:val="00BC4A4F"/>
    <w:rsid w:val="00BC4EFE"/>
    <w:rsid w:val="00BC5954"/>
    <w:rsid w:val="00BC6184"/>
    <w:rsid w:val="00BC62B0"/>
    <w:rsid w:val="00BC69EC"/>
    <w:rsid w:val="00BC6B23"/>
    <w:rsid w:val="00BC6F46"/>
    <w:rsid w:val="00BC6F99"/>
    <w:rsid w:val="00BC7120"/>
    <w:rsid w:val="00BC7DE5"/>
    <w:rsid w:val="00BD0354"/>
    <w:rsid w:val="00BD070D"/>
    <w:rsid w:val="00BD0FD9"/>
    <w:rsid w:val="00BD1437"/>
    <w:rsid w:val="00BD18CD"/>
    <w:rsid w:val="00BD199F"/>
    <w:rsid w:val="00BD2609"/>
    <w:rsid w:val="00BD28E2"/>
    <w:rsid w:val="00BD44E2"/>
    <w:rsid w:val="00BD49BA"/>
    <w:rsid w:val="00BD5A89"/>
    <w:rsid w:val="00BD5D6F"/>
    <w:rsid w:val="00BD5EAE"/>
    <w:rsid w:val="00BD6EED"/>
    <w:rsid w:val="00BD7E7B"/>
    <w:rsid w:val="00BE0329"/>
    <w:rsid w:val="00BE0618"/>
    <w:rsid w:val="00BE0749"/>
    <w:rsid w:val="00BE09C8"/>
    <w:rsid w:val="00BE0B66"/>
    <w:rsid w:val="00BE11B6"/>
    <w:rsid w:val="00BE1B03"/>
    <w:rsid w:val="00BE1BA1"/>
    <w:rsid w:val="00BE1DE7"/>
    <w:rsid w:val="00BE30D1"/>
    <w:rsid w:val="00BE3E71"/>
    <w:rsid w:val="00BE4DEE"/>
    <w:rsid w:val="00BE517F"/>
    <w:rsid w:val="00BE5728"/>
    <w:rsid w:val="00BE5F9E"/>
    <w:rsid w:val="00BE6193"/>
    <w:rsid w:val="00BE6345"/>
    <w:rsid w:val="00BE7192"/>
    <w:rsid w:val="00BE7236"/>
    <w:rsid w:val="00BE7ED0"/>
    <w:rsid w:val="00BF0356"/>
    <w:rsid w:val="00BF041F"/>
    <w:rsid w:val="00BF1056"/>
    <w:rsid w:val="00BF1BFD"/>
    <w:rsid w:val="00BF3036"/>
    <w:rsid w:val="00BF3A31"/>
    <w:rsid w:val="00BF4714"/>
    <w:rsid w:val="00BF480B"/>
    <w:rsid w:val="00BF484E"/>
    <w:rsid w:val="00BF48EA"/>
    <w:rsid w:val="00BF4C42"/>
    <w:rsid w:val="00BF4DDC"/>
    <w:rsid w:val="00BF59AA"/>
    <w:rsid w:val="00BF6717"/>
    <w:rsid w:val="00BF6A55"/>
    <w:rsid w:val="00BF6F5E"/>
    <w:rsid w:val="00C00BA5"/>
    <w:rsid w:val="00C0174F"/>
    <w:rsid w:val="00C01AB2"/>
    <w:rsid w:val="00C01D4E"/>
    <w:rsid w:val="00C020B8"/>
    <w:rsid w:val="00C023E5"/>
    <w:rsid w:val="00C02FED"/>
    <w:rsid w:val="00C05963"/>
    <w:rsid w:val="00C05DDF"/>
    <w:rsid w:val="00C05ECF"/>
    <w:rsid w:val="00C05F91"/>
    <w:rsid w:val="00C06A13"/>
    <w:rsid w:val="00C07FF4"/>
    <w:rsid w:val="00C10452"/>
    <w:rsid w:val="00C1112E"/>
    <w:rsid w:val="00C11534"/>
    <w:rsid w:val="00C12847"/>
    <w:rsid w:val="00C12B06"/>
    <w:rsid w:val="00C13992"/>
    <w:rsid w:val="00C141B6"/>
    <w:rsid w:val="00C14968"/>
    <w:rsid w:val="00C14CEF"/>
    <w:rsid w:val="00C14EC1"/>
    <w:rsid w:val="00C1569D"/>
    <w:rsid w:val="00C1592D"/>
    <w:rsid w:val="00C160CB"/>
    <w:rsid w:val="00C16188"/>
    <w:rsid w:val="00C166C3"/>
    <w:rsid w:val="00C16CF2"/>
    <w:rsid w:val="00C17583"/>
    <w:rsid w:val="00C17CE2"/>
    <w:rsid w:val="00C20799"/>
    <w:rsid w:val="00C207B6"/>
    <w:rsid w:val="00C20AE1"/>
    <w:rsid w:val="00C213C7"/>
    <w:rsid w:val="00C21DDD"/>
    <w:rsid w:val="00C22B55"/>
    <w:rsid w:val="00C23D49"/>
    <w:rsid w:val="00C24902"/>
    <w:rsid w:val="00C251EE"/>
    <w:rsid w:val="00C257B0"/>
    <w:rsid w:val="00C2620F"/>
    <w:rsid w:val="00C26341"/>
    <w:rsid w:val="00C26557"/>
    <w:rsid w:val="00C266E2"/>
    <w:rsid w:val="00C27152"/>
    <w:rsid w:val="00C2764F"/>
    <w:rsid w:val="00C27A2E"/>
    <w:rsid w:val="00C27C83"/>
    <w:rsid w:val="00C308E9"/>
    <w:rsid w:val="00C30EAB"/>
    <w:rsid w:val="00C313AF"/>
    <w:rsid w:val="00C314C3"/>
    <w:rsid w:val="00C31677"/>
    <w:rsid w:val="00C32284"/>
    <w:rsid w:val="00C322C1"/>
    <w:rsid w:val="00C3295E"/>
    <w:rsid w:val="00C335C4"/>
    <w:rsid w:val="00C34787"/>
    <w:rsid w:val="00C349C1"/>
    <w:rsid w:val="00C34C77"/>
    <w:rsid w:val="00C34F8A"/>
    <w:rsid w:val="00C353C6"/>
    <w:rsid w:val="00C36330"/>
    <w:rsid w:val="00C369F8"/>
    <w:rsid w:val="00C36E61"/>
    <w:rsid w:val="00C3748F"/>
    <w:rsid w:val="00C40565"/>
    <w:rsid w:val="00C41A6F"/>
    <w:rsid w:val="00C41CBD"/>
    <w:rsid w:val="00C431AA"/>
    <w:rsid w:val="00C43293"/>
    <w:rsid w:val="00C44437"/>
    <w:rsid w:val="00C46B2D"/>
    <w:rsid w:val="00C4711B"/>
    <w:rsid w:val="00C4738A"/>
    <w:rsid w:val="00C473A2"/>
    <w:rsid w:val="00C50ADB"/>
    <w:rsid w:val="00C517EC"/>
    <w:rsid w:val="00C51F19"/>
    <w:rsid w:val="00C51F56"/>
    <w:rsid w:val="00C54866"/>
    <w:rsid w:val="00C54C45"/>
    <w:rsid w:val="00C54DAF"/>
    <w:rsid w:val="00C555A6"/>
    <w:rsid w:val="00C57A87"/>
    <w:rsid w:val="00C60226"/>
    <w:rsid w:val="00C6077B"/>
    <w:rsid w:val="00C60AB3"/>
    <w:rsid w:val="00C60C5B"/>
    <w:rsid w:val="00C60E0F"/>
    <w:rsid w:val="00C62778"/>
    <w:rsid w:val="00C627B2"/>
    <w:rsid w:val="00C62EFD"/>
    <w:rsid w:val="00C6358C"/>
    <w:rsid w:val="00C63D86"/>
    <w:rsid w:val="00C64C4C"/>
    <w:rsid w:val="00C64D69"/>
    <w:rsid w:val="00C64F3F"/>
    <w:rsid w:val="00C65158"/>
    <w:rsid w:val="00C6520D"/>
    <w:rsid w:val="00C67549"/>
    <w:rsid w:val="00C678F2"/>
    <w:rsid w:val="00C70069"/>
    <w:rsid w:val="00C708A7"/>
    <w:rsid w:val="00C7118C"/>
    <w:rsid w:val="00C7121F"/>
    <w:rsid w:val="00C71AE6"/>
    <w:rsid w:val="00C722FE"/>
    <w:rsid w:val="00C72642"/>
    <w:rsid w:val="00C745BB"/>
    <w:rsid w:val="00C74BEB"/>
    <w:rsid w:val="00C760B9"/>
    <w:rsid w:val="00C76B3B"/>
    <w:rsid w:val="00C76C54"/>
    <w:rsid w:val="00C779BD"/>
    <w:rsid w:val="00C77F88"/>
    <w:rsid w:val="00C80C33"/>
    <w:rsid w:val="00C80DAA"/>
    <w:rsid w:val="00C81A74"/>
    <w:rsid w:val="00C824E1"/>
    <w:rsid w:val="00C82570"/>
    <w:rsid w:val="00C82ED6"/>
    <w:rsid w:val="00C84188"/>
    <w:rsid w:val="00C84852"/>
    <w:rsid w:val="00C8741E"/>
    <w:rsid w:val="00C87458"/>
    <w:rsid w:val="00C87753"/>
    <w:rsid w:val="00C87C42"/>
    <w:rsid w:val="00C907E6"/>
    <w:rsid w:val="00C91055"/>
    <w:rsid w:val="00C9127F"/>
    <w:rsid w:val="00C9172E"/>
    <w:rsid w:val="00C92250"/>
    <w:rsid w:val="00C928F0"/>
    <w:rsid w:val="00C93177"/>
    <w:rsid w:val="00C93816"/>
    <w:rsid w:val="00C9428F"/>
    <w:rsid w:val="00C95BF2"/>
    <w:rsid w:val="00C96265"/>
    <w:rsid w:val="00CA2206"/>
    <w:rsid w:val="00CA283B"/>
    <w:rsid w:val="00CA359C"/>
    <w:rsid w:val="00CA3791"/>
    <w:rsid w:val="00CA3FAE"/>
    <w:rsid w:val="00CA5307"/>
    <w:rsid w:val="00CA6A1A"/>
    <w:rsid w:val="00CA6C20"/>
    <w:rsid w:val="00CA705E"/>
    <w:rsid w:val="00CA71B5"/>
    <w:rsid w:val="00CA78F3"/>
    <w:rsid w:val="00CB0657"/>
    <w:rsid w:val="00CB077A"/>
    <w:rsid w:val="00CB0F93"/>
    <w:rsid w:val="00CB1219"/>
    <w:rsid w:val="00CB1322"/>
    <w:rsid w:val="00CB20F6"/>
    <w:rsid w:val="00CB443A"/>
    <w:rsid w:val="00CB590D"/>
    <w:rsid w:val="00CB5ACF"/>
    <w:rsid w:val="00CB645B"/>
    <w:rsid w:val="00CB65DD"/>
    <w:rsid w:val="00CB67AF"/>
    <w:rsid w:val="00CB6BDF"/>
    <w:rsid w:val="00CB7ADB"/>
    <w:rsid w:val="00CC13E2"/>
    <w:rsid w:val="00CC19DC"/>
    <w:rsid w:val="00CC1B20"/>
    <w:rsid w:val="00CC2100"/>
    <w:rsid w:val="00CC2E7D"/>
    <w:rsid w:val="00CC319E"/>
    <w:rsid w:val="00CC399C"/>
    <w:rsid w:val="00CC40D8"/>
    <w:rsid w:val="00CC43FE"/>
    <w:rsid w:val="00CC4E1C"/>
    <w:rsid w:val="00CC571E"/>
    <w:rsid w:val="00CC5907"/>
    <w:rsid w:val="00CC5980"/>
    <w:rsid w:val="00CC5E64"/>
    <w:rsid w:val="00CC6056"/>
    <w:rsid w:val="00CC6405"/>
    <w:rsid w:val="00CC64E3"/>
    <w:rsid w:val="00CC6AF4"/>
    <w:rsid w:val="00CC73C2"/>
    <w:rsid w:val="00CC7811"/>
    <w:rsid w:val="00CD066A"/>
    <w:rsid w:val="00CD1DC2"/>
    <w:rsid w:val="00CD2D05"/>
    <w:rsid w:val="00CD46A4"/>
    <w:rsid w:val="00CD52AD"/>
    <w:rsid w:val="00CD5E1D"/>
    <w:rsid w:val="00CD5F1A"/>
    <w:rsid w:val="00CD60B8"/>
    <w:rsid w:val="00CD790D"/>
    <w:rsid w:val="00CE0DD3"/>
    <w:rsid w:val="00CE0DE9"/>
    <w:rsid w:val="00CE2713"/>
    <w:rsid w:val="00CE27C7"/>
    <w:rsid w:val="00CE295B"/>
    <w:rsid w:val="00CE3A1A"/>
    <w:rsid w:val="00CE3C39"/>
    <w:rsid w:val="00CE44E0"/>
    <w:rsid w:val="00CE633E"/>
    <w:rsid w:val="00CE65F7"/>
    <w:rsid w:val="00CE6B03"/>
    <w:rsid w:val="00CE6CB8"/>
    <w:rsid w:val="00CE6EEF"/>
    <w:rsid w:val="00CE7ADF"/>
    <w:rsid w:val="00CE7B96"/>
    <w:rsid w:val="00CE7CF8"/>
    <w:rsid w:val="00CF01B5"/>
    <w:rsid w:val="00CF08E1"/>
    <w:rsid w:val="00CF0B82"/>
    <w:rsid w:val="00CF17B0"/>
    <w:rsid w:val="00CF356D"/>
    <w:rsid w:val="00CF415F"/>
    <w:rsid w:val="00CF4426"/>
    <w:rsid w:val="00CF4D55"/>
    <w:rsid w:val="00CF54B8"/>
    <w:rsid w:val="00CF5ABA"/>
    <w:rsid w:val="00CF5F12"/>
    <w:rsid w:val="00CF6B2A"/>
    <w:rsid w:val="00CF704E"/>
    <w:rsid w:val="00CF775F"/>
    <w:rsid w:val="00CF7A07"/>
    <w:rsid w:val="00CF7DD9"/>
    <w:rsid w:val="00D00793"/>
    <w:rsid w:val="00D009D7"/>
    <w:rsid w:val="00D00E34"/>
    <w:rsid w:val="00D01F2B"/>
    <w:rsid w:val="00D025DE"/>
    <w:rsid w:val="00D02CB0"/>
    <w:rsid w:val="00D031D0"/>
    <w:rsid w:val="00D04225"/>
    <w:rsid w:val="00D04AF6"/>
    <w:rsid w:val="00D05168"/>
    <w:rsid w:val="00D05829"/>
    <w:rsid w:val="00D05F60"/>
    <w:rsid w:val="00D06352"/>
    <w:rsid w:val="00D06379"/>
    <w:rsid w:val="00D063A5"/>
    <w:rsid w:val="00D06429"/>
    <w:rsid w:val="00D06711"/>
    <w:rsid w:val="00D06D28"/>
    <w:rsid w:val="00D072F0"/>
    <w:rsid w:val="00D072F2"/>
    <w:rsid w:val="00D07468"/>
    <w:rsid w:val="00D07567"/>
    <w:rsid w:val="00D1082B"/>
    <w:rsid w:val="00D1099E"/>
    <w:rsid w:val="00D11024"/>
    <w:rsid w:val="00D115FC"/>
    <w:rsid w:val="00D1197D"/>
    <w:rsid w:val="00D1265C"/>
    <w:rsid w:val="00D1267F"/>
    <w:rsid w:val="00D12AFF"/>
    <w:rsid w:val="00D1326B"/>
    <w:rsid w:val="00D135EB"/>
    <w:rsid w:val="00D13B7E"/>
    <w:rsid w:val="00D1447F"/>
    <w:rsid w:val="00D153CD"/>
    <w:rsid w:val="00D1545D"/>
    <w:rsid w:val="00D15BE6"/>
    <w:rsid w:val="00D15E3A"/>
    <w:rsid w:val="00D16003"/>
    <w:rsid w:val="00D16054"/>
    <w:rsid w:val="00D16813"/>
    <w:rsid w:val="00D16F0A"/>
    <w:rsid w:val="00D17185"/>
    <w:rsid w:val="00D17B11"/>
    <w:rsid w:val="00D17DB6"/>
    <w:rsid w:val="00D2059D"/>
    <w:rsid w:val="00D23474"/>
    <w:rsid w:val="00D235C3"/>
    <w:rsid w:val="00D23BC5"/>
    <w:rsid w:val="00D2413F"/>
    <w:rsid w:val="00D2444B"/>
    <w:rsid w:val="00D246C8"/>
    <w:rsid w:val="00D2529D"/>
    <w:rsid w:val="00D255E0"/>
    <w:rsid w:val="00D25FBF"/>
    <w:rsid w:val="00D260A1"/>
    <w:rsid w:val="00D268FD"/>
    <w:rsid w:val="00D26D97"/>
    <w:rsid w:val="00D272B0"/>
    <w:rsid w:val="00D27673"/>
    <w:rsid w:val="00D2789C"/>
    <w:rsid w:val="00D27E70"/>
    <w:rsid w:val="00D27FAF"/>
    <w:rsid w:val="00D306C2"/>
    <w:rsid w:val="00D307A4"/>
    <w:rsid w:val="00D31104"/>
    <w:rsid w:val="00D31533"/>
    <w:rsid w:val="00D33298"/>
    <w:rsid w:val="00D333F3"/>
    <w:rsid w:val="00D34924"/>
    <w:rsid w:val="00D34E9D"/>
    <w:rsid w:val="00D351B2"/>
    <w:rsid w:val="00D36E3F"/>
    <w:rsid w:val="00D37E13"/>
    <w:rsid w:val="00D407EF"/>
    <w:rsid w:val="00D41B3D"/>
    <w:rsid w:val="00D424CE"/>
    <w:rsid w:val="00D42DB9"/>
    <w:rsid w:val="00D43B4B"/>
    <w:rsid w:val="00D43D38"/>
    <w:rsid w:val="00D4410C"/>
    <w:rsid w:val="00D44112"/>
    <w:rsid w:val="00D445E3"/>
    <w:rsid w:val="00D44683"/>
    <w:rsid w:val="00D4495B"/>
    <w:rsid w:val="00D44CC5"/>
    <w:rsid w:val="00D45B88"/>
    <w:rsid w:val="00D476B0"/>
    <w:rsid w:val="00D51AFB"/>
    <w:rsid w:val="00D51BDF"/>
    <w:rsid w:val="00D52505"/>
    <w:rsid w:val="00D527E6"/>
    <w:rsid w:val="00D539BA"/>
    <w:rsid w:val="00D53F7C"/>
    <w:rsid w:val="00D5417A"/>
    <w:rsid w:val="00D54549"/>
    <w:rsid w:val="00D55028"/>
    <w:rsid w:val="00D57556"/>
    <w:rsid w:val="00D575C6"/>
    <w:rsid w:val="00D57B7E"/>
    <w:rsid w:val="00D607CE"/>
    <w:rsid w:val="00D60DC1"/>
    <w:rsid w:val="00D611D0"/>
    <w:rsid w:val="00D61890"/>
    <w:rsid w:val="00D61D0D"/>
    <w:rsid w:val="00D62039"/>
    <w:rsid w:val="00D644F1"/>
    <w:rsid w:val="00D648BF"/>
    <w:rsid w:val="00D64920"/>
    <w:rsid w:val="00D64932"/>
    <w:rsid w:val="00D64F50"/>
    <w:rsid w:val="00D6538C"/>
    <w:rsid w:val="00D66600"/>
    <w:rsid w:val="00D6702A"/>
    <w:rsid w:val="00D676FE"/>
    <w:rsid w:val="00D67A9A"/>
    <w:rsid w:val="00D67B8B"/>
    <w:rsid w:val="00D7073E"/>
    <w:rsid w:val="00D71930"/>
    <w:rsid w:val="00D726BE"/>
    <w:rsid w:val="00D733A1"/>
    <w:rsid w:val="00D74AB0"/>
    <w:rsid w:val="00D74ACE"/>
    <w:rsid w:val="00D756F1"/>
    <w:rsid w:val="00D757F7"/>
    <w:rsid w:val="00D75D59"/>
    <w:rsid w:val="00D76FD0"/>
    <w:rsid w:val="00D774B8"/>
    <w:rsid w:val="00D77BAB"/>
    <w:rsid w:val="00D77D3D"/>
    <w:rsid w:val="00D77E2C"/>
    <w:rsid w:val="00D77F33"/>
    <w:rsid w:val="00D8064C"/>
    <w:rsid w:val="00D80655"/>
    <w:rsid w:val="00D81748"/>
    <w:rsid w:val="00D81855"/>
    <w:rsid w:val="00D81D24"/>
    <w:rsid w:val="00D83647"/>
    <w:rsid w:val="00D83C1E"/>
    <w:rsid w:val="00D84484"/>
    <w:rsid w:val="00D84ACC"/>
    <w:rsid w:val="00D84D2B"/>
    <w:rsid w:val="00D84D9A"/>
    <w:rsid w:val="00D85911"/>
    <w:rsid w:val="00D862B2"/>
    <w:rsid w:val="00D8761A"/>
    <w:rsid w:val="00D87FDD"/>
    <w:rsid w:val="00D90607"/>
    <w:rsid w:val="00D913E2"/>
    <w:rsid w:val="00D91B21"/>
    <w:rsid w:val="00D92F4F"/>
    <w:rsid w:val="00D93641"/>
    <w:rsid w:val="00D94C7D"/>
    <w:rsid w:val="00D95339"/>
    <w:rsid w:val="00D961D9"/>
    <w:rsid w:val="00D965FD"/>
    <w:rsid w:val="00D96702"/>
    <w:rsid w:val="00D96F22"/>
    <w:rsid w:val="00D97E08"/>
    <w:rsid w:val="00D97E86"/>
    <w:rsid w:val="00DA076F"/>
    <w:rsid w:val="00DA0C71"/>
    <w:rsid w:val="00DA0C9C"/>
    <w:rsid w:val="00DA2415"/>
    <w:rsid w:val="00DA26F1"/>
    <w:rsid w:val="00DA2FC0"/>
    <w:rsid w:val="00DA3E01"/>
    <w:rsid w:val="00DA512A"/>
    <w:rsid w:val="00DA56A9"/>
    <w:rsid w:val="00DA58F8"/>
    <w:rsid w:val="00DA59F8"/>
    <w:rsid w:val="00DA5D41"/>
    <w:rsid w:val="00DB0338"/>
    <w:rsid w:val="00DB0355"/>
    <w:rsid w:val="00DB1FCA"/>
    <w:rsid w:val="00DB332D"/>
    <w:rsid w:val="00DB3AD8"/>
    <w:rsid w:val="00DC05E2"/>
    <w:rsid w:val="00DC10BC"/>
    <w:rsid w:val="00DC1B72"/>
    <w:rsid w:val="00DC1D71"/>
    <w:rsid w:val="00DC3040"/>
    <w:rsid w:val="00DC3A2B"/>
    <w:rsid w:val="00DC41EA"/>
    <w:rsid w:val="00DC4689"/>
    <w:rsid w:val="00DC4C00"/>
    <w:rsid w:val="00DC5424"/>
    <w:rsid w:val="00DC6029"/>
    <w:rsid w:val="00DC7044"/>
    <w:rsid w:val="00DC7DCA"/>
    <w:rsid w:val="00DD18CB"/>
    <w:rsid w:val="00DD255F"/>
    <w:rsid w:val="00DD270F"/>
    <w:rsid w:val="00DD5093"/>
    <w:rsid w:val="00DD538A"/>
    <w:rsid w:val="00DD5DB8"/>
    <w:rsid w:val="00DD6465"/>
    <w:rsid w:val="00DD6905"/>
    <w:rsid w:val="00DD6B06"/>
    <w:rsid w:val="00DD7703"/>
    <w:rsid w:val="00DD7752"/>
    <w:rsid w:val="00DD78DD"/>
    <w:rsid w:val="00DD7EBC"/>
    <w:rsid w:val="00DE01F7"/>
    <w:rsid w:val="00DE0705"/>
    <w:rsid w:val="00DE0F80"/>
    <w:rsid w:val="00DE10C1"/>
    <w:rsid w:val="00DE1B4F"/>
    <w:rsid w:val="00DE2996"/>
    <w:rsid w:val="00DE43A9"/>
    <w:rsid w:val="00DE48E1"/>
    <w:rsid w:val="00DE51AF"/>
    <w:rsid w:val="00DE5579"/>
    <w:rsid w:val="00DE56A0"/>
    <w:rsid w:val="00DE5BDA"/>
    <w:rsid w:val="00DE6335"/>
    <w:rsid w:val="00DE6745"/>
    <w:rsid w:val="00DF0EB7"/>
    <w:rsid w:val="00DF187B"/>
    <w:rsid w:val="00DF1AD1"/>
    <w:rsid w:val="00DF1FAB"/>
    <w:rsid w:val="00DF212F"/>
    <w:rsid w:val="00DF2B09"/>
    <w:rsid w:val="00DF32A7"/>
    <w:rsid w:val="00DF36C5"/>
    <w:rsid w:val="00DF613A"/>
    <w:rsid w:val="00DF6500"/>
    <w:rsid w:val="00DF670B"/>
    <w:rsid w:val="00DF670E"/>
    <w:rsid w:val="00DF6AA6"/>
    <w:rsid w:val="00DF6CC5"/>
    <w:rsid w:val="00E0055B"/>
    <w:rsid w:val="00E01057"/>
    <w:rsid w:val="00E0133B"/>
    <w:rsid w:val="00E01363"/>
    <w:rsid w:val="00E013A0"/>
    <w:rsid w:val="00E017B6"/>
    <w:rsid w:val="00E01ABE"/>
    <w:rsid w:val="00E027BC"/>
    <w:rsid w:val="00E02CEA"/>
    <w:rsid w:val="00E03313"/>
    <w:rsid w:val="00E04A13"/>
    <w:rsid w:val="00E057BF"/>
    <w:rsid w:val="00E0594C"/>
    <w:rsid w:val="00E061F9"/>
    <w:rsid w:val="00E07472"/>
    <w:rsid w:val="00E079F4"/>
    <w:rsid w:val="00E10703"/>
    <w:rsid w:val="00E10932"/>
    <w:rsid w:val="00E11611"/>
    <w:rsid w:val="00E117FA"/>
    <w:rsid w:val="00E11868"/>
    <w:rsid w:val="00E1187D"/>
    <w:rsid w:val="00E1209C"/>
    <w:rsid w:val="00E12615"/>
    <w:rsid w:val="00E13438"/>
    <w:rsid w:val="00E136BC"/>
    <w:rsid w:val="00E1381A"/>
    <w:rsid w:val="00E14AAE"/>
    <w:rsid w:val="00E14B11"/>
    <w:rsid w:val="00E154C2"/>
    <w:rsid w:val="00E1561E"/>
    <w:rsid w:val="00E1698A"/>
    <w:rsid w:val="00E16EFA"/>
    <w:rsid w:val="00E1745C"/>
    <w:rsid w:val="00E176EC"/>
    <w:rsid w:val="00E17966"/>
    <w:rsid w:val="00E17D44"/>
    <w:rsid w:val="00E17EFC"/>
    <w:rsid w:val="00E20DA1"/>
    <w:rsid w:val="00E2242E"/>
    <w:rsid w:val="00E2512B"/>
    <w:rsid w:val="00E25AC4"/>
    <w:rsid w:val="00E264EB"/>
    <w:rsid w:val="00E26CF5"/>
    <w:rsid w:val="00E26DC5"/>
    <w:rsid w:val="00E2725B"/>
    <w:rsid w:val="00E277CE"/>
    <w:rsid w:val="00E27A17"/>
    <w:rsid w:val="00E27B09"/>
    <w:rsid w:val="00E27B79"/>
    <w:rsid w:val="00E27F03"/>
    <w:rsid w:val="00E30975"/>
    <w:rsid w:val="00E30DDB"/>
    <w:rsid w:val="00E319E2"/>
    <w:rsid w:val="00E31DB0"/>
    <w:rsid w:val="00E32487"/>
    <w:rsid w:val="00E32B1F"/>
    <w:rsid w:val="00E3306E"/>
    <w:rsid w:val="00E3326E"/>
    <w:rsid w:val="00E33EDC"/>
    <w:rsid w:val="00E3420C"/>
    <w:rsid w:val="00E345AC"/>
    <w:rsid w:val="00E354B9"/>
    <w:rsid w:val="00E35C0A"/>
    <w:rsid w:val="00E35FCA"/>
    <w:rsid w:val="00E3605D"/>
    <w:rsid w:val="00E36576"/>
    <w:rsid w:val="00E365A3"/>
    <w:rsid w:val="00E36A66"/>
    <w:rsid w:val="00E36B17"/>
    <w:rsid w:val="00E36C34"/>
    <w:rsid w:val="00E3711A"/>
    <w:rsid w:val="00E3735A"/>
    <w:rsid w:val="00E373A1"/>
    <w:rsid w:val="00E37477"/>
    <w:rsid w:val="00E3753E"/>
    <w:rsid w:val="00E37DCA"/>
    <w:rsid w:val="00E40EDE"/>
    <w:rsid w:val="00E40F82"/>
    <w:rsid w:val="00E42C05"/>
    <w:rsid w:val="00E43F64"/>
    <w:rsid w:val="00E45146"/>
    <w:rsid w:val="00E458E0"/>
    <w:rsid w:val="00E45CD1"/>
    <w:rsid w:val="00E45E60"/>
    <w:rsid w:val="00E464C3"/>
    <w:rsid w:val="00E467C7"/>
    <w:rsid w:val="00E46BD2"/>
    <w:rsid w:val="00E505A9"/>
    <w:rsid w:val="00E505FE"/>
    <w:rsid w:val="00E5073B"/>
    <w:rsid w:val="00E51564"/>
    <w:rsid w:val="00E522E8"/>
    <w:rsid w:val="00E528F2"/>
    <w:rsid w:val="00E53D7E"/>
    <w:rsid w:val="00E53E69"/>
    <w:rsid w:val="00E54186"/>
    <w:rsid w:val="00E54738"/>
    <w:rsid w:val="00E54A74"/>
    <w:rsid w:val="00E5513D"/>
    <w:rsid w:val="00E564FF"/>
    <w:rsid w:val="00E60940"/>
    <w:rsid w:val="00E60A4D"/>
    <w:rsid w:val="00E60A6E"/>
    <w:rsid w:val="00E612A0"/>
    <w:rsid w:val="00E61397"/>
    <w:rsid w:val="00E62189"/>
    <w:rsid w:val="00E63347"/>
    <w:rsid w:val="00E6502F"/>
    <w:rsid w:val="00E6519C"/>
    <w:rsid w:val="00E65788"/>
    <w:rsid w:val="00E657EF"/>
    <w:rsid w:val="00E65C2C"/>
    <w:rsid w:val="00E6777A"/>
    <w:rsid w:val="00E678FB"/>
    <w:rsid w:val="00E70343"/>
    <w:rsid w:val="00E708B8"/>
    <w:rsid w:val="00E70B33"/>
    <w:rsid w:val="00E70EAC"/>
    <w:rsid w:val="00E71D60"/>
    <w:rsid w:val="00E72DF9"/>
    <w:rsid w:val="00E7308A"/>
    <w:rsid w:val="00E73179"/>
    <w:rsid w:val="00E74130"/>
    <w:rsid w:val="00E74229"/>
    <w:rsid w:val="00E74361"/>
    <w:rsid w:val="00E74837"/>
    <w:rsid w:val="00E74DAD"/>
    <w:rsid w:val="00E74F82"/>
    <w:rsid w:val="00E75481"/>
    <w:rsid w:val="00E76765"/>
    <w:rsid w:val="00E76A09"/>
    <w:rsid w:val="00E7738D"/>
    <w:rsid w:val="00E7769E"/>
    <w:rsid w:val="00E77BB6"/>
    <w:rsid w:val="00E77F38"/>
    <w:rsid w:val="00E8104F"/>
    <w:rsid w:val="00E827FE"/>
    <w:rsid w:val="00E8336F"/>
    <w:rsid w:val="00E841D6"/>
    <w:rsid w:val="00E844CE"/>
    <w:rsid w:val="00E86FA5"/>
    <w:rsid w:val="00E873D5"/>
    <w:rsid w:val="00E874C0"/>
    <w:rsid w:val="00E87A92"/>
    <w:rsid w:val="00E90A8B"/>
    <w:rsid w:val="00E90ACA"/>
    <w:rsid w:val="00E91F17"/>
    <w:rsid w:val="00E922B7"/>
    <w:rsid w:val="00E93AEF"/>
    <w:rsid w:val="00E94713"/>
    <w:rsid w:val="00E95123"/>
    <w:rsid w:val="00E95838"/>
    <w:rsid w:val="00E95929"/>
    <w:rsid w:val="00E962F1"/>
    <w:rsid w:val="00EA0377"/>
    <w:rsid w:val="00EA0553"/>
    <w:rsid w:val="00EA0723"/>
    <w:rsid w:val="00EA0E4B"/>
    <w:rsid w:val="00EA10CF"/>
    <w:rsid w:val="00EA2CA7"/>
    <w:rsid w:val="00EA2E55"/>
    <w:rsid w:val="00EA340C"/>
    <w:rsid w:val="00EA3DDC"/>
    <w:rsid w:val="00EA528C"/>
    <w:rsid w:val="00EA66D9"/>
    <w:rsid w:val="00EA6D5E"/>
    <w:rsid w:val="00EA6D91"/>
    <w:rsid w:val="00EA6F01"/>
    <w:rsid w:val="00EB0712"/>
    <w:rsid w:val="00EB0FA4"/>
    <w:rsid w:val="00EB1000"/>
    <w:rsid w:val="00EB32F9"/>
    <w:rsid w:val="00EB3F93"/>
    <w:rsid w:val="00EB5728"/>
    <w:rsid w:val="00EB660C"/>
    <w:rsid w:val="00EB6B58"/>
    <w:rsid w:val="00EB7815"/>
    <w:rsid w:val="00EB7F55"/>
    <w:rsid w:val="00EC0199"/>
    <w:rsid w:val="00EC02C2"/>
    <w:rsid w:val="00EC0AFC"/>
    <w:rsid w:val="00EC2229"/>
    <w:rsid w:val="00EC290B"/>
    <w:rsid w:val="00EC316E"/>
    <w:rsid w:val="00EC3182"/>
    <w:rsid w:val="00EC4225"/>
    <w:rsid w:val="00EC4C0B"/>
    <w:rsid w:val="00EC4E21"/>
    <w:rsid w:val="00EC53FB"/>
    <w:rsid w:val="00EC54F9"/>
    <w:rsid w:val="00EC5B43"/>
    <w:rsid w:val="00EC6BB0"/>
    <w:rsid w:val="00EC6C3B"/>
    <w:rsid w:val="00EC6FBB"/>
    <w:rsid w:val="00EC75D2"/>
    <w:rsid w:val="00EC767B"/>
    <w:rsid w:val="00EC7D73"/>
    <w:rsid w:val="00ED05B6"/>
    <w:rsid w:val="00ED0BBB"/>
    <w:rsid w:val="00ED133A"/>
    <w:rsid w:val="00ED135B"/>
    <w:rsid w:val="00ED14F3"/>
    <w:rsid w:val="00ED17DA"/>
    <w:rsid w:val="00ED1877"/>
    <w:rsid w:val="00ED1AAE"/>
    <w:rsid w:val="00ED1D50"/>
    <w:rsid w:val="00ED1DE1"/>
    <w:rsid w:val="00ED26E6"/>
    <w:rsid w:val="00ED35C3"/>
    <w:rsid w:val="00ED372A"/>
    <w:rsid w:val="00ED3750"/>
    <w:rsid w:val="00ED4AE3"/>
    <w:rsid w:val="00ED5008"/>
    <w:rsid w:val="00ED543F"/>
    <w:rsid w:val="00ED5A3F"/>
    <w:rsid w:val="00ED5C70"/>
    <w:rsid w:val="00ED65FF"/>
    <w:rsid w:val="00ED79C7"/>
    <w:rsid w:val="00ED7E07"/>
    <w:rsid w:val="00EE0545"/>
    <w:rsid w:val="00EE0A26"/>
    <w:rsid w:val="00EE0D9B"/>
    <w:rsid w:val="00EE1503"/>
    <w:rsid w:val="00EE1590"/>
    <w:rsid w:val="00EE1EFC"/>
    <w:rsid w:val="00EE3054"/>
    <w:rsid w:val="00EE41DB"/>
    <w:rsid w:val="00EE42ED"/>
    <w:rsid w:val="00EE4716"/>
    <w:rsid w:val="00EE4FC5"/>
    <w:rsid w:val="00EE5CB0"/>
    <w:rsid w:val="00EE5E09"/>
    <w:rsid w:val="00EE61A4"/>
    <w:rsid w:val="00EE6D35"/>
    <w:rsid w:val="00EE7606"/>
    <w:rsid w:val="00EE7B03"/>
    <w:rsid w:val="00EE7D93"/>
    <w:rsid w:val="00EF0056"/>
    <w:rsid w:val="00EF15C6"/>
    <w:rsid w:val="00EF1825"/>
    <w:rsid w:val="00EF2213"/>
    <w:rsid w:val="00EF2340"/>
    <w:rsid w:val="00EF404A"/>
    <w:rsid w:val="00EF5025"/>
    <w:rsid w:val="00EF51FA"/>
    <w:rsid w:val="00EF597D"/>
    <w:rsid w:val="00EF77A2"/>
    <w:rsid w:val="00F00316"/>
    <w:rsid w:val="00F01019"/>
    <w:rsid w:val="00F01218"/>
    <w:rsid w:val="00F01320"/>
    <w:rsid w:val="00F01703"/>
    <w:rsid w:val="00F01BD6"/>
    <w:rsid w:val="00F035D6"/>
    <w:rsid w:val="00F03BFD"/>
    <w:rsid w:val="00F049D3"/>
    <w:rsid w:val="00F061CF"/>
    <w:rsid w:val="00F06E1E"/>
    <w:rsid w:val="00F07DCD"/>
    <w:rsid w:val="00F10D78"/>
    <w:rsid w:val="00F119F9"/>
    <w:rsid w:val="00F11FD9"/>
    <w:rsid w:val="00F12D4D"/>
    <w:rsid w:val="00F131D7"/>
    <w:rsid w:val="00F1464C"/>
    <w:rsid w:val="00F14B9B"/>
    <w:rsid w:val="00F1578F"/>
    <w:rsid w:val="00F179EF"/>
    <w:rsid w:val="00F2019C"/>
    <w:rsid w:val="00F20A5B"/>
    <w:rsid w:val="00F21111"/>
    <w:rsid w:val="00F215CC"/>
    <w:rsid w:val="00F21676"/>
    <w:rsid w:val="00F221BA"/>
    <w:rsid w:val="00F22479"/>
    <w:rsid w:val="00F2276E"/>
    <w:rsid w:val="00F23A9F"/>
    <w:rsid w:val="00F23B2E"/>
    <w:rsid w:val="00F23B7B"/>
    <w:rsid w:val="00F23EBD"/>
    <w:rsid w:val="00F23F73"/>
    <w:rsid w:val="00F24BF1"/>
    <w:rsid w:val="00F2642D"/>
    <w:rsid w:val="00F27B51"/>
    <w:rsid w:val="00F30535"/>
    <w:rsid w:val="00F309A7"/>
    <w:rsid w:val="00F31E33"/>
    <w:rsid w:val="00F328DC"/>
    <w:rsid w:val="00F3342B"/>
    <w:rsid w:val="00F334F5"/>
    <w:rsid w:val="00F33B40"/>
    <w:rsid w:val="00F33E85"/>
    <w:rsid w:val="00F356F6"/>
    <w:rsid w:val="00F35F2D"/>
    <w:rsid w:val="00F368F4"/>
    <w:rsid w:val="00F37257"/>
    <w:rsid w:val="00F37351"/>
    <w:rsid w:val="00F40291"/>
    <w:rsid w:val="00F410CD"/>
    <w:rsid w:val="00F412B4"/>
    <w:rsid w:val="00F41547"/>
    <w:rsid w:val="00F421F7"/>
    <w:rsid w:val="00F4259C"/>
    <w:rsid w:val="00F430B3"/>
    <w:rsid w:val="00F444FA"/>
    <w:rsid w:val="00F44535"/>
    <w:rsid w:val="00F44893"/>
    <w:rsid w:val="00F44BCA"/>
    <w:rsid w:val="00F454D7"/>
    <w:rsid w:val="00F45D4F"/>
    <w:rsid w:val="00F45EC8"/>
    <w:rsid w:val="00F46A12"/>
    <w:rsid w:val="00F47F1B"/>
    <w:rsid w:val="00F50696"/>
    <w:rsid w:val="00F50708"/>
    <w:rsid w:val="00F51783"/>
    <w:rsid w:val="00F51831"/>
    <w:rsid w:val="00F51BEF"/>
    <w:rsid w:val="00F51C73"/>
    <w:rsid w:val="00F527C1"/>
    <w:rsid w:val="00F52CC5"/>
    <w:rsid w:val="00F53860"/>
    <w:rsid w:val="00F539B2"/>
    <w:rsid w:val="00F53E31"/>
    <w:rsid w:val="00F55F27"/>
    <w:rsid w:val="00F565D1"/>
    <w:rsid w:val="00F5682A"/>
    <w:rsid w:val="00F56932"/>
    <w:rsid w:val="00F572F0"/>
    <w:rsid w:val="00F575BF"/>
    <w:rsid w:val="00F57731"/>
    <w:rsid w:val="00F57C14"/>
    <w:rsid w:val="00F60445"/>
    <w:rsid w:val="00F6054A"/>
    <w:rsid w:val="00F616BF"/>
    <w:rsid w:val="00F61DE4"/>
    <w:rsid w:val="00F62235"/>
    <w:rsid w:val="00F624AD"/>
    <w:rsid w:val="00F63033"/>
    <w:rsid w:val="00F63302"/>
    <w:rsid w:val="00F63535"/>
    <w:rsid w:val="00F64692"/>
    <w:rsid w:val="00F654D3"/>
    <w:rsid w:val="00F65E73"/>
    <w:rsid w:val="00F6655A"/>
    <w:rsid w:val="00F67072"/>
    <w:rsid w:val="00F674CE"/>
    <w:rsid w:val="00F67948"/>
    <w:rsid w:val="00F70428"/>
    <w:rsid w:val="00F7071F"/>
    <w:rsid w:val="00F710D5"/>
    <w:rsid w:val="00F71338"/>
    <w:rsid w:val="00F71C70"/>
    <w:rsid w:val="00F7247C"/>
    <w:rsid w:val="00F726F8"/>
    <w:rsid w:val="00F72FC9"/>
    <w:rsid w:val="00F73A9F"/>
    <w:rsid w:val="00F73EF3"/>
    <w:rsid w:val="00F74A3D"/>
    <w:rsid w:val="00F74A64"/>
    <w:rsid w:val="00F75DE6"/>
    <w:rsid w:val="00F75DF2"/>
    <w:rsid w:val="00F777BD"/>
    <w:rsid w:val="00F779B6"/>
    <w:rsid w:val="00F80A23"/>
    <w:rsid w:val="00F81D14"/>
    <w:rsid w:val="00F841AF"/>
    <w:rsid w:val="00F84873"/>
    <w:rsid w:val="00F84DA4"/>
    <w:rsid w:val="00F85268"/>
    <w:rsid w:val="00F86645"/>
    <w:rsid w:val="00F86A1D"/>
    <w:rsid w:val="00F86B0E"/>
    <w:rsid w:val="00F8783F"/>
    <w:rsid w:val="00F90524"/>
    <w:rsid w:val="00F907E5"/>
    <w:rsid w:val="00F911F8"/>
    <w:rsid w:val="00F913E3"/>
    <w:rsid w:val="00F93866"/>
    <w:rsid w:val="00F939AB"/>
    <w:rsid w:val="00F93B0A"/>
    <w:rsid w:val="00F93E44"/>
    <w:rsid w:val="00F94113"/>
    <w:rsid w:val="00F94310"/>
    <w:rsid w:val="00F94A5E"/>
    <w:rsid w:val="00F94EAF"/>
    <w:rsid w:val="00F95B6E"/>
    <w:rsid w:val="00F95DB5"/>
    <w:rsid w:val="00F96AB3"/>
    <w:rsid w:val="00F96AD5"/>
    <w:rsid w:val="00F96BBC"/>
    <w:rsid w:val="00F97A66"/>
    <w:rsid w:val="00FA064A"/>
    <w:rsid w:val="00FA096D"/>
    <w:rsid w:val="00FA0B94"/>
    <w:rsid w:val="00FA1560"/>
    <w:rsid w:val="00FA162A"/>
    <w:rsid w:val="00FA18E0"/>
    <w:rsid w:val="00FA18EB"/>
    <w:rsid w:val="00FA34DA"/>
    <w:rsid w:val="00FA3BC5"/>
    <w:rsid w:val="00FA4C08"/>
    <w:rsid w:val="00FA5924"/>
    <w:rsid w:val="00FA6C44"/>
    <w:rsid w:val="00FA7680"/>
    <w:rsid w:val="00FA7F67"/>
    <w:rsid w:val="00FB1529"/>
    <w:rsid w:val="00FB1CBC"/>
    <w:rsid w:val="00FB208B"/>
    <w:rsid w:val="00FB2F38"/>
    <w:rsid w:val="00FB3C10"/>
    <w:rsid w:val="00FB3CFD"/>
    <w:rsid w:val="00FB4FD0"/>
    <w:rsid w:val="00FB5950"/>
    <w:rsid w:val="00FB6595"/>
    <w:rsid w:val="00FB69D6"/>
    <w:rsid w:val="00FB7580"/>
    <w:rsid w:val="00FC00FD"/>
    <w:rsid w:val="00FC0E29"/>
    <w:rsid w:val="00FC0FD9"/>
    <w:rsid w:val="00FC1160"/>
    <w:rsid w:val="00FC15C0"/>
    <w:rsid w:val="00FC1715"/>
    <w:rsid w:val="00FC17AA"/>
    <w:rsid w:val="00FC1AFE"/>
    <w:rsid w:val="00FC3D0C"/>
    <w:rsid w:val="00FC47D9"/>
    <w:rsid w:val="00FC4E85"/>
    <w:rsid w:val="00FC4EB6"/>
    <w:rsid w:val="00FC584E"/>
    <w:rsid w:val="00FC614E"/>
    <w:rsid w:val="00FC6457"/>
    <w:rsid w:val="00FC64DE"/>
    <w:rsid w:val="00FC67EC"/>
    <w:rsid w:val="00FC7777"/>
    <w:rsid w:val="00FD06C4"/>
    <w:rsid w:val="00FD11B5"/>
    <w:rsid w:val="00FD13FA"/>
    <w:rsid w:val="00FD161E"/>
    <w:rsid w:val="00FD1E5A"/>
    <w:rsid w:val="00FD2962"/>
    <w:rsid w:val="00FD2C25"/>
    <w:rsid w:val="00FD31F7"/>
    <w:rsid w:val="00FD3322"/>
    <w:rsid w:val="00FD37B0"/>
    <w:rsid w:val="00FD3851"/>
    <w:rsid w:val="00FD43BE"/>
    <w:rsid w:val="00FD4933"/>
    <w:rsid w:val="00FD5D8A"/>
    <w:rsid w:val="00FD6806"/>
    <w:rsid w:val="00FD7DF5"/>
    <w:rsid w:val="00FE0122"/>
    <w:rsid w:val="00FE0C1B"/>
    <w:rsid w:val="00FE11D5"/>
    <w:rsid w:val="00FE12D2"/>
    <w:rsid w:val="00FE143A"/>
    <w:rsid w:val="00FE14DE"/>
    <w:rsid w:val="00FE1ECE"/>
    <w:rsid w:val="00FE275F"/>
    <w:rsid w:val="00FE383B"/>
    <w:rsid w:val="00FE50B6"/>
    <w:rsid w:val="00FE7254"/>
    <w:rsid w:val="00FE7C77"/>
    <w:rsid w:val="00FF048B"/>
    <w:rsid w:val="00FF0521"/>
    <w:rsid w:val="00FF063F"/>
    <w:rsid w:val="00FF096F"/>
    <w:rsid w:val="00FF10BE"/>
    <w:rsid w:val="00FF155C"/>
    <w:rsid w:val="00FF1AA8"/>
    <w:rsid w:val="00FF1ACF"/>
    <w:rsid w:val="00FF24C6"/>
    <w:rsid w:val="00FF3797"/>
    <w:rsid w:val="00FF406D"/>
    <w:rsid w:val="00FF444A"/>
    <w:rsid w:val="00FF4AC0"/>
    <w:rsid w:val="00FF5492"/>
    <w:rsid w:val="00FF5660"/>
    <w:rsid w:val="00FF6DCE"/>
    <w:rsid w:val="00FF6E42"/>
    <w:rsid w:val="00FF751E"/>
    <w:rsid w:val="00FF75BD"/>
    <w:rsid w:val="00FF76AC"/>
    <w:rsid w:val="00FF797B"/>
    <w:rsid w:val="00FF7AB9"/>
    <w:rsid w:val="314C24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8BB9AAB"/>
  <w15:docId w15:val="{BEC879FE-1436-411B-B5A7-FE0730C69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CF2"/>
    <w:rPr>
      <w:rFonts w:eastAsia="Times New Roman"/>
      <w:sz w:val="24"/>
      <w:szCs w:val="24"/>
      <w:lang w:val="en-CA"/>
    </w:rPr>
  </w:style>
  <w:style w:type="paragraph" w:styleId="Titre1">
    <w:name w:val="heading 1"/>
    <w:basedOn w:val="Normal"/>
    <w:next w:val="Titre2"/>
    <w:link w:val="Titre1Car"/>
    <w:qFormat/>
    <w:rsid w:val="00424E0F"/>
    <w:pPr>
      <w:keepNext/>
      <w:tabs>
        <w:tab w:val="left" w:pos="720"/>
      </w:tabs>
      <w:spacing w:before="240" w:after="120"/>
      <w:jc w:val="center"/>
      <w:outlineLvl w:val="0"/>
    </w:pPr>
    <w:rPr>
      <w:b/>
      <w:caps/>
    </w:rPr>
  </w:style>
  <w:style w:type="paragraph" w:styleId="Titre2">
    <w:name w:val="heading 2"/>
    <w:basedOn w:val="Normal"/>
    <w:qFormat/>
    <w:rsid w:val="00424E0F"/>
    <w:pPr>
      <w:keepNext/>
      <w:tabs>
        <w:tab w:val="left" w:pos="720"/>
      </w:tabs>
      <w:spacing w:before="120" w:after="120"/>
      <w:jc w:val="center"/>
      <w:outlineLvl w:val="1"/>
    </w:pPr>
    <w:rPr>
      <w:b/>
      <w:bCs/>
      <w:i/>
      <w:iCs/>
    </w:rPr>
  </w:style>
  <w:style w:type="paragraph" w:styleId="Titre3">
    <w:name w:val="heading 3"/>
    <w:basedOn w:val="Normal"/>
    <w:next w:val="Normal"/>
    <w:qFormat/>
    <w:rsid w:val="00424E0F"/>
    <w:pPr>
      <w:keepNext/>
      <w:tabs>
        <w:tab w:val="left" w:pos="567"/>
      </w:tabs>
      <w:spacing w:before="120" w:after="120"/>
      <w:jc w:val="center"/>
      <w:outlineLvl w:val="2"/>
    </w:pPr>
    <w:rPr>
      <w:i/>
      <w:iCs/>
    </w:rPr>
  </w:style>
  <w:style w:type="paragraph" w:styleId="Titre4">
    <w:name w:val="heading 4"/>
    <w:basedOn w:val="Normal"/>
    <w:qFormat/>
    <w:rsid w:val="00424E0F"/>
    <w:pPr>
      <w:keepNext/>
      <w:spacing w:before="120" w:after="120"/>
      <w:outlineLvl w:val="3"/>
    </w:pPr>
    <w:rPr>
      <w:rFonts w:ascii="Times New Roman Bold" w:eastAsia="Arial Unicode MS" w:hAnsi="Times New Roman Bold" w:cs="Arial"/>
      <w:b/>
      <w:bCs/>
      <w:i/>
      <w:iCs/>
    </w:rPr>
  </w:style>
  <w:style w:type="paragraph" w:styleId="Titre5">
    <w:name w:val="heading 5"/>
    <w:aliases w:val="Heading 5 - GTI"/>
    <w:basedOn w:val="Normal"/>
    <w:next w:val="Normal"/>
    <w:qFormat/>
    <w:rsid w:val="00424E0F"/>
    <w:pPr>
      <w:keepNext/>
      <w:numPr>
        <w:ilvl w:val="4"/>
        <w:numId w:val="5"/>
      </w:numPr>
      <w:spacing w:before="120" w:after="120"/>
      <w:outlineLvl w:val="4"/>
    </w:pPr>
    <w:rPr>
      <w:bCs/>
      <w:i/>
      <w:szCs w:val="26"/>
    </w:rPr>
  </w:style>
  <w:style w:type="paragraph" w:styleId="Titre6">
    <w:name w:val="heading 6"/>
    <w:basedOn w:val="Normal"/>
    <w:next w:val="Normal"/>
    <w:qFormat/>
    <w:rsid w:val="00424E0F"/>
    <w:pPr>
      <w:keepNext/>
      <w:spacing w:after="240" w:line="240" w:lineRule="exact"/>
      <w:ind w:left="720"/>
      <w:outlineLvl w:val="5"/>
    </w:pPr>
    <w:rPr>
      <w:u w:val="single"/>
    </w:rPr>
  </w:style>
  <w:style w:type="paragraph" w:styleId="Titre7">
    <w:name w:val="heading 7"/>
    <w:basedOn w:val="Normal"/>
    <w:next w:val="Normal"/>
    <w:qFormat/>
    <w:rsid w:val="00424E0F"/>
    <w:pPr>
      <w:keepNext/>
      <w:jc w:val="right"/>
      <w:outlineLvl w:val="6"/>
    </w:pPr>
    <w:rPr>
      <w:rFonts w:ascii="Univers" w:hAnsi="Univers"/>
      <w:b/>
      <w:sz w:val="28"/>
    </w:rPr>
  </w:style>
  <w:style w:type="paragraph" w:styleId="Titre8">
    <w:name w:val="heading 8"/>
    <w:basedOn w:val="Normal"/>
    <w:next w:val="Normal"/>
    <w:qFormat/>
    <w:rsid w:val="00424E0F"/>
    <w:pPr>
      <w:keepNext/>
      <w:jc w:val="right"/>
      <w:outlineLvl w:val="7"/>
    </w:pPr>
    <w:rPr>
      <w:rFonts w:ascii="Univers" w:hAnsi="Univers"/>
      <w:b/>
      <w:sz w:val="32"/>
    </w:rPr>
  </w:style>
  <w:style w:type="paragraph" w:styleId="Titre9">
    <w:name w:val="heading 9"/>
    <w:basedOn w:val="Normal"/>
    <w:next w:val="Normal"/>
    <w:qFormat/>
    <w:rsid w:val="00424E0F"/>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4E0F"/>
    <w:rPr>
      <w:sz w:val="18"/>
      <w:u w:val="single"/>
      <w:vertAlign w:val="baseline"/>
    </w:rPr>
  </w:style>
  <w:style w:type="character" w:styleId="Numrodepage">
    <w:name w:val="page number"/>
    <w:rsid w:val="00424E0F"/>
    <w:rPr>
      <w:rFonts w:ascii="Times New Roman" w:hAnsi="Times New Roman"/>
      <w:sz w:val="22"/>
    </w:rPr>
  </w:style>
  <w:style w:type="paragraph" w:styleId="Corpsdetexte">
    <w:name w:val="Body Text"/>
    <w:basedOn w:val="Normal"/>
    <w:rsid w:val="00424E0F"/>
    <w:pPr>
      <w:spacing w:before="120" w:after="120"/>
      <w:ind w:firstLine="720"/>
    </w:pPr>
    <w:rPr>
      <w:iCs/>
    </w:rPr>
  </w:style>
  <w:style w:type="paragraph" w:styleId="Lgende">
    <w:name w:val="caption"/>
    <w:basedOn w:val="Normal"/>
    <w:next w:val="Normal"/>
    <w:qFormat/>
    <w:pPr>
      <w:widowControl w:val="0"/>
    </w:pPr>
    <w:rPr>
      <w:rFonts w:ascii="Courier New" w:hAnsi="Courier New"/>
    </w:rPr>
  </w:style>
  <w:style w:type="paragraph" w:styleId="En-tte">
    <w:name w:val="header"/>
    <w:basedOn w:val="Normal"/>
    <w:link w:val="En-tteCar"/>
    <w:uiPriority w:val="99"/>
    <w:rsid w:val="00424E0F"/>
    <w:pPr>
      <w:tabs>
        <w:tab w:val="center" w:pos="4320"/>
        <w:tab w:val="right" w:pos="8640"/>
      </w:tabs>
    </w:pPr>
  </w:style>
  <w:style w:type="paragraph" w:styleId="Pieddepage">
    <w:name w:val="footer"/>
    <w:basedOn w:val="Normal"/>
    <w:link w:val="PieddepageCar"/>
    <w:rsid w:val="00424E0F"/>
    <w:pPr>
      <w:tabs>
        <w:tab w:val="center" w:pos="4320"/>
        <w:tab w:val="right" w:pos="8640"/>
      </w:tabs>
      <w:ind w:firstLine="720"/>
      <w:jc w:val="right"/>
    </w:pPr>
    <w:rPr>
      <w:lang w:val="x-none"/>
    </w:rPr>
  </w:style>
  <w:style w:type="paragraph" w:styleId="Notedebasdepage">
    <w:name w:val="footnote text"/>
    <w:aliases w:val="fn,Geneva 9,Font: Geneva 9,Boston 10,f,ft,Fotnotstext Char,ft Char,single space,footnote text,FOOTNOTES,ADB,single space1,footnote text1,FOOTNOTES1,fn1,ADB1,single space2,footnote text2,FOOTNOTES2,fn2,ADB2,single space3,fn3"/>
    <w:basedOn w:val="Normal"/>
    <w:link w:val="NotedebasdepageCar"/>
    <w:uiPriority w:val="99"/>
    <w:qFormat/>
    <w:rsid w:val="00424E0F"/>
    <w:pPr>
      <w:keepLines/>
      <w:numPr>
        <w:ilvl w:val="2"/>
        <w:numId w:val="19"/>
      </w:numPr>
      <w:spacing w:after="60"/>
    </w:pPr>
    <w:rPr>
      <w:sz w:val="18"/>
      <w:lang w:eastAsia="x-none"/>
    </w:rPr>
  </w:style>
  <w:style w:type="paragraph" w:styleId="Corpsdetexte2">
    <w:name w:val="Body Text 2"/>
    <w:basedOn w:val="Normal"/>
    <w:uiPriority w:val="99"/>
    <w:rsid w:val="00424E0F"/>
    <w:rPr>
      <w:i/>
      <w:iCs/>
    </w:rPr>
  </w:style>
  <w:style w:type="paragraph" w:styleId="Corpsdetexte3">
    <w:name w:val="Body Text 3"/>
    <w:basedOn w:val="Normal"/>
    <w:rsid w:val="00424E0F"/>
    <w:pPr>
      <w:jc w:val="center"/>
    </w:pPr>
    <w:rPr>
      <w:sz w:val="28"/>
    </w:rPr>
  </w:style>
  <w:style w:type="paragraph" w:styleId="Retraitcorpsdetexte2">
    <w:name w:val="Body Text Indent 2"/>
    <w:basedOn w:val="Normal"/>
    <w:rsid w:val="00424E0F"/>
    <w:pPr>
      <w:ind w:firstLine="720"/>
    </w:pPr>
  </w:style>
  <w:style w:type="paragraph" w:styleId="Retraitcorpsdetexte3">
    <w:name w:val="Body Text Indent 3"/>
    <w:basedOn w:val="Normal"/>
    <w:pPr>
      <w:ind w:left="1080" w:hanging="360"/>
    </w:pPr>
    <w:rPr>
      <w:rFonts w:ascii="Courier" w:hAnsi="Courier"/>
      <w:sz w:val="20"/>
    </w:rPr>
  </w:style>
  <w:style w:type="paragraph" w:customStyle="1" w:styleId="BodyText21">
    <w:name w:val="Body Text 21"/>
    <w:basedOn w:val="Normal"/>
    <w:rPr>
      <w:sz w:val="22"/>
      <w:lang w:val="en-GB"/>
    </w:rPr>
  </w:style>
  <w:style w:type="paragraph" w:styleId="Normalcentr">
    <w:name w:val="Block Text"/>
    <w:basedOn w:val="Normal"/>
    <w:pPr>
      <w:tabs>
        <w:tab w:val="left" w:leader="dot" w:pos="8100"/>
        <w:tab w:val="left" w:pos="8370"/>
      </w:tabs>
      <w:suppressAutoHyphens/>
      <w:ind w:left="720" w:right="1440" w:hanging="720"/>
    </w:pPr>
    <w:rPr>
      <w:rFonts w:ascii="Courier New" w:hAnsi="Courier New"/>
      <w:sz w:val="20"/>
      <w:lang w:val="en-GB"/>
    </w:rPr>
  </w:style>
  <w:style w:type="paragraph" w:customStyle="1" w:styleId="Para">
    <w:name w:val="Para"/>
    <w:basedOn w:val="Normal"/>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z w:val="22"/>
      <w:lang w:val="en-GB"/>
    </w:rPr>
  </w:style>
  <w:style w:type="paragraph" w:styleId="Retraitcorpsdetexte">
    <w:name w:val="Body Text Indent"/>
    <w:basedOn w:val="Normal"/>
    <w:rsid w:val="00424E0F"/>
    <w:pPr>
      <w:spacing w:before="120" w:after="120"/>
      <w:ind w:left="1440" w:hanging="720"/>
    </w:pPr>
  </w:style>
  <w:style w:type="character" w:styleId="Appeldenotedefin">
    <w:name w:val="endnote reference"/>
    <w:semiHidden/>
    <w:rsid w:val="00424E0F"/>
    <w:rPr>
      <w:vertAlign w:val="superscript"/>
    </w:rPr>
  </w:style>
  <w:style w:type="paragraph" w:styleId="Titre">
    <w:name w:val="Title"/>
    <w:basedOn w:val="Normal"/>
    <w:qFormat/>
    <w:rsid w:val="00424E0F"/>
    <w:pPr>
      <w:jc w:val="center"/>
    </w:pPr>
    <w:rPr>
      <w:i/>
      <w:iCs/>
    </w:rPr>
  </w:style>
  <w:style w:type="character" w:styleId="Lienhypertexte">
    <w:name w:val="Hyperlink"/>
    <w:uiPriority w:val="99"/>
    <w:rsid w:val="00BD5D6F"/>
    <w:rPr>
      <w:color w:val="0000FF"/>
      <w:sz w:val="22"/>
      <w:u w:val="single"/>
    </w:rPr>
  </w:style>
  <w:style w:type="paragraph" w:styleId="Explorateurdedocuments">
    <w:name w:val="Document Map"/>
    <w:basedOn w:val="Normal"/>
    <w:semiHidden/>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b/>
      <w:bCs/>
      <w:caps/>
    </w:rPr>
  </w:style>
  <w:style w:type="paragraph" w:customStyle="1" w:styleId="Cornernotation">
    <w:name w:val="Corner notation"/>
    <w:basedOn w:val="Normal"/>
    <w:rsid w:val="00424E0F"/>
    <w:pPr>
      <w:ind w:left="284" w:right="4398" w:hanging="284"/>
    </w:pPr>
  </w:style>
  <w:style w:type="paragraph" w:customStyle="1" w:styleId="Para1">
    <w:name w:val="Para1"/>
    <w:basedOn w:val="Normal"/>
    <w:rsid w:val="00424E0F"/>
    <w:pPr>
      <w:spacing w:after="120"/>
    </w:pPr>
    <w:rPr>
      <w:snapToGrid w:val="0"/>
      <w:szCs w:val="18"/>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numPr>
        <w:ilvl w:val="2"/>
        <w:numId w:val="14"/>
      </w:num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Titre2"/>
  </w:style>
  <w:style w:type="paragraph" w:customStyle="1" w:styleId="Heading4indent">
    <w:name w:val="Heading 4 indent"/>
    <w:basedOn w:val="Titre4"/>
    <w:pPr>
      <w:ind w:left="720"/>
    </w:pPr>
  </w:style>
  <w:style w:type="paragraph" w:styleId="Textebrut">
    <w:name w:val="Plain Text"/>
    <w:basedOn w:val="Normal"/>
    <w:link w:val="TextebrutCar"/>
    <w:uiPriority w:val="99"/>
    <w:rPr>
      <w:rFonts w:ascii="Courier New" w:hAnsi="Courier New"/>
      <w:sz w:val="20"/>
      <w:lang w:val="x-none"/>
    </w:rPr>
  </w:style>
  <w:style w:type="paragraph" w:customStyle="1" w:styleId="xl24">
    <w:name w:val="xl24"/>
    <w:basedOn w:val="Normal"/>
    <w:pPr>
      <w:spacing w:before="100" w:beforeAutospacing="1" w:after="100" w:afterAutospacing="1"/>
    </w:pPr>
    <w:rPr>
      <w:rFonts w:eastAsia="Arial Unicode MS"/>
      <w:b/>
      <w:bCs/>
      <w:sz w:val="22"/>
      <w:szCs w:val="22"/>
    </w:rPr>
  </w:style>
  <w:style w:type="paragraph" w:customStyle="1" w:styleId="xl25">
    <w:name w:val="xl25"/>
    <w:basedOn w:val="Normal"/>
    <w:pPr>
      <w:spacing w:before="100" w:beforeAutospacing="1" w:after="100" w:afterAutospacing="1"/>
    </w:pPr>
    <w:rPr>
      <w:rFonts w:eastAsia="Arial Unicode MS"/>
      <w:b/>
      <w:bCs/>
      <w:sz w:val="22"/>
      <w:szCs w:val="22"/>
    </w:rPr>
  </w:style>
  <w:style w:type="paragraph" w:customStyle="1" w:styleId="xl26">
    <w:name w:val="xl26"/>
    <w:basedOn w:val="Normal"/>
    <w:pPr>
      <w:spacing w:before="100" w:beforeAutospacing="1" w:after="100" w:afterAutospacing="1"/>
      <w:jc w:val="center"/>
    </w:pPr>
    <w:rPr>
      <w:rFonts w:eastAsia="Arial Unicode MS"/>
      <w:b/>
      <w:bCs/>
      <w:sz w:val="22"/>
      <w:szCs w:val="22"/>
    </w:rPr>
  </w:style>
  <w:style w:type="paragraph" w:customStyle="1" w:styleId="xl27">
    <w:name w:val="xl27"/>
    <w:basedOn w:val="Normal"/>
    <w:pPr>
      <w:pBdr>
        <w:left w:val="single" w:sz="8" w:space="0" w:color="auto"/>
      </w:pBdr>
      <w:spacing w:before="100" w:beforeAutospacing="1" w:after="100" w:afterAutospacing="1"/>
    </w:pPr>
    <w:rPr>
      <w:rFonts w:eastAsia="Arial Unicode MS"/>
      <w:b/>
      <w:bCs/>
      <w:sz w:val="22"/>
      <w:szCs w:val="22"/>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xl29">
    <w:name w:val="xl29"/>
    <w:basedOn w:val="Normal"/>
    <w:pPr>
      <w:pBdr>
        <w:left w:val="single" w:sz="8" w:space="0" w:color="auto"/>
      </w:pBdr>
      <w:spacing w:before="100" w:beforeAutospacing="1" w:after="100" w:afterAutospacing="1"/>
    </w:pPr>
    <w:rPr>
      <w:rFonts w:eastAsia="Arial Unicode MS"/>
      <w:sz w:val="22"/>
      <w:szCs w:val="22"/>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3">
    <w:name w:val="xl33"/>
    <w:basedOn w:val="Normal"/>
    <w:pPr>
      <w:pBdr>
        <w:right w:val="single" w:sz="8" w:space="0" w:color="auto"/>
      </w:pBdr>
      <w:spacing w:before="100" w:beforeAutospacing="1" w:after="100" w:afterAutospacing="1"/>
    </w:pPr>
    <w:rPr>
      <w:rFonts w:eastAsia="Arial Unicode MS"/>
      <w:sz w:val="22"/>
      <w:szCs w:val="22"/>
    </w:rPr>
  </w:style>
  <w:style w:type="paragraph" w:customStyle="1" w:styleId="xl34">
    <w:name w:val="xl34"/>
    <w:basedOn w:val="Normal"/>
    <w:pPr>
      <w:pBdr>
        <w:left w:val="single" w:sz="8" w:space="0" w:color="auto"/>
      </w:pBdr>
      <w:spacing w:before="100" w:beforeAutospacing="1" w:after="100" w:afterAutospacing="1"/>
      <w:jc w:val="both"/>
      <w:textAlignment w:val="top"/>
    </w:pPr>
    <w:rPr>
      <w:rFonts w:eastAsia="Arial Unicode MS"/>
      <w:sz w:val="22"/>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6">
    <w:name w:val="xl36"/>
    <w:basedOn w:val="Normal"/>
    <w:pPr>
      <w:pBdr>
        <w:left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37">
    <w:name w:val="xl37"/>
    <w:basedOn w:val="Normal"/>
    <w:pPr>
      <w:pBdr>
        <w:left w:val="single" w:sz="8" w:space="0" w:color="auto"/>
        <w:bottom w:val="single" w:sz="4" w:space="0" w:color="auto"/>
      </w:pBdr>
      <w:spacing w:before="100" w:beforeAutospacing="1" w:after="100" w:afterAutospacing="1"/>
      <w:jc w:val="both"/>
      <w:textAlignment w:val="top"/>
    </w:pPr>
    <w:rPr>
      <w:rFonts w:eastAsia="Arial Unicode MS"/>
      <w:sz w:val="22"/>
      <w:szCs w:val="22"/>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40">
    <w:name w:val="xl40"/>
    <w:basedOn w:val="Normal"/>
    <w:pPr>
      <w:spacing w:before="100" w:beforeAutospacing="1" w:after="100" w:afterAutospacing="1"/>
      <w:jc w:val="center"/>
      <w:textAlignment w:val="top"/>
    </w:pPr>
    <w:rPr>
      <w:rFonts w:eastAsia="Arial Unicode MS"/>
      <w:sz w:val="22"/>
      <w:szCs w:val="22"/>
    </w:rPr>
  </w:style>
  <w:style w:type="paragraph" w:customStyle="1" w:styleId="xl41">
    <w:name w:val="xl41"/>
    <w:basedOn w:val="Normal"/>
    <w:pPr>
      <w:spacing w:before="100" w:beforeAutospacing="1" w:after="100" w:afterAutospacing="1"/>
      <w:jc w:val="both"/>
      <w:textAlignment w:val="top"/>
    </w:pPr>
    <w:rPr>
      <w:rFonts w:eastAsia="Arial Unicode MS"/>
      <w:sz w:val="22"/>
      <w:szCs w:val="22"/>
    </w:rPr>
  </w:style>
  <w:style w:type="paragraph" w:customStyle="1" w:styleId="xl42">
    <w:name w:val="xl42"/>
    <w:basedOn w:val="Normal"/>
    <w:pPr>
      <w:spacing w:before="100" w:beforeAutospacing="1" w:after="100" w:afterAutospacing="1"/>
      <w:jc w:val="center"/>
    </w:pPr>
    <w:rPr>
      <w:rFonts w:eastAsia="Arial Unicode MS"/>
      <w:sz w:val="22"/>
      <w:szCs w:val="22"/>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 w:val="22"/>
      <w:szCs w:val="22"/>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sz w:val="22"/>
      <w:szCs w:val="22"/>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46">
    <w:name w:val="xl46"/>
    <w:basedOn w:val="Normal"/>
    <w:pPr>
      <w:pBdr>
        <w:left w:val="single" w:sz="4" w:space="0" w:color="auto"/>
      </w:pBdr>
      <w:spacing w:before="100" w:beforeAutospacing="1" w:after="100" w:afterAutospacing="1"/>
    </w:pPr>
    <w:rPr>
      <w:rFonts w:eastAsia="Arial Unicode MS"/>
      <w:sz w:val="22"/>
      <w:szCs w:val="22"/>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sz w:val="22"/>
      <w:szCs w:val="22"/>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sz w:val="22"/>
      <w:szCs w:val="22"/>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5">
    <w:name w:val="xl55"/>
    <w:basedOn w:val="Normal"/>
    <w:pPr>
      <w:pBdr>
        <w:top w:val="single" w:sz="8" w:space="0" w:color="auto"/>
      </w:pBdr>
      <w:spacing w:before="100" w:beforeAutospacing="1" w:after="100" w:afterAutospacing="1"/>
    </w:pPr>
    <w:rPr>
      <w:rFonts w:eastAsia="Arial Unicode MS"/>
      <w:sz w:val="22"/>
      <w:szCs w:val="22"/>
    </w:rPr>
  </w:style>
  <w:style w:type="paragraph" w:customStyle="1" w:styleId="xl56">
    <w:name w:val="xl56"/>
    <w:basedOn w:val="Normal"/>
    <w:pPr>
      <w:spacing w:before="100" w:beforeAutospacing="1" w:after="100" w:afterAutospacing="1"/>
    </w:pPr>
    <w:rPr>
      <w:rFonts w:eastAsia="Arial Unicode MS"/>
      <w:sz w:val="22"/>
      <w:szCs w:val="22"/>
    </w:rPr>
  </w:style>
  <w:style w:type="paragraph" w:customStyle="1" w:styleId="xl57">
    <w:name w:val="xl57"/>
    <w:basedOn w:val="Normal"/>
    <w:pPr>
      <w:pBdr>
        <w:bottom w:val="single" w:sz="8" w:space="0" w:color="auto"/>
      </w:pBdr>
      <w:spacing w:before="100" w:beforeAutospacing="1" w:after="100" w:afterAutospacing="1"/>
    </w:pPr>
    <w:rPr>
      <w:rFonts w:eastAsia="Arial Unicode MS"/>
      <w:sz w:val="22"/>
      <w:szCs w:val="22"/>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4">
    <w:name w:val="xl64"/>
    <w:basedOn w:val="Normal"/>
    <w:pPr>
      <w:pBdr>
        <w:left w:val="single" w:sz="4" w:space="0" w:color="auto"/>
      </w:pBdr>
      <w:spacing w:before="100" w:beforeAutospacing="1" w:after="100" w:afterAutospacing="1"/>
    </w:pPr>
    <w:rPr>
      <w:rFonts w:eastAsia="Arial Unicode MS"/>
      <w:sz w:val="22"/>
      <w:szCs w:val="22"/>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sz w:val="22"/>
      <w:szCs w:val="22"/>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sz w:val="22"/>
      <w:szCs w:val="22"/>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Texte">
    <w:name w:val="Texte"/>
    <w:basedOn w:val="Normal"/>
    <w:pPr>
      <w:widowControl w:val="0"/>
      <w:tabs>
        <w:tab w:val="left" w:pos="720"/>
      </w:tabs>
      <w:spacing w:before="120" w:after="120"/>
      <w:jc w:val="both"/>
    </w:pPr>
    <w:rPr>
      <w:sz w:val="22"/>
    </w:rPr>
  </w:style>
  <w:style w:type="paragraph" w:styleId="NormalWeb">
    <w:name w:val="Normal (Web)"/>
    <w:basedOn w:val="Normal"/>
    <w:uiPriority w:val="99"/>
    <w:rsid w:val="00424E0F"/>
    <w:pPr>
      <w:spacing w:before="100" w:beforeAutospacing="1" w:after="100" w:afterAutospacing="1"/>
    </w:pPr>
    <w:rPr>
      <w:rFonts w:ascii="Verdana" w:hAnsi="Verdana"/>
      <w:color w:val="000000"/>
      <w:sz w:val="18"/>
      <w:szCs w:val="18"/>
      <w:lang w:val="en-US"/>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lang w:val="en-GB"/>
    </w:rPr>
  </w:style>
  <w:style w:type="character" w:styleId="Lienhypertextesuivivisit">
    <w:name w:val="FollowedHyperlink"/>
    <w:rsid w:val="00424E0F"/>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pPr>
      <w:spacing w:before="100" w:beforeAutospacing="1" w:after="100" w:afterAutospacing="1" w:line="260" w:lineRule="atLeast"/>
      <w:jc w:val="both"/>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Titre1"/>
    <w:next w:val="Titre2"/>
    <w:rsid w:val="00424E0F"/>
  </w:style>
  <w:style w:type="paragraph" w:styleId="Sous-titre">
    <w:name w:val="Subtitle"/>
    <w:basedOn w:val="Normal"/>
    <w:qFormat/>
    <w:rPr>
      <w:b/>
      <w:bCs/>
      <w:lang w:val="en-GB"/>
    </w:rPr>
  </w:style>
  <w:style w:type="character" w:styleId="lev">
    <w:name w:val="Strong"/>
    <w:qFormat/>
    <w:rsid w:val="00424E0F"/>
    <w:rPr>
      <w:b/>
      <w:bCs/>
    </w:rPr>
  </w:style>
  <w:style w:type="paragraph" w:customStyle="1" w:styleId="Para10">
    <w:name w:val="Para 1"/>
    <w:basedOn w:val="Corpsdetexte"/>
    <w:rsid w:val="00424E0F"/>
    <w:pPr>
      <w:ind w:firstLine="0"/>
    </w:pPr>
    <w:rPr>
      <w:rFonts w:eastAsia="MS Mincho"/>
      <w:bCs/>
      <w:iCs w:val="0"/>
      <w:szCs w:val="22"/>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 w:val="22"/>
      <w:szCs w:val="18"/>
      <w:lang w:val="en-GB"/>
    </w:rPr>
  </w:style>
  <w:style w:type="paragraph" w:styleId="Textedebulles">
    <w:name w:val="Balloon Text"/>
    <w:basedOn w:val="Normal"/>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lang w:val="en-US"/>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lang w:val="en-GB"/>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lang w:val="en-US"/>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rPr>
  </w:style>
  <w:style w:type="character" w:customStyle="1" w:styleId="BodyTextChar">
    <w:name w:val="Body Text Char"/>
    <w:rsid w:val="00424E0F"/>
    <w:rPr>
      <w:iCs/>
      <w:sz w:val="22"/>
      <w:szCs w:val="24"/>
      <w:lang w:val="en-GB" w:eastAsia="en-US" w:bidi="ar-SA"/>
    </w:rPr>
  </w:style>
  <w:style w:type="paragraph" w:styleId="Prformat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rFonts w:eastAsia="MS Mincho"/>
      <w:snapToGrid w:val="0"/>
      <w:sz w:val="22"/>
      <w:szCs w:val="18"/>
      <w:lang w:val="en-GB"/>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b w:val="0"/>
      <w:bCs w:val="0"/>
      <w:color w:val="000000"/>
      <w:sz w:val="24"/>
      <w:szCs w:val="24"/>
    </w:rPr>
  </w:style>
  <w:style w:type="character" w:styleId="Marquedecommentaire">
    <w:name w:val="annotation reference"/>
    <w:semiHidden/>
    <w:rPr>
      <w:sz w:val="16"/>
      <w:szCs w:val="16"/>
    </w:rPr>
  </w:style>
  <w:style w:type="paragraph" w:styleId="Commentaire">
    <w:name w:val="annotation text"/>
    <w:basedOn w:val="Normal"/>
    <w:link w:val="CommentaireCar"/>
    <w:uiPriority w:val="99"/>
    <w:semiHidden/>
    <w:rPr>
      <w:sz w:val="20"/>
    </w:rPr>
  </w:style>
  <w:style w:type="character" w:customStyle="1" w:styleId="BodyText2Char">
    <w:name w:val="Body Text 2 Char"/>
    <w:uiPriority w:val="99"/>
    <w:rPr>
      <w:sz w:val="22"/>
      <w:lang w:val="en-US" w:eastAsia="en-US" w:bidi="ar-SA"/>
    </w:rPr>
  </w:style>
  <w:style w:type="character" w:customStyle="1" w:styleId="BodyText2CharCharChar">
    <w:name w:val="Body Text 2 Char Char Char"/>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n-US"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rPr>
      <w:b/>
      <w:bCs/>
      <w:i/>
      <w:iCs/>
      <w:sz w:val="22"/>
      <w:szCs w:val="24"/>
      <w:lang w:val="en-GB" w:eastAsia="en-US" w:bidi="ar-SA"/>
    </w:rPr>
  </w:style>
  <w:style w:type="paragraph" w:customStyle="1" w:styleId="subhead">
    <w:name w:val="subhead"/>
    <w:basedOn w:val="Normal"/>
    <w:next w:val="Para1"/>
    <w:pPr>
      <w:spacing w:before="120" w:after="120"/>
      <w:jc w:val="center"/>
    </w:pPr>
    <w:rPr>
      <w:rFonts w:cs="Angsana New"/>
      <w:i/>
      <w:sz w:val="22"/>
      <w:lang w:val="en-GB"/>
    </w:rPr>
  </w:style>
  <w:style w:type="character" w:styleId="Accentuation">
    <w:name w:val="Emphasis"/>
    <w:qFormat/>
    <w:rPr>
      <w:i/>
      <w:iCs/>
    </w:rPr>
  </w:style>
  <w:style w:type="character" w:customStyle="1" w:styleId="BlockTextChar">
    <w:name w:val="Block Text Char"/>
    <w:rPr>
      <w:sz w:val="24"/>
      <w:szCs w:val="24"/>
      <w:lang w:val="en-US"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n-US" w:eastAsia="en-US" w:bidi="ar-SA"/>
    </w:rPr>
  </w:style>
  <w:style w:type="paragraph" w:styleId="TM1">
    <w:name w:val="toc 1"/>
    <w:basedOn w:val="Normal"/>
    <w:next w:val="Normal"/>
    <w:autoRedefine/>
    <w:semiHidden/>
    <w:rsid w:val="00424E0F"/>
    <w:pPr>
      <w:tabs>
        <w:tab w:val="left" w:pos="1440"/>
        <w:tab w:val="right" w:leader="dot" w:pos="9360"/>
      </w:tabs>
      <w:spacing w:after="120"/>
      <w:ind w:left="1440" w:right="540" w:hanging="1440"/>
    </w:pPr>
    <w:rPr>
      <w:noProof/>
      <w:szCs w:val="22"/>
    </w:rPr>
  </w:style>
  <w:style w:type="paragraph" w:styleId="Objetducommentaire">
    <w:name w:val="annotation subject"/>
    <w:basedOn w:val="Commentaire"/>
    <w:next w:val="Commentaire"/>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Corpsdetexte"/>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Notedefin">
    <w:name w:val="endnote text"/>
    <w:basedOn w:val="Normal"/>
    <w:semiHidden/>
    <w:rsid w:val="00424E0F"/>
    <w:pPr>
      <w:widowControl w:val="0"/>
      <w:tabs>
        <w:tab w:val="left" w:pos="-720"/>
      </w:tabs>
      <w:suppressAutoHyphens/>
    </w:pPr>
    <w:rPr>
      <w:rFonts w:ascii="Courier New" w:hAnsi="Courier New"/>
    </w:rPr>
  </w:style>
  <w:style w:type="paragraph" w:customStyle="1" w:styleId="Heading-plain">
    <w:name w:val="Heading - plain"/>
    <w:basedOn w:val="Titre2"/>
    <w:next w:val="Corpsdetexte"/>
    <w:rsid w:val="00424E0F"/>
    <w:pPr>
      <w:tabs>
        <w:tab w:val="clear" w:pos="720"/>
        <w:tab w:val="left" w:pos="900"/>
      </w:tabs>
    </w:pPr>
    <w:rPr>
      <w:rFonts w:eastAsia="Batang"/>
      <w:b w:val="0"/>
      <w:bCs w:val="0"/>
      <w:szCs w:val="20"/>
    </w:rPr>
  </w:style>
  <w:style w:type="paragraph" w:customStyle="1" w:styleId="Heading1longmultiline">
    <w:name w:val="Heading 1 (long multiline)"/>
    <w:basedOn w:val="Titre1"/>
    <w:link w:val="Heading1longmultilineChar"/>
    <w:rsid w:val="00424E0F"/>
    <w:pPr>
      <w:ind w:left="1843" w:hanging="1134"/>
      <w:jc w:val="left"/>
    </w:pPr>
  </w:style>
  <w:style w:type="paragraph" w:customStyle="1" w:styleId="Heading1multiline">
    <w:name w:val="Heading 1 (multiline)"/>
    <w:basedOn w:val="Titre1"/>
    <w:rsid w:val="00424E0F"/>
    <w:pPr>
      <w:ind w:left="1843" w:right="996" w:hanging="567"/>
      <w:jc w:val="left"/>
    </w:pPr>
  </w:style>
  <w:style w:type="paragraph" w:customStyle="1" w:styleId="Heading2multiline">
    <w:name w:val="Heading 2 (multiline)"/>
    <w:basedOn w:val="Titre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Titre2"/>
    <w:rsid w:val="00424E0F"/>
    <w:pPr>
      <w:tabs>
        <w:tab w:val="clear" w:pos="720"/>
      </w:tabs>
    </w:pPr>
  </w:style>
  <w:style w:type="character" w:customStyle="1" w:styleId="Heading2CharChar">
    <w:name w:val="Heading 2 Char Char"/>
    <w:rsid w:val="00424E0F"/>
    <w:rPr>
      <w:rFonts w:ascii="Arial" w:hAnsi="Arial" w:cs="Arial"/>
      <w:b/>
      <w:bCs/>
      <w:i/>
      <w:iCs/>
      <w:noProof w:val="0"/>
      <w:sz w:val="28"/>
      <w:szCs w:val="28"/>
      <w:lang w:val="en-US" w:eastAsia="en-US" w:bidi="ar-SA"/>
    </w:rPr>
  </w:style>
  <w:style w:type="paragraph" w:customStyle="1" w:styleId="Heading3multiline">
    <w:name w:val="Heading 3 (multiline)"/>
    <w:basedOn w:val="Titre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Corpsdetexte"/>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n-GB"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szCs w:val="22"/>
      <w:lang w:val="en-US"/>
    </w:rPr>
  </w:style>
  <w:style w:type="paragraph" w:customStyle="1" w:styleId="Para40">
    <w:name w:val="Para4"/>
    <w:basedOn w:val="Para3"/>
    <w:rsid w:val="00424E0F"/>
    <w:pPr>
      <w:numPr>
        <w:ilvl w:val="0"/>
        <w:numId w:val="0"/>
      </w:numPr>
      <w:tabs>
        <w:tab w:val="clear" w:pos="1980"/>
        <w:tab w:val="left" w:pos="2552"/>
        <w:tab w:val="num" w:pos="3540"/>
      </w:tabs>
      <w:ind w:left="2552" w:hanging="567"/>
    </w:pPr>
    <w:rPr>
      <w:lang w:val="en-US"/>
    </w:rPr>
  </w:style>
  <w:style w:type="paragraph" w:customStyle="1" w:styleId="StyleBodyTextTimesNewRoman11ptCharChar">
    <w:name w:val="Style Body Text + Times New Roman 11 pt Char Char"/>
    <w:basedOn w:val="Corpsdetexte"/>
    <w:rsid w:val="00424E0F"/>
    <w:rPr>
      <w:iCs w:val="0"/>
      <w:snapToGrid w:val="0"/>
      <w:color w:val="000000"/>
      <w:szCs w:val="22"/>
      <w:lang w:val="en-US"/>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n-US" w:eastAsia="en-US" w:bidi="ar-SA"/>
    </w:rPr>
  </w:style>
  <w:style w:type="paragraph" w:styleId="TM2">
    <w:name w:val="toc 2"/>
    <w:basedOn w:val="Normal"/>
    <w:next w:val="Normal"/>
    <w:autoRedefine/>
    <w:semiHidden/>
    <w:rsid w:val="00424E0F"/>
    <w:pPr>
      <w:tabs>
        <w:tab w:val="left" w:pos="2700"/>
        <w:tab w:val="right" w:leader="dot" w:pos="9360"/>
      </w:tabs>
      <w:ind w:left="2160" w:right="720" w:hanging="1260"/>
    </w:pPr>
    <w:rPr>
      <w:noProof/>
      <w:szCs w:val="22"/>
    </w:rPr>
  </w:style>
  <w:style w:type="paragraph" w:styleId="TM3">
    <w:name w:val="toc 3"/>
    <w:basedOn w:val="Normal"/>
    <w:next w:val="Normal"/>
    <w:autoRedefine/>
    <w:semiHidden/>
    <w:rsid w:val="00424E0F"/>
    <w:pPr>
      <w:ind w:left="2160" w:hanging="720"/>
    </w:pPr>
  </w:style>
  <w:style w:type="paragraph" w:styleId="TM5">
    <w:name w:val="toc 5"/>
    <w:basedOn w:val="Normal"/>
    <w:next w:val="Normal"/>
    <w:autoRedefine/>
    <w:semiHidden/>
    <w:rsid w:val="00424E0F"/>
    <w:pPr>
      <w:ind w:left="880"/>
    </w:pPr>
  </w:style>
  <w:style w:type="character" w:customStyle="1" w:styleId="Titre1Car">
    <w:name w:val="Titre 1 Car"/>
    <w:link w:val="Titre1"/>
    <w:rsid w:val="00CA25AD"/>
    <w:rPr>
      <w:rFonts w:cs="Angsana New"/>
      <w:b/>
      <w:caps/>
      <w:sz w:val="22"/>
      <w:szCs w:val="24"/>
      <w:lang w:val="en-GB" w:eastAsia="en-US" w:bidi="ar-SA"/>
    </w:rPr>
  </w:style>
  <w:style w:type="numbering" w:styleId="111111">
    <w:name w:val="Outline List 2"/>
    <w:basedOn w:val="Aucuneliste"/>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link w:val="Heading1longmultiline"/>
    <w:rsid w:val="00CA25AD"/>
    <w:rPr>
      <w:rFonts w:cs="Angsana New"/>
      <w:b/>
      <w:caps/>
      <w:sz w:val="22"/>
      <w:szCs w:val="24"/>
      <w:lang w:val="en-GB" w:eastAsia="en-US" w:bidi="ar-SA"/>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basedOn w:val="Normal"/>
    <w:rsid w:val="00900F86"/>
    <w:pPr>
      <w:autoSpaceDE w:val="0"/>
      <w:autoSpaceDN w:val="0"/>
    </w:pPr>
    <w:rPr>
      <w:rFonts w:eastAsia="Calibri"/>
      <w:color w:val="000000"/>
      <w:lang w:val="en-US"/>
    </w:rPr>
  </w:style>
  <w:style w:type="character" w:customStyle="1" w:styleId="apple-style-span">
    <w:name w:val="apple-style-span"/>
    <w:rsid w:val="00900F86"/>
  </w:style>
  <w:style w:type="character" w:customStyle="1" w:styleId="En-tteCar">
    <w:name w:val="En-tête Car"/>
    <w:link w:val="En-tte"/>
    <w:uiPriority w:val="99"/>
    <w:rsid w:val="00203EDB"/>
    <w:rPr>
      <w:rFonts w:cs="Angsana New"/>
      <w:sz w:val="22"/>
      <w:szCs w:val="24"/>
      <w:lang w:val="en-GB" w:eastAsia="en-US"/>
    </w:rPr>
  </w:style>
  <w:style w:type="character" w:customStyle="1" w:styleId="TextebrutCar">
    <w:name w:val="Texte brut Car"/>
    <w:link w:val="Textebrut"/>
    <w:uiPriority w:val="99"/>
    <w:rsid w:val="00B22797"/>
    <w:rPr>
      <w:rFonts w:ascii="Courier New" w:hAnsi="Courier New" w:cs="Courier New"/>
      <w:szCs w:val="24"/>
      <w:lang w:eastAsia="en-US"/>
    </w:rPr>
  </w:style>
  <w:style w:type="character" w:customStyle="1" w:styleId="PieddepageCar">
    <w:name w:val="Pied de page Car"/>
    <w:link w:val="Pieddepage"/>
    <w:rsid w:val="00316C7D"/>
    <w:rPr>
      <w:rFonts w:cs="Angsana New"/>
      <w:sz w:val="22"/>
      <w:szCs w:val="24"/>
      <w:lang w:eastAsia="en-US"/>
    </w:rPr>
  </w:style>
  <w:style w:type="paragraph" w:customStyle="1" w:styleId="SubtleEmphasis1">
    <w:name w:val="Subtle Emphasis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Titre3"/>
    <w:next w:val="Titre2"/>
    <w:rsid w:val="00FA7F67"/>
    <w:rPr>
      <w:rFonts w:ascii="Times New Roman Bold" w:hAnsi="Times New Roman Bold"/>
      <w:b/>
      <w:bCs/>
      <w:i w:val="0"/>
      <w:iCs w:val="0"/>
      <w:caps/>
    </w:rPr>
  </w:style>
  <w:style w:type="paragraph" w:customStyle="1" w:styleId="DarkList-Accent61">
    <w:name w:val="Dark List - Accent 61"/>
    <w:uiPriority w:val="1"/>
    <w:qFormat/>
    <w:rsid w:val="00276F6A"/>
    <w:rPr>
      <w:rFonts w:ascii="Calibri" w:hAnsi="Calibri"/>
      <w:sz w:val="22"/>
      <w:szCs w:val="22"/>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outlineLvl w:val="1"/>
    </w:pPr>
    <w:rPr>
      <w:rFonts w:eastAsia="SimSun"/>
      <w:szCs w:val="20"/>
      <w:lang w:eastAsia="zh-CN"/>
    </w:rPr>
  </w:style>
  <w:style w:type="character" w:customStyle="1" w:styleId="NotedebasdepageCar">
    <w:name w:val="Note de bas de page Car"/>
    <w:aliases w:val="fn Car,Geneva 9 Car,Font: Geneva 9 Car,Boston 10 Car,f Car,ft Car,Fotnotstext Char Car,ft Char Car,single space Car,footnote text Car,FOOTNOTES Car,ADB Car,single space1 Car,footnote text1 Car,FOOTNOTES1 Car,fn1 Car,ADB1 Car"/>
    <w:link w:val="Notedebasdepage"/>
    <w:uiPriority w:val="99"/>
    <w:rsid w:val="003C3938"/>
    <w:rPr>
      <w:rFonts w:eastAsia="Times New Roman"/>
      <w:sz w:val="18"/>
      <w:szCs w:val="24"/>
      <w:lang w:val="en-CA" w:eastAsia="x-none"/>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ColorfulGrid-Accent61">
    <w:name w:val="Colorful Grid - Accent 61"/>
    <w:hidden/>
    <w:uiPriority w:val="99"/>
    <w:semiHidden/>
    <w:rsid w:val="00EC5B43"/>
    <w:rPr>
      <w:rFonts w:cs="Angsana New"/>
      <w:sz w:val="22"/>
      <w:szCs w:val="24"/>
      <w:lang w:val="en-GB"/>
    </w:rPr>
  </w:style>
  <w:style w:type="paragraph" w:customStyle="1" w:styleId="ColorfulGrid-Accent62">
    <w:name w:val="Colorful Grid - Accent 62"/>
    <w:hidden/>
    <w:uiPriority w:val="99"/>
    <w:semiHidden/>
    <w:rsid w:val="00023D05"/>
    <w:rPr>
      <w:rFonts w:cs="Angsana New"/>
      <w:sz w:val="22"/>
      <w:szCs w:val="24"/>
      <w:lang w:val="en-GB"/>
    </w:rPr>
  </w:style>
  <w:style w:type="paragraph" w:customStyle="1" w:styleId="SubtleEmphasis2">
    <w:name w:val="Subtle Emphasis2"/>
    <w:basedOn w:val="Normal"/>
    <w:uiPriority w:val="34"/>
    <w:qFormat/>
    <w:rsid w:val="00914CF7"/>
    <w:pPr>
      <w:ind w:left="720"/>
    </w:pPr>
  </w:style>
  <w:style w:type="paragraph" w:customStyle="1" w:styleId="LightGrid-Accent31">
    <w:name w:val="Light Grid - Accent 31"/>
    <w:basedOn w:val="Normal"/>
    <w:uiPriority w:val="34"/>
    <w:qFormat/>
    <w:rsid w:val="009252DF"/>
    <w:pPr>
      <w:ind w:left="720"/>
    </w:pPr>
  </w:style>
  <w:style w:type="paragraph" w:styleId="Rvision">
    <w:name w:val="Revision"/>
    <w:hidden/>
    <w:uiPriority w:val="99"/>
    <w:semiHidden/>
    <w:rsid w:val="00A97ADC"/>
    <w:rPr>
      <w:rFonts w:cs="Angsana New"/>
      <w:sz w:val="22"/>
      <w:szCs w:val="24"/>
      <w:lang w:val="en-GB"/>
    </w:rPr>
  </w:style>
  <w:style w:type="paragraph" w:customStyle="1" w:styleId="meetingname">
    <w:name w:val="meeting name"/>
    <w:basedOn w:val="Normal"/>
    <w:qFormat/>
    <w:rsid w:val="00AD1731"/>
    <w:pPr>
      <w:ind w:left="170" w:right="3119" w:hanging="170"/>
    </w:pPr>
    <w:rPr>
      <w:rFonts w:eastAsia="Malgun Gothic"/>
      <w:caps/>
      <w:snapToGrid w:val="0"/>
    </w:rPr>
  </w:style>
  <w:style w:type="paragraph" w:styleId="TM9">
    <w:name w:val="toc 9"/>
    <w:basedOn w:val="Normal"/>
    <w:next w:val="Normal"/>
    <w:autoRedefine/>
    <w:rsid w:val="001416C5"/>
    <w:pPr>
      <w:tabs>
        <w:tab w:val="num" w:pos="1440"/>
      </w:tabs>
      <w:spacing w:before="120" w:after="120"/>
      <w:ind w:left="1440" w:hanging="360"/>
    </w:pPr>
  </w:style>
  <w:style w:type="paragraph" w:styleId="Paragraphedeliste">
    <w:name w:val="List Paragraph"/>
    <w:basedOn w:val="Normal"/>
    <w:uiPriority w:val="34"/>
    <w:qFormat/>
    <w:rsid w:val="0098127B"/>
    <w:pPr>
      <w:ind w:left="720"/>
    </w:pPr>
  </w:style>
  <w:style w:type="character" w:customStyle="1" w:styleId="CommentaireCar">
    <w:name w:val="Commentaire Car"/>
    <w:link w:val="Commentaire"/>
    <w:uiPriority w:val="99"/>
    <w:semiHidden/>
    <w:rsid w:val="00FD31F7"/>
    <w:rPr>
      <w:rFonts w:cs="Angsana New"/>
      <w:szCs w:val="24"/>
      <w:lang w:val="en-GB"/>
    </w:rPr>
  </w:style>
  <w:style w:type="character" w:styleId="Textedelespacerserv">
    <w:name w:val="Placeholder Text"/>
    <w:basedOn w:val="Policepardfaut"/>
    <w:uiPriority w:val="99"/>
    <w:semiHidden/>
    <w:rsid w:val="007217C4"/>
    <w:rPr>
      <w:color w:val="808080"/>
    </w:rPr>
  </w:style>
  <w:style w:type="character" w:customStyle="1" w:styleId="UnresolvedMention1">
    <w:name w:val="Unresolved Mention1"/>
    <w:basedOn w:val="Policepardfaut"/>
    <w:uiPriority w:val="99"/>
    <w:semiHidden/>
    <w:unhideWhenUsed/>
    <w:rsid w:val="00DE1B4F"/>
    <w:rPr>
      <w:color w:val="605E5C"/>
      <w:shd w:val="clear" w:color="auto" w:fill="E1DFDD"/>
    </w:rPr>
  </w:style>
  <w:style w:type="paragraph" w:customStyle="1" w:styleId="CBD-Para-1">
    <w:name w:val="CBD-Para-1"/>
    <w:basedOn w:val="Normal"/>
    <w:qFormat/>
    <w:rsid w:val="00662E2A"/>
    <w:pPr>
      <w:keepLines/>
      <w:numPr>
        <w:numId w:val="15"/>
      </w:numPr>
      <w:spacing w:before="120" w:after="120"/>
      <w:jc w:val="both"/>
    </w:pPr>
    <w:rPr>
      <w:rFonts w:eastAsia="Malgun Gothic"/>
      <w:sz w:val="22"/>
      <w:lang w:val="en-GB"/>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rsid w:val="00662E2A"/>
    <w:pPr>
      <w:spacing w:after="160" w:line="240" w:lineRule="exact"/>
      <w:jc w:val="both"/>
    </w:pPr>
    <w:rPr>
      <w:rFonts w:eastAsia="MS Mincho"/>
      <w:sz w:val="18"/>
      <w:szCs w:val="20"/>
      <w:u w:val="single"/>
      <w:lang w:val="en-US"/>
    </w:rPr>
  </w:style>
  <w:style w:type="character" w:customStyle="1" w:styleId="css-901oao">
    <w:name w:val="css-901oao"/>
    <w:basedOn w:val="Policepardfaut"/>
    <w:rsid w:val="00342287"/>
  </w:style>
  <w:style w:type="table" w:styleId="Grilledutableau">
    <w:name w:val="Table Grid"/>
    <w:basedOn w:val="TableauNormal"/>
    <w:rsid w:val="00011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del0">
    <w:name w:val="msodel"/>
    <w:basedOn w:val="Policepardfaut"/>
    <w:rsid w:val="008D4043"/>
  </w:style>
  <w:style w:type="character" w:customStyle="1" w:styleId="msoins0">
    <w:name w:val="msoins"/>
    <w:basedOn w:val="Policepardfaut"/>
    <w:rsid w:val="008D4043"/>
  </w:style>
  <w:style w:type="table" w:customStyle="1" w:styleId="TableGrid1">
    <w:name w:val="Table Grid1"/>
    <w:basedOn w:val="TableauNormal"/>
    <w:next w:val="Grilledutableau"/>
    <w:uiPriority w:val="59"/>
    <w:rsid w:val="00F12D4D"/>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Policepardfaut"/>
    <w:uiPriority w:val="99"/>
    <w:semiHidden/>
    <w:unhideWhenUsed/>
    <w:rsid w:val="000F5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4600">
      <w:bodyDiv w:val="1"/>
      <w:marLeft w:val="0"/>
      <w:marRight w:val="0"/>
      <w:marTop w:val="0"/>
      <w:marBottom w:val="0"/>
      <w:divBdr>
        <w:top w:val="none" w:sz="0" w:space="0" w:color="auto"/>
        <w:left w:val="none" w:sz="0" w:space="0" w:color="auto"/>
        <w:bottom w:val="none" w:sz="0" w:space="0" w:color="auto"/>
        <w:right w:val="none" w:sz="0" w:space="0" w:color="auto"/>
      </w:divBdr>
    </w:div>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39347">
      <w:bodyDiv w:val="1"/>
      <w:marLeft w:val="0"/>
      <w:marRight w:val="0"/>
      <w:marTop w:val="0"/>
      <w:marBottom w:val="0"/>
      <w:divBdr>
        <w:top w:val="none" w:sz="0" w:space="0" w:color="auto"/>
        <w:left w:val="none" w:sz="0" w:space="0" w:color="auto"/>
        <w:bottom w:val="none" w:sz="0" w:space="0" w:color="auto"/>
        <w:right w:val="none" w:sz="0" w:space="0" w:color="auto"/>
      </w:divBdr>
    </w:div>
    <w:div w:id="269944921">
      <w:bodyDiv w:val="1"/>
      <w:marLeft w:val="0"/>
      <w:marRight w:val="0"/>
      <w:marTop w:val="0"/>
      <w:marBottom w:val="0"/>
      <w:divBdr>
        <w:top w:val="none" w:sz="0" w:space="0" w:color="auto"/>
        <w:left w:val="none" w:sz="0" w:space="0" w:color="auto"/>
        <w:bottom w:val="none" w:sz="0" w:space="0" w:color="auto"/>
        <w:right w:val="none" w:sz="0" w:space="0" w:color="auto"/>
      </w:divBdr>
    </w:div>
    <w:div w:id="283923187">
      <w:bodyDiv w:val="1"/>
      <w:marLeft w:val="0"/>
      <w:marRight w:val="0"/>
      <w:marTop w:val="0"/>
      <w:marBottom w:val="0"/>
      <w:divBdr>
        <w:top w:val="none" w:sz="0" w:space="0" w:color="auto"/>
        <w:left w:val="none" w:sz="0" w:space="0" w:color="auto"/>
        <w:bottom w:val="none" w:sz="0" w:space="0" w:color="auto"/>
        <w:right w:val="none" w:sz="0" w:space="0" w:color="auto"/>
      </w:divBdr>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309216335">
      <w:bodyDiv w:val="1"/>
      <w:marLeft w:val="0"/>
      <w:marRight w:val="0"/>
      <w:marTop w:val="0"/>
      <w:marBottom w:val="0"/>
      <w:divBdr>
        <w:top w:val="none" w:sz="0" w:space="0" w:color="auto"/>
        <w:left w:val="none" w:sz="0" w:space="0" w:color="auto"/>
        <w:bottom w:val="none" w:sz="0" w:space="0" w:color="auto"/>
        <w:right w:val="none" w:sz="0" w:space="0" w:color="auto"/>
      </w:divBdr>
    </w:div>
    <w:div w:id="345836105">
      <w:bodyDiv w:val="1"/>
      <w:marLeft w:val="0"/>
      <w:marRight w:val="0"/>
      <w:marTop w:val="0"/>
      <w:marBottom w:val="0"/>
      <w:divBdr>
        <w:top w:val="none" w:sz="0" w:space="0" w:color="auto"/>
        <w:left w:val="none" w:sz="0" w:space="0" w:color="auto"/>
        <w:bottom w:val="none" w:sz="0" w:space="0" w:color="auto"/>
        <w:right w:val="none" w:sz="0" w:space="0" w:color="auto"/>
      </w:divBdr>
    </w:div>
    <w:div w:id="358165828">
      <w:bodyDiv w:val="1"/>
      <w:marLeft w:val="0"/>
      <w:marRight w:val="0"/>
      <w:marTop w:val="0"/>
      <w:marBottom w:val="0"/>
      <w:divBdr>
        <w:top w:val="none" w:sz="0" w:space="0" w:color="auto"/>
        <w:left w:val="none" w:sz="0" w:space="0" w:color="auto"/>
        <w:bottom w:val="none" w:sz="0" w:space="0" w:color="auto"/>
        <w:right w:val="none" w:sz="0" w:space="0" w:color="auto"/>
      </w:divBdr>
    </w:div>
    <w:div w:id="455217690">
      <w:bodyDiv w:val="1"/>
      <w:marLeft w:val="0"/>
      <w:marRight w:val="0"/>
      <w:marTop w:val="0"/>
      <w:marBottom w:val="0"/>
      <w:divBdr>
        <w:top w:val="none" w:sz="0" w:space="0" w:color="auto"/>
        <w:left w:val="none" w:sz="0" w:space="0" w:color="auto"/>
        <w:bottom w:val="none" w:sz="0" w:space="0" w:color="auto"/>
        <w:right w:val="none" w:sz="0" w:space="0" w:color="auto"/>
      </w:divBdr>
    </w:div>
    <w:div w:id="518157875">
      <w:bodyDiv w:val="1"/>
      <w:marLeft w:val="0"/>
      <w:marRight w:val="0"/>
      <w:marTop w:val="0"/>
      <w:marBottom w:val="0"/>
      <w:divBdr>
        <w:top w:val="none" w:sz="0" w:space="0" w:color="auto"/>
        <w:left w:val="none" w:sz="0" w:space="0" w:color="auto"/>
        <w:bottom w:val="none" w:sz="0" w:space="0" w:color="auto"/>
        <w:right w:val="none" w:sz="0" w:space="0" w:color="auto"/>
      </w:divBdr>
    </w:div>
    <w:div w:id="744377736">
      <w:bodyDiv w:val="1"/>
      <w:marLeft w:val="0"/>
      <w:marRight w:val="0"/>
      <w:marTop w:val="0"/>
      <w:marBottom w:val="0"/>
      <w:divBdr>
        <w:top w:val="none" w:sz="0" w:space="0" w:color="auto"/>
        <w:left w:val="none" w:sz="0" w:space="0" w:color="auto"/>
        <w:bottom w:val="none" w:sz="0" w:space="0" w:color="auto"/>
        <w:right w:val="none" w:sz="0" w:space="0" w:color="auto"/>
      </w:divBdr>
    </w:div>
    <w:div w:id="804543861">
      <w:bodyDiv w:val="1"/>
      <w:marLeft w:val="0"/>
      <w:marRight w:val="0"/>
      <w:marTop w:val="0"/>
      <w:marBottom w:val="0"/>
      <w:divBdr>
        <w:top w:val="none" w:sz="0" w:space="0" w:color="auto"/>
        <w:left w:val="none" w:sz="0" w:space="0" w:color="auto"/>
        <w:bottom w:val="none" w:sz="0" w:space="0" w:color="auto"/>
        <w:right w:val="none" w:sz="0" w:space="0" w:color="auto"/>
      </w:divBdr>
    </w:div>
    <w:div w:id="814106508">
      <w:bodyDiv w:val="1"/>
      <w:marLeft w:val="0"/>
      <w:marRight w:val="0"/>
      <w:marTop w:val="0"/>
      <w:marBottom w:val="0"/>
      <w:divBdr>
        <w:top w:val="none" w:sz="0" w:space="0" w:color="auto"/>
        <w:left w:val="none" w:sz="0" w:space="0" w:color="auto"/>
        <w:bottom w:val="none" w:sz="0" w:space="0" w:color="auto"/>
        <w:right w:val="none" w:sz="0" w:space="0" w:color="auto"/>
      </w:divBdr>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856191287">
      <w:bodyDiv w:val="1"/>
      <w:marLeft w:val="0"/>
      <w:marRight w:val="0"/>
      <w:marTop w:val="0"/>
      <w:marBottom w:val="0"/>
      <w:divBdr>
        <w:top w:val="none" w:sz="0" w:space="0" w:color="auto"/>
        <w:left w:val="none" w:sz="0" w:space="0" w:color="auto"/>
        <w:bottom w:val="none" w:sz="0" w:space="0" w:color="auto"/>
        <w:right w:val="none" w:sz="0" w:space="0" w:color="auto"/>
      </w:divBdr>
      <w:divsChild>
        <w:div w:id="625279627">
          <w:marLeft w:val="0"/>
          <w:marRight w:val="0"/>
          <w:marTop w:val="0"/>
          <w:marBottom w:val="0"/>
          <w:divBdr>
            <w:top w:val="none" w:sz="0" w:space="0" w:color="auto"/>
            <w:left w:val="none" w:sz="0" w:space="0" w:color="auto"/>
            <w:bottom w:val="none" w:sz="0" w:space="0" w:color="auto"/>
            <w:right w:val="none" w:sz="0" w:space="0" w:color="auto"/>
          </w:divBdr>
          <w:divsChild>
            <w:div w:id="1657414152">
              <w:marLeft w:val="0"/>
              <w:marRight w:val="0"/>
              <w:marTop w:val="0"/>
              <w:marBottom w:val="0"/>
              <w:divBdr>
                <w:top w:val="none" w:sz="0" w:space="0" w:color="auto"/>
                <w:left w:val="none" w:sz="0" w:space="0" w:color="auto"/>
                <w:bottom w:val="none" w:sz="0" w:space="0" w:color="auto"/>
                <w:right w:val="none" w:sz="0" w:space="0" w:color="auto"/>
              </w:divBdr>
              <w:divsChild>
                <w:div w:id="988905283">
                  <w:marLeft w:val="0"/>
                  <w:marRight w:val="0"/>
                  <w:marTop w:val="0"/>
                  <w:marBottom w:val="0"/>
                  <w:divBdr>
                    <w:top w:val="none" w:sz="0" w:space="0" w:color="auto"/>
                    <w:left w:val="none" w:sz="0" w:space="0" w:color="auto"/>
                    <w:bottom w:val="none" w:sz="0" w:space="0" w:color="auto"/>
                    <w:right w:val="none" w:sz="0" w:space="0" w:color="auto"/>
                  </w:divBdr>
                  <w:divsChild>
                    <w:div w:id="451822388">
                      <w:marLeft w:val="0"/>
                      <w:marRight w:val="0"/>
                      <w:marTop w:val="0"/>
                      <w:marBottom w:val="0"/>
                      <w:divBdr>
                        <w:top w:val="none" w:sz="0" w:space="0" w:color="auto"/>
                        <w:left w:val="none" w:sz="0" w:space="0" w:color="auto"/>
                        <w:bottom w:val="none" w:sz="0" w:space="0" w:color="auto"/>
                        <w:right w:val="none" w:sz="0" w:space="0" w:color="auto"/>
                      </w:divBdr>
                    </w:div>
                    <w:div w:id="13270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579655">
          <w:marLeft w:val="0"/>
          <w:marRight w:val="0"/>
          <w:marTop w:val="0"/>
          <w:marBottom w:val="0"/>
          <w:divBdr>
            <w:top w:val="none" w:sz="0" w:space="0" w:color="auto"/>
            <w:left w:val="none" w:sz="0" w:space="0" w:color="auto"/>
            <w:bottom w:val="none" w:sz="0" w:space="0" w:color="auto"/>
            <w:right w:val="none" w:sz="0" w:space="0" w:color="auto"/>
          </w:divBdr>
          <w:divsChild>
            <w:div w:id="493033475">
              <w:marLeft w:val="0"/>
              <w:marRight w:val="0"/>
              <w:marTop w:val="0"/>
              <w:marBottom w:val="0"/>
              <w:divBdr>
                <w:top w:val="none" w:sz="0" w:space="0" w:color="auto"/>
                <w:left w:val="none" w:sz="0" w:space="0" w:color="auto"/>
                <w:bottom w:val="none" w:sz="0" w:space="0" w:color="auto"/>
                <w:right w:val="none" w:sz="0" w:space="0" w:color="auto"/>
              </w:divBdr>
              <w:divsChild>
                <w:div w:id="305743918">
                  <w:marLeft w:val="0"/>
                  <w:marRight w:val="0"/>
                  <w:marTop w:val="0"/>
                  <w:marBottom w:val="0"/>
                  <w:divBdr>
                    <w:top w:val="none" w:sz="0" w:space="0" w:color="auto"/>
                    <w:left w:val="none" w:sz="0" w:space="0" w:color="auto"/>
                    <w:bottom w:val="none" w:sz="0" w:space="0" w:color="auto"/>
                    <w:right w:val="none" w:sz="0" w:space="0" w:color="auto"/>
                  </w:divBdr>
                  <w:divsChild>
                    <w:div w:id="57397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73300">
          <w:marLeft w:val="0"/>
          <w:marRight w:val="0"/>
          <w:marTop w:val="0"/>
          <w:marBottom w:val="0"/>
          <w:divBdr>
            <w:top w:val="none" w:sz="0" w:space="0" w:color="auto"/>
            <w:left w:val="none" w:sz="0" w:space="0" w:color="auto"/>
            <w:bottom w:val="none" w:sz="0" w:space="0" w:color="auto"/>
            <w:right w:val="none" w:sz="0" w:space="0" w:color="auto"/>
          </w:divBdr>
          <w:divsChild>
            <w:div w:id="839976542">
              <w:marLeft w:val="0"/>
              <w:marRight w:val="0"/>
              <w:marTop w:val="0"/>
              <w:marBottom w:val="0"/>
              <w:divBdr>
                <w:top w:val="none" w:sz="0" w:space="0" w:color="auto"/>
                <w:left w:val="none" w:sz="0" w:space="0" w:color="auto"/>
                <w:bottom w:val="none" w:sz="0" w:space="0" w:color="auto"/>
                <w:right w:val="none" w:sz="0" w:space="0" w:color="auto"/>
              </w:divBdr>
              <w:divsChild>
                <w:div w:id="1435707493">
                  <w:marLeft w:val="0"/>
                  <w:marRight w:val="0"/>
                  <w:marTop w:val="0"/>
                  <w:marBottom w:val="0"/>
                  <w:divBdr>
                    <w:top w:val="none" w:sz="0" w:space="0" w:color="auto"/>
                    <w:left w:val="none" w:sz="0" w:space="0" w:color="auto"/>
                    <w:bottom w:val="none" w:sz="0" w:space="0" w:color="auto"/>
                    <w:right w:val="none" w:sz="0" w:space="0" w:color="auto"/>
                  </w:divBdr>
                  <w:divsChild>
                    <w:div w:id="112238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348516">
      <w:bodyDiv w:val="1"/>
      <w:marLeft w:val="0"/>
      <w:marRight w:val="0"/>
      <w:marTop w:val="0"/>
      <w:marBottom w:val="0"/>
      <w:divBdr>
        <w:top w:val="none" w:sz="0" w:space="0" w:color="auto"/>
        <w:left w:val="none" w:sz="0" w:space="0" w:color="auto"/>
        <w:bottom w:val="none" w:sz="0" w:space="0" w:color="auto"/>
        <w:right w:val="none" w:sz="0" w:space="0" w:color="auto"/>
      </w:divBdr>
    </w:div>
    <w:div w:id="948968198">
      <w:bodyDiv w:val="1"/>
      <w:marLeft w:val="0"/>
      <w:marRight w:val="0"/>
      <w:marTop w:val="0"/>
      <w:marBottom w:val="0"/>
      <w:divBdr>
        <w:top w:val="none" w:sz="0" w:space="0" w:color="auto"/>
        <w:left w:val="none" w:sz="0" w:space="0" w:color="auto"/>
        <w:bottom w:val="none" w:sz="0" w:space="0" w:color="auto"/>
        <w:right w:val="none" w:sz="0" w:space="0" w:color="auto"/>
      </w:divBdr>
    </w:div>
    <w:div w:id="1011369280">
      <w:bodyDiv w:val="1"/>
      <w:marLeft w:val="0"/>
      <w:marRight w:val="0"/>
      <w:marTop w:val="0"/>
      <w:marBottom w:val="0"/>
      <w:divBdr>
        <w:top w:val="none" w:sz="0" w:space="0" w:color="auto"/>
        <w:left w:val="none" w:sz="0" w:space="0" w:color="auto"/>
        <w:bottom w:val="none" w:sz="0" w:space="0" w:color="auto"/>
        <w:right w:val="none" w:sz="0" w:space="0" w:color="auto"/>
      </w:divBdr>
    </w:div>
    <w:div w:id="1019772813">
      <w:bodyDiv w:val="1"/>
      <w:marLeft w:val="0"/>
      <w:marRight w:val="0"/>
      <w:marTop w:val="0"/>
      <w:marBottom w:val="0"/>
      <w:divBdr>
        <w:top w:val="none" w:sz="0" w:space="0" w:color="auto"/>
        <w:left w:val="none" w:sz="0" w:space="0" w:color="auto"/>
        <w:bottom w:val="none" w:sz="0" w:space="0" w:color="auto"/>
        <w:right w:val="none" w:sz="0" w:space="0" w:color="auto"/>
      </w:divBdr>
      <w:divsChild>
        <w:div w:id="291324904">
          <w:marLeft w:val="0"/>
          <w:marRight w:val="0"/>
          <w:marTop w:val="105"/>
          <w:marBottom w:val="105"/>
          <w:divBdr>
            <w:top w:val="none" w:sz="0" w:space="0" w:color="auto"/>
            <w:left w:val="none" w:sz="0" w:space="0" w:color="auto"/>
            <w:bottom w:val="none" w:sz="0" w:space="0" w:color="auto"/>
            <w:right w:val="none" w:sz="0" w:space="0" w:color="auto"/>
          </w:divBdr>
        </w:div>
        <w:div w:id="425005409">
          <w:marLeft w:val="0"/>
          <w:marRight w:val="0"/>
          <w:marTop w:val="105"/>
          <w:marBottom w:val="105"/>
          <w:divBdr>
            <w:top w:val="none" w:sz="0" w:space="0" w:color="auto"/>
            <w:left w:val="none" w:sz="0" w:space="0" w:color="auto"/>
            <w:bottom w:val="none" w:sz="0" w:space="0" w:color="auto"/>
            <w:right w:val="none" w:sz="0" w:space="0" w:color="auto"/>
          </w:divBdr>
        </w:div>
        <w:div w:id="823594046">
          <w:marLeft w:val="0"/>
          <w:marRight w:val="0"/>
          <w:marTop w:val="105"/>
          <w:marBottom w:val="105"/>
          <w:divBdr>
            <w:top w:val="none" w:sz="0" w:space="0" w:color="auto"/>
            <w:left w:val="none" w:sz="0" w:space="0" w:color="auto"/>
            <w:bottom w:val="none" w:sz="0" w:space="0" w:color="auto"/>
            <w:right w:val="none" w:sz="0" w:space="0" w:color="auto"/>
          </w:divBdr>
        </w:div>
        <w:div w:id="1177420747">
          <w:marLeft w:val="0"/>
          <w:marRight w:val="0"/>
          <w:marTop w:val="105"/>
          <w:marBottom w:val="105"/>
          <w:divBdr>
            <w:top w:val="none" w:sz="0" w:space="0" w:color="auto"/>
            <w:left w:val="none" w:sz="0" w:space="0" w:color="auto"/>
            <w:bottom w:val="none" w:sz="0" w:space="0" w:color="auto"/>
            <w:right w:val="none" w:sz="0" w:space="0" w:color="auto"/>
          </w:divBdr>
        </w:div>
      </w:divsChild>
    </w:div>
    <w:div w:id="1051882605">
      <w:bodyDiv w:val="1"/>
      <w:marLeft w:val="0"/>
      <w:marRight w:val="0"/>
      <w:marTop w:val="0"/>
      <w:marBottom w:val="0"/>
      <w:divBdr>
        <w:top w:val="none" w:sz="0" w:space="0" w:color="auto"/>
        <w:left w:val="none" w:sz="0" w:space="0" w:color="auto"/>
        <w:bottom w:val="none" w:sz="0" w:space="0" w:color="auto"/>
        <w:right w:val="none" w:sz="0" w:space="0" w:color="auto"/>
      </w:divBdr>
    </w:div>
    <w:div w:id="1069964525">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82820688">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01625">
      <w:bodyDiv w:val="1"/>
      <w:marLeft w:val="0"/>
      <w:marRight w:val="0"/>
      <w:marTop w:val="0"/>
      <w:marBottom w:val="0"/>
      <w:divBdr>
        <w:top w:val="none" w:sz="0" w:space="0" w:color="auto"/>
        <w:left w:val="none" w:sz="0" w:space="0" w:color="auto"/>
        <w:bottom w:val="none" w:sz="0" w:space="0" w:color="auto"/>
        <w:right w:val="none" w:sz="0" w:space="0" w:color="auto"/>
      </w:divBdr>
    </w:div>
    <w:div w:id="1211384824">
      <w:bodyDiv w:val="1"/>
      <w:marLeft w:val="0"/>
      <w:marRight w:val="0"/>
      <w:marTop w:val="0"/>
      <w:marBottom w:val="0"/>
      <w:divBdr>
        <w:top w:val="none" w:sz="0" w:space="0" w:color="auto"/>
        <w:left w:val="none" w:sz="0" w:space="0" w:color="auto"/>
        <w:bottom w:val="none" w:sz="0" w:space="0" w:color="auto"/>
        <w:right w:val="none" w:sz="0" w:space="0" w:color="auto"/>
      </w:divBdr>
      <w:divsChild>
        <w:div w:id="1867793578">
          <w:marLeft w:val="0"/>
          <w:marRight w:val="0"/>
          <w:marTop w:val="0"/>
          <w:marBottom w:val="0"/>
          <w:divBdr>
            <w:top w:val="none" w:sz="0" w:space="0" w:color="auto"/>
            <w:left w:val="none" w:sz="0" w:space="0" w:color="auto"/>
            <w:bottom w:val="none" w:sz="0" w:space="0" w:color="auto"/>
            <w:right w:val="none" w:sz="0" w:space="0" w:color="auto"/>
          </w:divBdr>
          <w:divsChild>
            <w:div w:id="865751058">
              <w:marLeft w:val="0"/>
              <w:marRight w:val="0"/>
              <w:marTop w:val="0"/>
              <w:marBottom w:val="0"/>
              <w:divBdr>
                <w:top w:val="none" w:sz="0" w:space="0" w:color="auto"/>
                <w:left w:val="none" w:sz="0" w:space="0" w:color="auto"/>
                <w:bottom w:val="none" w:sz="0" w:space="0" w:color="auto"/>
                <w:right w:val="none" w:sz="0" w:space="0" w:color="auto"/>
              </w:divBdr>
              <w:divsChild>
                <w:div w:id="17293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7627">
      <w:bodyDiv w:val="1"/>
      <w:marLeft w:val="0"/>
      <w:marRight w:val="0"/>
      <w:marTop w:val="0"/>
      <w:marBottom w:val="0"/>
      <w:divBdr>
        <w:top w:val="none" w:sz="0" w:space="0" w:color="auto"/>
        <w:left w:val="none" w:sz="0" w:space="0" w:color="auto"/>
        <w:bottom w:val="none" w:sz="0" w:space="0" w:color="auto"/>
        <w:right w:val="none" w:sz="0" w:space="0" w:color="auto"/>
      </w:divBdr>
    </w:div>
    <w:div w:id="1248731603">
      <w:bodyDiv w:val="1"/>
      <w:marLeft w:val="0"/>
      <w:marRight w:val="0"/>
      <w:marTop w:val="0"/>
      <w:marBottom w:val="0"/>
      <w:divBdr>
        <w:top w:val="none" w:sz="0" w:space="0" w:color="auto"/>
        <w:left w:val="none" w:sz="0" w:space="0" w:color="auto"/>
        <w:bottom w:val="none" w:sz="0" w:space="0" w:color="auto"/>
        <w:right w:val="none" w:sz="0" w:space="0" w:color="auto"/>
      </w:divBdr>
    </w:div>
    <w:div w:id="1263103509">
      <w:bodyDiv w:val="1"/>
      <w:marLeft w:val="0"/>
      <w:marRight w:val="0"/>
      <w:marTop w:val="0"/>
      <w:marBottom w:val="0"/>
      <w:divBdr>
        <w:top w:val="none" w:sz="0" w:space="0" w:color="auto"/>
        <w:left w:val="none" w:sz="0" w:space="0" w:color="auto"/>
        <w:bottom w:val="none" w:sz="0" w:space="0" w:color="auto"/>
        <w:right w:val="none" w:sz="0" w:space="0" w:color="auto"/>
      </w:divBdr>
    </w:div>
    <w:div w:id="1265384004">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295065511">
      <w:bodyDiv w:val="1"/>
      <w:marLeft w:val="0"/>
      <w:marRight w:val="0"/>
      <w:marTop w:val="0"/>
      <w:marBottom w:val="0"/>
      <w:divBdr>
        <w:top w:val="none" w:sz="0" w:space="0" w:color="auto"/>
        <w:left w:val="none" w:sz="0" w:space="0" w:color="auto"/>
        <w:bottom w:val="none" w:sz="0" w:space="0" w:color="auto"/>
        <w:right w:val="none" w:sz="0" w:space="0" w:color="auto"/>
      </w:divBdr>
    </w:div>
    <w:div w:id="1432823750">
      <w:bodyDiv w:val="1"/>
      <w:marLeft w:val="0"/>
      <w:marRight w:val="0"/>
      <w:marTop w:val="0"/>
      <w:marBottom w:val="0"/>
      <w:divBdr>
        <w:top w:val="none" w:sz="0" w:space="0" w:color="auto"/>
        <w:left w:val="none" w:sz="0" w:space="0" w:color="auto"/>
        <w:bottom w:val="none" w:sz="0" w:space="0" w:color="auto"/>
        <w:right w:val="none" w:sz="0" w:space="0" w:color="auto"/>
      </w:divBdr>
    </w:div>
    <w:div w:id="1451122415">
      <w:bodyDiv w:val="1"/>
      <w:marLeft w:val="0"/>
      <w:marRight w:val="0"/>
      <w:marTop w:val="0"/>
      <w:marBottom w:val="0"/>
      <w:divBdr>
        <w:top w:val="none" w:sz="0" w:space="0" w:color="auto"/>
        <w:left w:val="none" w:sz="0" w:space="0" w:color="auto"/>
        <w:bottom w:val="none" w:sz="0" w:space="0" w:color="auto"/>
        <w:right w:val="none" w:sz="0" w:space="0" w:color="auto"/>
      </w:divBdr>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496216133">
      <w:bodyDiv w:val="1"/>
      <w:marLeft w:val="0"/>
      <w:marRight w:val="0"/>
      <w:marTop w:val="0"/>
      <w:marBottom w:val="0"/>
      <w:divBdr>
        <w:top w:val="none" w:sz="0" w:space="0" w:color="auto"/>
        <w:left w:val="none" w:sz="0" w:space="0" w:color="auto"/>
        <w:bottom w:val="none" w:sz="0" w:space="0" w:color="auto"/>
        <w:right w:val="none" w:sz="0" w:space="0" w:color="auto"/>
      </w:divBdr>
    </w:div>
    <w:div w:id="1548371037">
      <w:bodyDiv w:val="1"/>
      <w:marLeft w:val="0"/>
      <w:marRight w:val="0"/>
      <w:marTop w:val="0"/>
      <w:marBottom w:val="0"/>
      <w:divBdr>
        <w:top w:val="none" w:sz="0" w:space="0" w:color="auto"/>
        <w:left w:val="none" w:sz="0" w:space="0" w:color="auto"/>
        <w:bottom w:val="none" w:sz="0" w:space="0" w:color="auto"/>
        <w:right w:val="none" w:sz="0" w:space="0" w:color="auto"/>
      </w:divBdr>
    </w:div>
    <w:div w:id="1557005660">
      <w:bodyDiv w:val="1"/>
      <w:marLeft w:val="0"/>
      <w:marRight w:val="0"/>
      <w:marTop w:val="0"/>
      <w:marBottom w:val="0"/>
      <w:divBdr>
        <w:top w:val="none" w:sz="0" w:space="0" w:color="auto"/>
        <w:left w:val="none" w:sz="0" w:space="0" w:color="auto"/>
        <w:bottom w:val="none" w:sz="0" w:space="0" w:color="auto"/>
        <w:right w:val="none" w:sz="0" w:space="0" w:color="auto"/>
      </w:divBdr>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709525334">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48259029">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274062">
      <w:bodyDiv w:val="1"/>
      <w:marLeft w:val="0"/>
      <w:marRight w:val="0"/>
      <w:marTop w:val="0"/>
      <w:marBottom w:val="0"/>
      <w:divBdr>
        <w:top w:val="none" w:sz="0" w:space="0" w:color="auto"/>
        <w:left w:val="none" w:sz="0" w:space="0" w:color="auto"/>
        <w:bottom w:val="none" w:sz="0" w:space="0" w:color="auto"/>
        <w:right w:val="none" w:sz="0" w:space="0" w:color="auto"/>
      </w:divBdr>
    </w:div>
    <w:div w:id="1912735465">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063677749">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cbd.int/decision/cop/?id=7103"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cbd.int/doc/recommendations/sbi-02/sbi-02-rec-07-fr.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bd.int/decision/cop/?id=7104"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bd.int/doc/decisions/cop-13/cop-13-dec-21-fr.pdf" TargetMode="External"/><Relationship Id="rId20" Type="http://schemas.openxmlformats.org/officeDocument/2006/relationships/hyperlink" Target="https://www.cbd.int/doc/decisions/cop-11/cop-11-dec-05-fr.pdf"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cbd.int/doc/decisions/cop-13/cop-13-dec-21-fr.pdf" TargetMode="External"/><Relationship Id="rId37"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www.cbd.int/doc/decisions/cop-12/cop-12-dec-30-fr.pdf" TargetMode="External"/><Relationship Id="rId23" Type="http://schemas.openxmlformats.org/officeDocument/2006/relationships/hyperlink" Target="https://www.cbd.int/doc/decisions/cop-11/cop-11-dec-05-fr.pdf" TargetMode="External"/><Relationship Id="rId28" Type="http://schemas.openxmlformats.org/officeDocument/2006/relationships/fontTable" Target="fontTable.xml"/><Relationship Id="rId36"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www.cbd.int/doc/decisions/cop-10/cop-10-dec-27-fr.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4/cop-14-dec-23-fr.pdf" TargetMode="External"/><Relationship Id="rId22" Type="http://schemas.openxmlformats.org/officeDocument/2006/relationships/hyperlink" Target="https://www.cbd.int/doc/decisions/cop-09/cop-09-dec-31-fr.pdf" TargetMode="External"/><Relationship Id="rId27" Type="http://schemas.openxmlformats.org/officeDocument/2006/relationships/footer" Target="foot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1355327F9CD445C81A204DE4BCA7A6D"/>
        <w:category>
          <w:name w:val="General"/>
          <w:gallery w:val="placeholder"/>
        </w:category>
        <w:types>
          <w:type w:val="bbPlcHdr"/>
        </w:types>
        <w:behaviors>
          <w:behavior w:val="content"/>
        </w:behaviors>
        <w:guid w:val="{84D8FDF0-1B45-42E2-B1C5-817FF7BE50A3}"/>
      </w:docPartPr>
      <w:docPartBody>
        <w:p w:rsidR="0028257F" w:rsidRDefault="001E3D65">
          <w:r w:rsidRPr="00C725B6">
            <w:rPr>
              <w:rStyle w:val="Textedelespacerserv"/>
            </w:rPr>
            <w:t>[Subject]</w:t>
          </w:r>
        </w:p>
      </w:docPartBody>
    </w:docPart>
    <w:docPart>
      <w:docPartPr>
        <w:name w:val="FBFD1B4B41914470A1B04A4950C0279A"/>
        <w:category>
          <w:name w:val="General"/>
          <w:gallery w:val="placeholder"/>
        </w:category>
        <w:types>
          <w:type w:val="bbPlcHdr"/>
        </w:types>
        <w:behaviors>
          <w:behavior w:val="content"/>
        </w:behaviors>
        <w:guid w:val="{BE77CD3E-C04F-4AA7-B7E9-92116537D913}"/>
      </w:docPartPr>
      <w:docPartBody>
        <w:p w:rsidR="0028257F" w:rsidRDefault="001E3D65">
          <w:r w:rsidRPr="00C725B6">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30204"/>
    <w:charset w:val="00"/>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w:altName w:val="等线"/>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D65"/>
    <w:rsid w:val="0002749C"/>
    <w:rsid w:val="00037326"/>
    <w:rsid w:val="00037D6C"/>
    <w:rsid w:val="00055DEB"/>
    <w:rsid w:val="000C36BB"/>
    <w:rsid w:val="00150164"/>
    <w:rsid w:val="001E3D65"/>
    <w:rsid w:val="001E6C43"/>
    <w:rsid w:val="002234FB"/>
    <w:rsid w:val="0025771C"/>
    <w:rsid w:val="0028257F"/>
    <w:rsid w:val="00593657"/>
    <w:rsid w:val="005A587D"/>
    <w:rsid w:val="005B6CAB"/>
    <w:rsid w:val="0062334B"/>
    <w:rsid w:val="006251B4"/>
    <w:rsid w:val="006A5C02"/>
    <w:rsid w:val="006E18B6"/>
    <w:rsid w:val="007078A1"/>
    <w:rsid w:val="00764547"/>
    <w:rsid w:val="007A2C75"/>
    <w:rsid w:val="007D2595"/>
    <w:rsid w:val="00802E53"/>
    <w:rsid w:val="00825DE8"/>
    <w:rsid w:val="00835D19"/>
    <w:rsid w:val="00841077"/>
    <w:rsid w:val="008A2B12"/>
    <w:rsid w:val="008B40C9"/>
    <w:rsid w:val="00961E2A"/>
    <w:rsid w:val="00A323FD"/>
    <w:rsid w:val="00A35A6F"/>
    <w:rsid w:val="00B24A98"/>
    <w:rsid w:val="00B46614"/>
    <w:rsid w:val="00B46D7B"/>
    <w:rsid w:val="00B72E6A"/>
    <w:rsid w:val="00BA4E20"/>
    <w:rsid w:val="00C807A9"/>
    <w:rsid w:val="00CA37EC"/>
    <w:rsid w:val="00CE3BDA"/>
    <w:rsid w:val="00CE6730"/>
    <w:rsid w:val="00D649E0"/>
    <w:rsid w:val="00D8227D"/>
    <w:rsid w:val="00DB585E"/>
    <w:rsid w:val="00DD229C"/>
    <w:rsid w:val="00DE301E"/>
    <w:rsid w:val="00E60471"/>
    <w:rsid w:val="00EA77ED"/>
    <w:rsid w:val="00EE0CE9"/>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E3D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6A478-63F8-451D-B425-5B9DBC726A1C}">
  <ds:schemaRefs>
    <ds:schemaRef ds:uri="http://schemas.microsoft.com/sharepoint/v3/contenttype/forms"/>
  </ds:schemaRefs>
</ds:datastoreItem>
</file>

<file path=customXml/itemProps2.xml><?xml version="1.0" encoding="utf-8"?>
<ds:datastoreItem xmlns:ds="http://schemas.openxmlformats.org/officeDocument/2006/customXml" ds:itemID="{D06B2BFF-9EB7-46A8-B7DB-B2497AF212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5F0411-0FD9-4119-9800-554E6507C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A4BFED-33A9-40B8-BF3F-8320BFA9F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1899</TotalTime>
  <Pages>19</Pages>
  <Words>10872</Words>
  <Characters>59802</Characters>
  <Application>Microsoft Office Word</Application>
  <DocSecurity>0</DocSecurity>
  <Lines>498</Lines>
  <Paragraphs>141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LE MéCANISME DE FINANCEMENT</vt:lpstr>
      <vt:lpstr>Financial Mechanism</vt:lpstr>
    </vt:vector>
  </TitlesOfParts>
  <Company>SCBD</Company>
  <LinksUpToDate>false</LinksUpToDate>
  <CharactersWithSpaces>70533</CharactersWithSpaces>
  <SharedDoc>false</SharedDoc>
  <HLinks>
    <vt:vector size="294" baseType="variant">
      <vt:variant>
        <vt:i4>524361</vt:i4>
      </vt:variant>
      <vt:variant>
        <vt:i4>153</vt:i4>
      </vt:variant>
      <vt:variant>
        <vt:i4>0</vt:i4>
      </vt:variant>
      <vt:variant>
        <vt:i4>5</vt:i4>
      </vt:variant>
      <vt:variant>
        <vt:lpwstr>https://www.cbd.int/doc/decisions/cop-14/cop-14-dec-37-en.pdf</vt:lpwstr>
      </vt:variant>
      <vt:variant>
        <vt:lpwstr/>
      </vt:variant>
      <vt:variant>
        <vt:i4>7798832</vt:i4>
      </vt:variant>
      <vt:variant>
        <vt:i4>150</vt:i4>
      </vt:variant>
      <vt:variant>
        <vt:i4>0</vt:i4>
      </vt:variant>
      <vt:variant>
        <vt:i4>5</vt:i4>
      </vt:variant>
      <vt:variant>
        <vt:lpwstr>https://www.cbd.int/doc/decisions/np-mop-03/np-mop-03-dec-13-en.pdf</vt:lpwstr>
      </vt:variant>
      <vt:variant>
        <vt:lpwstr/>
      </vt:variant>
      <vt:variant>
        <vt:i4>7340080</vt:i4>
      </vt:variant>
      <vt:variant>
        <vt:i4>147</vt:i4>
      </vt:variant>
      <vt:variant>
        <vt:i4>0</vt:i4>
      </vt:variant>
      <vt:variant>
        <vt:i4>5</vt:i4>
      </vt:variant>
      <vt:variant>
        <vt:lpwstr>https://www.cbd.int/doc/decisions/np-mop-03/np-mop-03-dec-14-en.pdf</vt:lpwstr>
      </vt:variant>
      <vt:variant>
        <vt:lpwstr/>
      </vt:variant>
      <vt:variant>
        <vt:i4>6881329</vt:i4>
      </vt:variant>
      <vt:variant>
        <vt:i4>144</vt:i4>
      </vt:variant>
      <vt:variant>
        <vt:i4>0</vt:i4>
      </vt:variant>
      <vt:variant>
        <vt:i4>5</vt:i4>
      </vt:variant>
      <vt:variant>
        <vt:lpwstr>https://www.ipbes.net/global-assessment-report-biodiversity-ecosystem-services</vt:lpwstr>
      </vt:variant>
      <vt:variant>
        <vt:lpwstr/>
      </vt:variant>
      <vt:variant>
        <vt:i4>3866668</vt:i4>
      </vt:variant>
      <vt:variant>
        <vt:i4>141</vt:i4>
      </vt:variant>
      <vt:variant>
        <vt:i4>0</vt:i4>
      </vt:variant>
      <vt:variant>
        <vt:i4>5</vt:i4>
      </vt:variant>
      <vt:variant>
        <vt:lpwstr>https://www.cbd.int/health/ilg-health/default.shtml</vt:lpwstr>
      </vt:variant>
      <vt:variant>
        <vt:lpwstr/>
      </vt:variant>
      <vt:variant>
        <vt:i4>720970</vt:i4>
      </vt:variant>
      <vt:variant>
        <vt:i4>138</vt:i4>
      </vt:variant>
      <vt:variant>
        <vt:i4>0</vt:i4>
      </vt:variant>
      <vt:variant>
        <vt:i4>5</vt:i4>
      </vt:variant>
      <vt:variant>
        <vt:lpwstr>https://www.cbd.int/doc/decisions/cop-14/cop-14-dec-04-en.pdf</vt:lpwstr>
      </vt:variant>
      <vt:variant>
        <vt:lpwstr/>
      </vt:variant>
      <vt:variant>
        <vt:i4>786506</vt:i4>
      </vt:variant>
      <vt:variant>
        <vt:i4>135</vt:i4>
      </vt:variant>
      <vt:variant>
        <vt:i4>0</vt:i4>
      </vt:variant>
      <vt:variant>
        <vt:i4>5</vt:i4>
      </vt:variant>
      <vt:variant>
        <vt:lpwstr>https://www.cbd.int/doc/decisions/cop-14/cop-14-dec-03-en.pdf</vt:lpwstr>
      </vt:variant>
      <vt:variant>
        <vt:lpwstr/>
      </vt:variant>
      <vt:variant>
        <vt:i4>720973</vt:i4>
      </vt:variant>
      <vt:variant>
        <vt:i4>132</vt:i4>
      </vt:variant>
      <vt:variant>
        <vt:i4>0</vt:i4>
      </vt:variant>
      <vt:variant>
        <vt:i4>5</vt:i4>
      </vt:variant>
      <vt:variant>
        <vt:lpwstr>https://www.cbd.int/doc/decisions/cop-13/cop-13-dec-03-en.pdf</vt:lpwstr>
      </vt:variant>
      <vt:variant>
        <vt:lpwstr/>
      </vt:variant>
      <vt:variant>
        <vt:i4>7733296</vt:i4>
      </vt:variant>
      <vt:variant>
        <vt:i4>129</vt:i4>
      </vt:variant>
      <vt:variant>
        <vt:i4>0</vt:i4>
      </vt:variant>
      <vt:variant>
        <vt:i4>5</vt:i4>
      </vt:variant>
      <vt:variant>
        <vt:lpwstr>https://www.cbd.int/doc/decisions/np-mop-02/np-mop-02-dec-12-en.pdf</vt:lpwstr>
      </vt:variant>
      <vt:variant>
        <vt:lpwstr/>
      </vt:variant>
      <vt:variant>
        <vt:i4>6750332</vt:i4>
      </vt:variant>
      <vt:variant>
        <vt:i4>126</vt:i4>
      </vt:variant>
      <vt:variant>
        <vt:i4>0</vt:i4>
      </vt:variant>
      <vt:variant>
        <vt:i4>5</vt:i4>
      </vt:variant>
      <vt:variant>
        <vt:lpwstr>http://bch.cbd.int/protocol/decisions/?decisionID=13540</vt:lpwstr>
      </vt:variant>
      <vt:variant>
        <vt:lpwstr/>
      </vt:variant>
      <vt:variant>
        <vt:i4>917583</vt:i4>
      </vt:variant>
      <vt:variant>
        <vt:i4>123</vt:i4>
      </vt:variant>
      <vt:variant>
        <vt:i4>0</vt:i4>
      </vt:variant>
      <vt:variant>
        <vt:i4>5</vt:i4>
      </vt:variant>
      <vt:variant>
        <vt:lpwstr>https://www.cbd.int/doc/decisions/cop-13/cop-13-dec-26-en.pdf</vt:lpwstr>
      </vt:variant>
      <vt:variant>
        <vt:lpwstr/>
      </vt:variant>
      <vt:variant>
        <vt:i4>6684794</vt:i4>
      </vt:variant>
      <vt:variant>
        <vt:i4>120</vt:i4>
      </vt:variant>
      <vt:variant>
        <vt:i4>0</vt:i4>
      </vt:variant>
      <vt:variant>
        <vt:i4>5</vt:i4>
      </vt:variant>
      <vt:variant>
        <vt:lpwstr>http://bch.cbd.int/protocol/decisions/?decisionID=13356</vt:lpwstr>
      </vt:variant>
      <vt:variant>
        <vt:lpwstr/>
      </vt:variant>
      <vt:variant>
        <vt:i4>7733296</vt:i4>
      </vt:variant>
      <vt:variant>
        <vt:i4>117</vt:i4>
      </vt:variant>
      <vt:variant>
        <vt:i4>0</vt:i4>
      </vt:variant>
      <vt:variant>
        <vt:i4>5</vt:i4>
      </vt:variant>
      <vt:variant>
        <vt:lpwstr>https://www.cbd.int/doc/decisions/np-mop-01/np-mop-01-dec-12-en.pdf</vt:lpwstr>
      </vt:variant>
      <vt:variant>
        <vt:lpwstr/>
      </vt:variant>
      <vt:variant>
        <vt:i4>917582</vt:i4>
      </vt:variant>
      <vt:variant>
        <vt:i4>114</vt:i4>
      </vt:variant>
      <vt:variant>
        <vt:i4>0</vt:i4>
      </vt:variant>
      <vt:variant>
        <vt:i4>5</vt:i4>
      </vt:variant>
      <vt:variant>
        <vt:lpwstr>https://www.cbd.int/doc/decisions/cop-12/cop-12-dec-27-en.pdf</vt:lpwstr>
      </vt:variant>
      <vt:variant>
        <vt:lpwstr/>
      </vt:variant>
      <vt:variant>
        <vt:i4>524367</vt:i4>
      </vt:variant>
      <vt:variant>
        <vt:i4>111</vt:i4>
      </vt:variant>
      <vt:variant>
        <vt:i4>0</vt:i4>
      </vt:variant>
      <vt:variant>
        <vt:i4>5</vt:i4>
      </vt:variant>
      <vt:variant>
        <vt:lpwstr>https://www.cbd.int/doc/decisions/cop-12/cop-12-dec-31-en.pdf</vt:lpwstr>
      </vt:variant>
      <vt:variant>
        <vt:lpwstr/>
      </vt:variant>
      <vt:variant>
        <vt:i4>524360</vt:i4>
      </vt:variant>
      <vt:variant>
        <vt:i4>108</vt:i4>
      </vt:variant>
      <vt:variant>
        <vt:i4>0</vt:i4>
      </vt:variant>
      <vt:variant>
        <vt:i4>5</vt:i4>
      </vt:variant>
      <vt:variant>
        <vt:lpwstr>https://www.cbd.int/doc/decisions/cop-14/cop-14-dec-27-en.pdf</vt:lpwstr>
      </vt:variant>
      <vt:variant>
        <vt:lpwstr/>
      </vt:variant>
      <vt:variant>
        <vt:i4>393288</vt:i4>
      </vt:variant>
      <vt:variant>
        <vt:i4>105</vt:i4>
      </vt:variant>
      <vt:variant>
        <vt:i4>0</vt:i4>
      </vt:variant>
      <vt:variant>
        <vt:i4>5</vt:i4>
      </vt:variant>
      <vt:variant>
        <vt:lpwstr>https://www.cbd.int/doc/decisions/cop-14/cop-14-dec-29-en.pdf</vt:lpwstr>
      </vt:variant>
      <vt:variant>
        <vt:lpwstr/>
      </vt:variant>
      <vt:variant>
        <vt:i4>983113</vt:i4>
      </vt:variant>
      <vt:variant>
        <vt:i4>102</vt:i4>
      </vt:variant>
      <vt:variant>
        <vt:i4>0</vt:i4>
      </vt:variant>
      <vt:variant>
        <vt:i4>5</vt:i4>
      </vt:variant>
      <vt:variant>
        <vt:lpwstr>https://www.cbd.int/doc/decisions/cop-14/cop-14-dec-30-en.pdf</vt:lpwstr>
      </vt:variant>
      <vt:variant>
        <vt:lpwstr/>
      </vt:variant>
      <vt:variant>
        <vt:i4>655439</vt:i4>
      </vt:variant>
      <vt:variant>
        <vt:i4>99</vt:i4>
      </vt:variant>
      <vt:variant>
        <vt:i4>0</vt:i4>
      </vt:variant>
      <vt:variant>
        <vt:i4>5</vt:i4>
      </vt:variant>
      <vt:variant>
        <vt:lpwstr>https://www.cbd.int/doc/decisions/cop-13/cop-13-dec-22-en.pdf</vt:lpwstr>
      </vt:variant>
      <vt:variant>
        <vt:lpwstr/>
      </vt:variant>
      <vt:variant>
        <vt:i4>589896</vt:i4>
      </vt:variant>
      <vt:variant>
        <vt:i4>96</vt:i4>
      </vt:variant>
      <vt:variant>
        <vt:i4>0</vt:i4>
      </vt:variant>
      <vt:variant>
        <vt:i4>5</vt:i4>
      </vt:variant>
      <vt:variant>
        <vt:lpwstr>https://www.cbd.int/doc/decisions/cop-14/cop-14-dec-26-en.pdf</vt:lpwstr>
      </vt:variant>
      <vt:variant>
        <vt:lpwstr/>
      </vt:variant>
      <vt:variant>
        <vt:i4>655432</vt:i4>
      </vt:variant>
      <vt:variant>
        <vt:i4>93</vt:i4>
      </vt:variant>
      <vt:variant>
        <vt:i4>0</vt:i4>
      </vt:variant>
      <vt:variant>
        <vt:i4>5</vt:i4>
      </vt:variant>
      <vt:variant>
        <vt:lpwstr>https://www.cbd.int/doc/decisions/cop-14/cop-14-dec-25-en.pdf</vt:lpwstr>
      </vt:variant>
      <vt:variant>
        <vt:lpwstr/>
      </vt:variant>
      <vt:variant>
        <vt:i4>7798833</vt:i4>
      </vt:variant>
      <vt:variant>
        <vt:i4>90</vt:i4>
      </vt:variant>
      <vt:variant>
        <vt:i4>0</vt:i4>
      </vt:variant>
      <vt:variant>
        <vt:i4>5</vt:i4>
      </vt:variant>
      <vt:variant>
        <vt:lpwstr>https://www.cbd.int/doc/decisions/cp-mop-09/cp-mop-09-dec-03-en.pdf</vt:lpwstr>
      </vt:variant>
      <vt:variant>
        <vt:lpwstr/>
      </vt:variant>
      <vt:variant>
        <vt:i4>7471153</vt:i4>
      </vt:variant>
      <vt:variant>
        <vt:i4>87</vt:i4>
      </vt:variant>
      <vt:variant>
        <vt:i4>0</vt:i4>
      </vt:variant>
      <vt:variant>
        <vt:i4>5</vt:i4>
      </vt:variant>
      <vt:variant>
        <vt:lpwstr>https://www.cbd.int/doc/decisions/np-mop-03/np-mop-03-dec-06-en.pdf</vt:lpwstr>
      </vt:variant>
      <vt:variant>
        <vt:lpwstr/>
      </vt:variant>
      <vt:variant>
        <vt:i4>8192049</vt:i4>
      </vt:variant>
      <vt:variant>
        <vt:i4>84</vt:i4>
      </vt:variant>
      <vt:variant>
        <vt:i4>0</vt:i4>
      </vt:variant>
      <vt:variant>
        <vt:i4>5</vt:i4>
      </vt:variant>
      <vt:variant>
        <vt:lpwstr>https://www.cbd.int/doc/decisions/np-mop-01/np-mop-01-dec-09-en.pdf</vt:lpwstr>
      </vt:variant>
      <vt:variant>
        <vt:lpwstr/>
      </vt:variant>
      <vt:variant>
        <vt:i4>7405617</vt:i4>
      </vt:variant>
      <vt:variant>
        <vt:i4>81</vt:i4>
      </vt:variant>
      <vt:variant>
        <vt:i4>0</vt:i4>
      </vt:variant>
      <vt:variant>
        <vt:i4>5</vt:i4>
      </vt:variant>
      <vt:variant>
        <vt:lpwstr>https://www.cbd.int/doc/decisions/np-mop-03/np-mop-03-dec-05-en.pdf</vt:lpwstr>
      </vt:variant>
      <vt:variant>
        <vt:lpwstr/>
      </vt:variant>
      <vt:variant>
        <vt:i4>6750261</vt:i4>
      </vt:variant>
      <vt:variant>
        <vt:i4>78</vt:i4>
      </vt:variant>
      <vt:variant>
        <vt:i4>0</vt:i4>
      </vt:variant>
      <vt:variant>
        <vt:i4>5</vt:i4>
      </vt:variant>
      <vt:variant>
        <vt:lpwstr>https://sustainabledevelopment.un.org/post2015/transformingourworld</vt:lpwstr>
      </vt:variant>
      <vt:variant>
        <vt:lpwstr/>
      </vt:variant>
      <vt:variant>
        <vt:i4>720968</vt:i4>
      </vt:variant>
      <vt:variant>
        <vt:i4>75</vt:i4>
      </vt:variant>
      <vt:variant>
        <vt:i4>0</vt:i4>
      </vt:variant>
      <vt:variant>
        <vt:i4>5</vt:i4>
      </vt:variant>
      <vt:variant>
        <vt:lpwstr>https://www.cbd.int/doc/decisions/cop-14/cop-14-dec-24-en.pdf</vt:lpwstr>
      </vt:variant>
      <vt:variant>
        <vt:lpwstr/>
      </vt:variant>
      <vt:variant>
        <vt:i4>786504</vt:i4>
      </vt:variant>
      <vt:variant>
        <vt:i4>72</vt:i4>
      </vt:variant>
      <vt:variant>
        <vt:i4>0</vt:i4>
      </vt:variant>
      <vt:variant>
        <vt:i4>5</vt:i4>
      </vt:variant>
      <vt:variant>
        <vt:lpwstr>https://www.cbd.int/doc/decisions/cop-14/cop-14-dec-23-en.pdf</vt:lpwstr>
      </vt:variant>
      <vt:variant>
        <vt:lpwstr/>
      </vt:variant>
      <vt:variant>
        <vt:i4>131143</vt:i4>
      </vt:variant>
      <vt:variant>
        <vt:i4>69</vt:i4>
      </vt:variant>
      <vt:variant>
        <vt:i4>0</vt:i4>
      </vt:variant>
      <vt:variant>
        <vt:i4>5</vt:i4>
      </vt:variant>
      <vt:variant>
        <vt:lpwstr>https://www.cbd.int/doc/decisions/cop-09/cop-09-dec-11-en.pdf</vt:lpwstr>
      </vt:variant>
      <vt:variant>
        <vt:lpwstr/>
      </vt:variant>
      <vt:variant>
        <vt:i4>852040</vt:i4>
      </vt:variant>
      <vt:variant>
        <vt:i4>66</vt:i4>
      </vt:variant>
      <vt:variant>
        <vt:i4>0</vt:i4>
      </vt:variant>
      <vt:variant>
        <vt:i4>5</vt:i4>
      </vt:variant>
      <vt:variant>
        <vt:lpwstr>https://www.cbd.int/doc/decisions/cop-14/cop-14-dec-22-en.pdf</vt:lpwstr>
      </vt:variant>
      <vt:variant>
        <vt:lpwstr/>
      </vt:variant>
      <vt:variant>
        <vt:i4>458759</vt:i4>
      </vt:variant>
      <vt:variant>
        <vt:i4>54</vt:i4>
      </vt:variant>
      <vt:variant>
        <vt:i4>0</vt:i4>
      </vt:variant>
      <vt:variant>
        <vt:i4>5</vt:i4>
      </vt:variant>
      <vt:variant>
        <vt:lpwstr>https://www.cbd.int/doc/c/0128/62b1/e4ded7710fead87860fed08d/wg2020-01-05-en.pdf</vt:lpwstr>
      </vt:variant>
      <vt:variant>
        <vt:lpwstr/>
      </vt:variant>
      <vt:variant>
        <vt:i4>524363</vt:i4>
      </vt:variant>
      <vt:variant>
        <vt:i4>51</vt:i4>
      </vt:variant>
      <vt:variant>
        <vt:i4>0</vt:i4>
      </vt:variant>
      <vt:variant>
        <vt:i4>5</vt:i4>
      </vt:variant>
      <vt:variant>
        <vt:lpwstr>https://www.cbd.int/doc/decisions/cop-14/cop-14-dec-17-en.pdf</vt:lpwstr>
      </vt:variant>
      <vt:variant>
        <vt:lpwstr/>
      </vt:variant>
      <vt:variant>
        <vt:i4>7405616</vt:i4>
      </vt:variant>
      <vt:variant>
        <vt:i4>48</vt:i4>
      </vt:variant>
      <vt:variant>
        <vt:i4>0</vt:i4>
      </vt:variant>
      <vt:variant>
        <vt:i4>5</vt:i4>
      </vt:variant>
      <vt:variant>
        <vt:lpwstr>https://www.cbd.int/doc/decisions/np-mop-03/np-mop-03-dec-15-en.pdf</vt:lpwstr>
      </vt:variant>
      <vt:variant>
        <vt:lpwstr/>
      </vt:variant>
      <vt:variant>
        <vt:i4>7536689</vt:i4>
      </vt:variant>
      <vt:variant>
        <vt:i4>45</vt:i4>
      </vt:variant>
      <vt:variant>
        <vt:i4>0</vt:i4>
      </vt:variant>
      <vt:variant>
        <vt:i4>5</vt:i4>
      </vt:variant>
      <vt:variant>
        <vt:lpwstr>https://www.cbd.int/doc/decisions/cp-mop-09/cp-mop-09-dec-07-en.pdf</vt:lpwstr>
      </vt:variant>
      <vt:variant>
        <vt:lpwstr/>
      </vt:variant>
      <vt:variant>
        <vt:i4>720969</vt:i4>
      </vt:variant>
      <vt:variant>
        <vt:i4>42</vt:i4>
      </vt:variant>
      <vt:variant>
        <vt:i4>0</vt:i4>
      </vt:variant>
      <vt:variant>
        <vt:i4>5</vt:i4>
      </vt:variant>
      <vt:variant>
        <vt:lpwstr>https://www.cbd.int/doc/decisions/cop-14/cop-14-dec-34-en.pdf</vt:lpwstr>
      </vt:variant>
      <vt:variant>
        <vt:lpwstr/>
      </vt:variant>
      <vt:variant>
        <vt:i4>65604</vt:i4>
      </vt:variant>
      <vt:variant>
        <vt:i4>39</vt:i4>
      </vt:variant>
      <vt:variant>
        <vt:i4>0</vt:i4>
      </vt:variant>
      <vt:variant>
        <vt:i4>5</vt:i4>
      </vt:variant>
      <vt:variant>
        <vt:lpwstr>https://www.cbd.int/conferences/post2020</vt:lpwstr>
      </vt:variant>
      <vt:variant>
        <vt:lpwstr/>
      </vt:variant>
      <vt:variant>
        <vt:i4>3801181</vt:i4>
      </vt:variant>
      <vt:variant>
        <vt:i4>36</vt:i4>
      </vt:variant>
      <vt:variant>
        <vt:i4>0</vt:i4>
      </vt:variant>
      <vt:variant>
        <vt:i4>5</vt:i4>
      </vt:variant>
      <vt:variant>
        <vt:lpwstr>https://bch.cbd.int/protocol/issues/cpb_stplan.shtml</vt:lpwstr>
      </vt:variant>
      <vt:variant>
        <vt:lpwstr/>
      </vt:variant>
      <vt:variant>
        <vt:i4>7471153</vt:i4>
      </vt:variant>
      <vt:variant>
        <vt:i4>33</vt:i4>
      </vt:variant>
      <vt:variant>
        <vt:i4>0</vt:i4>
      </vt:variant>
      <vt:variant>
        <vt:i4>5</vt:i4>
      </vt:variant>
      <vt:variant>
        <vt:lpwstr>https://www.cbd.int/doc/decisions/cp-mop-09/cp-mop-09-dec-06-en.pdf</vt:lpwstr>
      </vt:variant>
      <vt:variant>
        <vt:lpwstr/>
      </vt:variant>
      <vt:variant>
        <vt:i4>655433</vt:i4>
      </vt:variant>
      <vt:variant>
        <vt:i4>30</vt:i4>
      </vt:variant>
      <vt:variant>
        <vt:i4>0</vt:i4>
      </vt:variant>
      <vt:variant>
        <vt:i4>5</vt:i4>
      </vt:variant>
      <vt:variant>
        <vt:lpwstr>https://www.cbd.int/doc/decisions/cop-14/cop-14-dec-35-en.pdf</vt:lpwstr>
      </vt:variant>
      <vt:variant>
        <vt:lpwstr/>
      </vt:variant>
      <vt:variant>
        <vt:i4>917578</vt:i4>
      </vt:variant>
      <vt:variant>
        <vt:i4>27</vt:i4>
      </vt:variant>
      <vt:variant>
        <vt:i4>0</vt:i4>
      </vt:variant>
      <vt:variant>
        <vt:i4>5</vt:i4>
      </vt:variant>
      <vt:variant>
        <vt:lpwstr>https://www.cbd.int/doc/decisions/cop-14/cop-14-dec-01-en.pdf</vt:lpwstr>
      </vt:variant>
      <vt:variant>
        <vt:lpwstr/>
      </vt:variant>
      <vt:variant>
        <vt:i4>524367</vt:i4>
      </vt:variant>
      <vt:variant>
        <vt:i4>24</vt:i4>
      </vt:variant>
      <vt:variant>
        <vt:i4>0</vt:i4>
      </vt:variant>
      <vt:variant>
        <vt:i4>5</vt:i4>
      </vt:variant>
      <vt:variant>
        <vt:lpwstr>https://www.cbd.int/doc/decisions/cop-12/cop-12-dec-31-en.pdf</vt:lpwstr>
      </vt:variant>
      <vt:variant>
        <vt:lpwstr/>
      </vt:variant>
      <vt:variant>
        <vt:i4>720966</vt:i4>
      </vt:variant>
      <vt:variant>
        <vt:i4>21</vt:i4>
      </vt:variant>
      <vt:variant>
        <vt:i4>0</vt:i4>
      </vt:variant>
      <vt:variant>
        <vt:i4>5</vt:i4>
      </vt:variant>
      <vt:variant>
        <vt:lpwstr>https://www.cbd.int/doc/decisions/cop-09/cop-09-dec-08-en.pdf</vt:lpwstr>
      </vt:variant>
      <vt:variant>
        <vt:lpwstr/>
      </vt:variant>
      <vt:variant>
        <vt:i4>3473449</vt:i4>
      </vt:variant>
      <vt:variant>
        <vt:i4>18</vt:i4>
      </vt:variant>
      <vt:variant>
        <vt:i4>0</vt:i4>
      </vt:variant>
      <vt:variant>
        <vt:i4>5</vt:i4>
      </vt:variant>
      <vt:variant>
        <vt:lpwstr>https://www.cbd.int/sp/</vt:lpwstr>
      </vt:variant>
      <vt:variant>
        <vt:lpwstr/>
      </vt:variant>
      <vt:variant>
        <vt:i4>589902</vt:i4>
      </vt:variant>
      <vt:variant>
        <vt:i4>15</vt:i4>
      </vt:variant>
      <vt:variant>
        <vt:i4>0</vt:i4>
      </vt:variant>
      <vt:variant>
        <vt:i4>5</vt:i4>
      </vt:variant>
      <vt:variant>
        <vt:lpwstr>https://www.cbd.int/doc/decisions/cop-10/cop-10-dec-02-en.pdf</vt:lpwstr>
      </vt:variant>
      <vt:variant>
        <vt:lpwstr/>
      </vt:variant>
      <vt:variant>
        <vt:i4>5832712</vt:i4>
      </vt:variant>
      <vt:variant>
        <vt:i4>12</vt:i4>
      </vt:variant>
      <vt:variant>
        <vt:i4>0</vt:i4>
      </vt:variant>
      <vt:variant>
        <vt:i4>5</vt:i4>
      </vt:variant>
      <vt:variant>
        <vt:lpwstr>https://www.icao.int/</vt:lpwstr>
      </vt:variant>
      <vt:variant>
        <vt:lpwstr/>
      </vt:variant>
      <vt:variant>
        <vt:i4>852047</vt:i4>
      </vt:variant>
      <vt:variant>
        <vt:i4>9</vt:i4>
      </vt:variant>
      <vt:variant>
        <vt:i4>0</vt:i4>
      </vt:variant>
      <vt:variant>
        <vt:i4>5</vt:i4>
      </vt:variant>
      <vt:variant>
        <vt:lpwstr>https://www.cbd.int/doc/decisions/cop-13/cop-13-dec-25-en.pdf</vt:lpwstr>
      </vt:variant>
      <vt:variant>
        <vt:lpwstr/>
      </vt:variant>
      <vt:variant>
        <vt:i4>7667760</vt:i4>
      </vt:variant>
      <vt:variant>
        <vt:i4>6</vt:i4>
      </vt:variant>
      <vt:variant>
        <vt:i4>0</vt:i4>
      </vt:variant>
      <vt:variant>
        <vt:i4>5</vt:i4>
      </vt:variant>
      <vt:variant>
        <vt:lpwstr>https://www.cbd.int/doc/decisions/np-mop-02/np-mop-02-dec-11-en.pdf</vt:lpwstr>
      </vt:variant>
      <vt:variant>
        <vt:lpwstr/>
      </vt:variant>
      <vt:variant>
        <vt:i4>327753</vt:i4>
      </vt:variant>
      <vt:variant>
        <vt:i4>3</vt:i4>
      </vt:variant>
      <vt:variant>
        <vt:i4>0</vt:i4>
      </vt:variant>
      <vt:variant>
        <vt:i4>5</vt:i4>
      </vt:variant>
      <vt:variant>
        <vt:lpwstr>https://www.cbd.int/doc/decisions/mop-08/mop-08-dec-09-en.pdf</vt:lpwstr>
      </vt:variant>
      <vt:variant>
        <vt:lpwstr/>
      </vt:variant>
      <vt:variant>
        <vt:i4>983118</vt:i4>
      </vt:variant>
      <vt:variant>
        <vt:i4>0</vt:i4>
      </vt:variant>
      <vt:variant>
        <vt:i4>0</vt:i4>
      </vt:variant>
      <vt:variant>
        <vt:i4>5</vt:i4>
      </vt:variant>
      <vt:variant>
        <vt:lpwstr>https://www.cbd.int/doc/decisions/cop-12/cop-12-dec-26-en.pdf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MéCANISME DE FINANCEMENT</dc:title>
  <dc:subject>CBD/SBI/3/6</dc:subject>
  <dc:creator>SCBD</dc:creator>
  <cp:keywords>Subsidiary Body on Implementation, third meeting, Montreal, Canada, 25-30 May 2020, Convention on Biological Diversity</cp:keywords>
  <cp:lastModifiedBy>Louise</cp:lastModifiedBy>
  <cp:revision>14</cp:revision>
  <cp:lastPrinted>2021-02-27T14:12:00Z</cp:lastPrinted>
  <dcterms:created xsi:type="dcterms:W3CDTF">2021-02-25T16:48:00Z</dcterms:created>
  <dcterms:modified xsi:type="dcterms:W3CDTF">2021-02-28T15:53:00Z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