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5395"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7"/>
        <w:gridCol w:w="3947"/>
        <w:gridCol w:w="673"/>
        <w:gridCol w:w="4385"/>
        <w:gridCol w:w="67"/>
      </w:tblGrid>
      <w:tr w:rsidR="009B313A" w:rsidRPr="009C3E84" w14:paraId="2F15BC55" w14:textId="77777777" w:rsidTr="002D6D61">
        <w:trPr>
          <w:gridAfter w:val="1"/>
          <w:wAfter w:w="33" w:type="pct"/>
        </w:trPr>
        <w:tc>
          <w:tcPr>
            <w:tcW w:w="508" w:type="pct"/>
            <w:tcBorders>
              <w:bottom w:val="single" w:sz="12" w:space="0" w:color="auto"/>
            </w:tcBorders>
          </w:tcPr>
          <w:p w14:paraId="451A5BF4" w14:textId="77777777" w:rsidR="00660CB5" w:rsidRPr="009C3E84" w:rsidRDefault="00660CB5" w:rsidP="002A0E0A">
            <w:pPr>
              <w:spacing w:line="276" w:lineRule="auto"/>
              <w:rPr>
                <w:rFonts w:asciiTheme="majorBidi" w:hAnsiTheme="majorBidi" w:cstheme="majorBidi"/>
              </w:rPr>
            </w:pPr>
            <w:r>
              <w:rPr>
                <w:rFonts w:asciiTheme="majorBidi" w:hAnsiTheme="majorBidi"/>
                <w:noProof/>
              </w:rPr>
              <w:drawing>
                <wp:inline distT="0" distB="0" distL="0" distR="0" wp14:anchorId="64AB8762" wp14:editId="2375AA5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54" w:type="pct"/>
            <w:tcBorders>
              <w:bottom w:val="single" w:sz="12" w:space="0" w:color="auto"/>
            </w:tcBorders>
            <w:shd w:val="clear" w:color="auto" w:fill="auto"/>
            <w:tcFitText/>
          </w:tcPr>
          <w:p w14:paraId="1F466B2C" w14:textId="7DD24B13" w:rsidR="00660CB5" w:rsidRPr="009C3E84" w:rsidRDefault="005D6DC3" w:rsidP="002A0E0A">
            <w:pPr>
              <w:spacing w:line="276" w:lineRule="auto"/>
              <w:rPr>
                <w:rFonts w:asciiTheme="majorBidi" w:hAnsiTheme="majorBidi" w:cstheme="majorBidi"/>
              </w:rPr>
            </w:pPr>
            <w:r w:rsidRPr="005D6DC3">
              <w:rPr>
                <w:rFonts w:asciiTheme="majorBidi" w:hAnsiTheme="majorBidi"/>
                <w:noProof/>
              </w:rPr>
              <w:drawing>
                <wp:inline distT="0" distB="0" distL="0" distR="0" wp14:anchorId="07970766" wp14:editId="4C112B74">
                  <wp:extent cx="611015" cy="349151"/>
                  <wp:effectExtent l="0" t="0" r="0" b="0"/>
                  <wp:docPr id="190283922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839223" name="Imagen 1" descr="Forma&#10;&#10;Descripción generada automáticamente con confianza media"/>
                          <pic:cNvPicPr/>
                        </pic:nvPicPr>
                        <pic:blipFill>
                          <a:blip r:embed="rId13"/>
                          <a:stretch>
                            <a:fillRect/>
                          </a:stretch>
                        </pic:blipFill>
                        <pic:spPr>
                          <a:xfrm>
                            <a:off x="0" y="0"/>
                            <a:ext cx="611015" cy="349151"/>
                          </a:xfrm>
                          <a:prstGeom prst="rect">
                            <a:avLst/>
                          </a:prstGeom>
                        </pic:spPr>
                      </pic:pic>
                    </a:graphicData>
                  </a:graphic>
                </wp:inline>
              </w:drawing>
            </w:r>
            <w:r w:rsidR="00660CB5" w:rsidRPr="005D6DC3">
              <w:rPr>
                <w:rFonts w:asciiTheme="majorBidi" w:hAnsiTheme="majorBidi"/>
              </w:rPr>
              <w:t xml:space="preserve"> </w:t>
            </w:r>
          </w:p>
        </w:tc>
        <w:tc>
          <w:tcPr>
            <w:tcW w:w="2504" w:type="pct"/>
            <w:gridSpan w:val="2"/>
            <w:tcBorders>
              <w:bottom w:val="single" w:sz="12" w:space="0" w:color="auto"/>
            </w:tcBorders>
          </w:tcPr>
          <w:p w14:paraId="6B8A2E0E" w14:textId="77777777" w:rsidR="00660CB5" w:rsidRPr="009C3E84" w:rsidRDefault="00660CB5" w:rsidP="00BE771C">
            <w:pPr>
              <w:suppressLineNumbers/>
              <w:suppressAutoHyphens/>
              <w:kinsoku w:val="0"/>
              <w:overflowPunct w:val="0"/>
              <w:autoSpaceDE w:val="0"/>
              <w:autoSpaceDN w:val="0"/>
              <w:jc w:val="right"/>
              <w:rPr>
                <w:rFonts w:asciiTheme="minorBidi" w:hAnsiTheme="minorBidi" w:cstheme="minorBidi"/>
                <w:b/>
                <w:sz w:val="32"/>
                <w:szCs w:val="32"/>
              </w:rPr>
            </w:pPr>
            <w:r>
              <w:rPr>
                <w:rFonts w:asciiTheme="minorBidi" w:hAnsiTheme="minorBidi"/>
                <w:b/>
                <w:snapToGrid w:val="0"/>
                <w:sz w:val="32"/>
              </w:rPr>
              <w:t>CBD</w:t>
            </w:r>
          </w:p>
        </w:tc>
      </w:tr>
      <w:tr w:rsidR="00E3562C" w:rsidRPr="009C3E84" w14:paraId="7A608A6E" w14:textId="77777777" w:rsidTr="00933665">
        <w:tc>
          <w:tcPr>
            <w:tcW w:w="2795" w:type="pct"/>
            <w:gridSpan w:val="3"/>
            <w:tcBorders>
              <w:top w:val="single" w:sz="12" w:space="0" w:color="auto"/>
              <w:bottom w:val="single" w:sz="36" w:space="0" w:color="auto"/>
            </w:tcBorders>
            <w:vAlign w:val="center"/>
          </w:tcPr>
          <w:p w14:paraId="6FE6DC6C" w14:textId="0636D1DE" w:rsidR="00660CB5" w:rsidRPr="009C3E84" w:rsidRDefault="005D6DC3" w:rsidP="002A0E0A">
            <w:pPr>
              <w:spacing w:line="276" w:lineRule="auto"/>
              <w:rPr>
                <w:rFonts w:asciiTheme="majorBidi" w:hAnsiTheme="majorBidi" w:cstheme="majorBidi"/>
              </w:rPr>
            </w:pPr>
            <w:r>
              <w:rPr>
                <w:rFonts w:asciiTheme="majorBidi" w:hAnsiTheme="majorBidi" w:cstheme="majorBidi"/>
                <w:noProof/>
              </w:rPr>
              <w:drawing>
                <wp:inline distT="0" distB="0" distL="0" distR="0" wp14:anchorId="001DF084" wp14:editId="0C24F262">
                  <wp:extent cx="2901948" cy="1066892"/>
                  <wp:effectExtent l="0" t="0" r="0" b="0"/>
                  <wp:docPr id="1122044072"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044072" name="Imagen 2"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tc>
        <w:tc>
          <w:tcPr>
            <w:tcW w:w="2188" w:type="pct"/>
            <w:gridSpan w:val="2"/>
            <w:tcBorders>
              <w:top w:val="single" w:sz="12" w:space="0" w:color="auto"/>
              <w:bottom w:val="single" w:sz="36" w:space="0" w:color="auto"/>
            </w:tcBorders>
          </w:tcPr>
          <w:p w14:paraId="06A30962" w14:textId="77777777" w:rsidR="00660CB5" w:rsidRPr="009C3E84" w:rsidRDefault="00660CB5" w:rsidP="00E373B2">
            <w:pPr>
              <w:spacing w:line="276" w:lineRule="auto"/>
              <w:ind w:left="1474"/>
              <w:rPr>
                <w:rFonts w:asciiTheme="majorBidi" w:hAnsiTheme="majorBidi" w:cstheme="majorBidi"/>
                <w:szCs w:val="22"/>
              </w:rPr>
            </w:pPr>
            <w:r>
              <w:rPr>
                <w:rFonts w:asciiTheme="majorBidi" w:hAnsiTheme="majorBidi"/>
              </w:rPr>
              <w:t>Distr.</w:t>
            </w:r>
          </w:p>
          <w:p w14:paraId="37ABA8AD" w14:textId="50A569B8" w:rsidR="00660CB5" w:rsidRPr="009C3E84" w:rsidRDefault="007F1E4B" w:rsidP="00E373B2">
            <w:pPr>
              <w:spacing w:line="276" w:lineRule="auto"/>
              <w:ind w:left="1474"/>
              <w:rPr>
                <w:rFonts w:asciiTheme="majorBidi" w:hAnsiTheme="majorBidi" w:cstheme="majorBidi"/>
                <w:szCs w:val="22"/>
              </w:rPr>
            </w:pPr>
            <w:r>
              <w:rPr>
                <w:rFonts w:asciiTheme="majorBidi" w:hAnsiTheme="majorBidi"/>
                <w:caps/>
              </w:rPr>
              <w:t>LIMITADA</w:t>
            </w:r>
          </w:p>
          <w:p w14:paraId="4F72D7E7" w14:textId="77777777" w:rsidR="00660CB5" w:rsidRPr="009C3E84" w:rsidRDefault="00660CB5" w:rsidP="00E373B2">
            <w:pPr>
              <w:spacing w:line="276" w:lineRule="auto"/>
              <w:ind w:left="1474"/>
              <w:rPr>
                <w:rFonts w:asciiTheme="majorBidi" w:hAnsiTheme="majorBidi" w:cstheme="majorBidi"/>
                <w:szCs w:val="22"/>
              </w:rPr>
            </w:pPr>
          </w:p>
          <w:p w14:paraId="03D197B5" w14:textId="3DB043F0" w:rsidR="00E3562C" w:rsidRPr="009C3E84" w:rsidRDefault="00000000" w:rsidP="00E373B2">
            <w:pPr>
              <w:ind w:left="1474"/>
              <w:rPr>
                <w:rFonts w:asciiTheme="majorBidi" w:hAnsiTheme="majorBidi" w:cstheme="majorBidi"/>
              </w:rPr>
            </w:pPr>
            <w:sdt>
              <w:sdtPr>
                <w:rPr>
                  <w:rFonts w:asciiTheme="majorBidi" w:hAnsiTheme="majorBidi" w:cstheme="majorBidi"/>
                </w:rPr>
                <w:alias w:val="Subject"/>
                <w:tag w:val=""/>
                <w:id w:val="-519236860"/>
                <w:placeholder>
                  <w:docPart w:val="7819FD1BE09E4923AF80EF4FDE15EC52"/>
                </w:placeholder>
                <w:dataBinding w:prefixMappings="xmlns:ns0='http://purl.org/dc/elements/1.1/' xmlns:ns1='http://schemas.openxmlformats.org/package/2006/metadata/core-properties' " w:xpath="/ns1:coreProperties[1]/ns0:subject[1]" w:storeItemID="{6C3C8BC8-F283-45AE-878A-BAB7291924A1}"/>
                <w:text/>
              </w:sdtPr>
              <w:sdtContent>
                <w:r w:rsidR="005F2581" w:rsidRPr="009C3E84">
                  <w:rPr>
                    <w:rFonts w:asciiTheme="majorBidi" w:hAnsiTheme="majorBidi" w:cstheme="majorBidi"/>
                  </w:rPr>
                  <w:t>CBD/CP/MOP/10/L.1/Rev.2</w:t>
                </w:r>
              </w:sdtContent>
            </w:sdt>
          </w:p>
          <w:p w14:paraId="30A3C7A6" w14:textId="6C3795B0" w:rsidR="00E3562C" w:rsidRPr="009C3E84" w:rsidRDefault="005F2581" w:rsidP="00E373B2">
            <w:pPr>
              <w:ind w:left="1474"/>
              <w:rPr>
                <w:rFonts w:asciiTheme="majorBidi" w:hAnsiTheme="majorBidi" w:cstheme="majorBidi"/>
              </w:rPr>
            </w:pPr>
            <w:r>
              <w:rPr>
                <w:rFonts w:asciiTheme="majorBidi" w:hAnsiTheme="majorBidi"/>
              </w:rPr>
              <w:t>19 de octubre de 2023</w:t>
            </w:r>
          </w:p>
          <w:p w14:paraId="459F4DFA" w14:textId="77777777" w:rsidR="00E3562C" w:rsidRPr="009C3E84" w:rsidRDefault="00E3562C" w:rsidP="00E373B2">
            <w:pPr>
              <w:spacing w:line="276" w:lineRule="auto"/>
              <w:ind w:left="1474"/>
              <w:rPr>
                <w:rFonts w:asciiTheme="majorBidi" w:hAnsiTheme="majorBidi" w:cstheme="majorBidi"/>
                <w:szCs w:val="22"/>
              </w:rPr>
            </w:pPr>
          </w:p>
          <w:p w14:paraId="71E4CF58" w14:textId="77777777" w:rsidR="005D6DC3" w:rsidRDefault="00E3562C" w:rsidP="00E373B2">
            <w:pPr>
              <w:ind w:left="1474"/>
              <w:rPr>
                <w:rFonts w:asciiTheme="majorBidi" w:hAnsiTheme="majorBidi"/>
              </w:rPr>
            </w:pPr>
            <w:r>
              <w:rPr>
                <w:rFonts w:asciiTheme="majorBidi" w:hAnsiTheme="majorBidi"/>
              </w:rPr>
              <w:t>ESPAÑOL</w:t>
            </w:r>
          </w:p>
          <w:p w14:paraId="2F30B370" w14:textId="66B61231" w:rsidR="00E3562C" w:rsidRPr="009C3E84" w:rsidRDefault="00E3562C" w:rsidP="00E373B2">
            <w:pPr>
              <w:ind w:left="1474"/>
              <w:rPr>
                <w:rFonts w:asciiTheme="majorBidi" w:hAnsiTheme="majorBidi" w:cstheme="majorBidi"/>
              </w:rPr>
            </w:pPr>
            <w:r>
              <w:rPr>
                <w:rFonts w:asciiTheme="majorBidi" w:hAnsiTheme="majorBidi"/>
              </w:rPr>
              <w:t>ORIGINAL: INGLÉS</w:t>
            </w:r>
          </w:p>
        </w:tc>
      </w:tr>
    </w:tbl>
    <w:p w14:paraId="221C01DC" w14:textId="75C37AE4" w:rsidR="00E3562C" w:rsidRPr="009C3E84" w:rsidRDefault="00E3562C" w:rsidP="00446233">
      <w:pPr>
        <w:pStyle w:val="Cornernotation"/>
        <w:kinsoku w:val="0"/>
        <w:overflowPunct w:val="0"/>
        <w:autoSpaceDE w:val="0"/>
        <w:autoSpaceDN w:val="0"/>
        <w:spacing w:before="60"/>
        <w:ind w:left="227" w:right="3831" w:hanging="227"/>
        <w:rPr>
          <w:rFonts w:asciiTheme="majorBidi" w:hAnsiTheme="majorBidi" w:cstheme="majorBidi"/>
          <w:snapToGrid w:val="0"/>
          <w:kern w:val="22"/>
        </w:rPr>
      </w:pPr>
      <w:r>
        <w:rPr>
          <w:rFonts w:asciiTheme="majorBidi" w:hAnsiTheme="majorBidi"/>
          <w:snapToGrid w:val="0"/>
        </w:rPr>
        <w:t>CONFERENCIA DE LAS PARTES EN EL CONVENIO SOBRE LA DIVERSIDAD BIOLÓGICA QUE ACTÚA COMO REUNIÓN DE LAS PARTES EN EL PROTOCOLO DE CARTAGENA SOBRE SEGURIDAD DE LA BIOTECNOLOGÍA</w:t>
      </w:r>
    </w:p>
    <w:p w14:paraId="278015D0" w14:textId="5BDF386C" w:rsidR="00E3562C" w:rsidRPr="009C3E84" w:rsidRDefault="00E3562C" w:rsidP="00446233">
      <w:pPr>
        <w:pStyle w:val="Cornernotation"/>
        <w:kinsoku w:val="0"/>
        <w:overflowPunct w:val="0"/>
        <w:autoSpaceDE w:val="0"/>
        <w:autoSpaceDN w:val="0"/>
        <w:ind w:left="0" w:right="3831" w:firstLine="0"/>
        <w:jc w:val="both"/>
        <w:rPr>
          <w:rFonts w:asciiTheme="majorBidi" w:hAnsiTheme="majorBidi" w:cstheme="majorBidi"/>
          <w:snapToGrid w:val="0"/>
          <w:kern w:val="22"/>
        </w:rPr>
      </w:pPr>
      <w:r>
        <w:rPr>
          <w:rFonts w:asciiTheme="majorBidi" w:hAnsiTheme="majorBidi"/>
          <w:snapToGrid w:val="0"/>
        </w:rPr>
        <w:t xml:space="preserve">Décima reunión </w:t>
      </w:r>
      <w:r>
        <w:rPr>
          <w:rFonts w:asciiTheme="majorBidi" w:hAnsiTheme="majorBidi"/>
          <w:snapToGrid w:val="0"/>
        </w:rPr>
        <w:sym w:font="Symbol" w:char="F02D"/>
      </w:r>
      <w:r>
        <w:rPr>
          <w:rFonts w:asciiTheme="majorBidi" w:hAnsiTheme="majorBidi"/>
          <w:snapToGrid w:val="0"/>
        </w:rPr>
        <w:t xml:space="preserve"> Parte II y continuación de la parte II</w:t>
      </w:r>
    </w:p>
    <w:p w14:paraId="391AE2BA" w14:textId="77777777" w:rsidR="00500B6E" w:rsidRPr="009C3E84" w:rsidRDefault="00E3562C" w:rsidP="00446233">
      <w:pPr>
        <w:pStyle w:val="Cornernotation"/>
        <w:kinsoku w:val="0"/>
        <w:overflowPunct w:val="0"/>
        <w:autoSpaceDE w:val="0"/>
        <w:autoSpaceDN w:val="0"/>
        <w:ind w:left="227" w:right="3831" w:hanging="227"/>
        <w:jc w:val="both"/>
        <w:rPr>
          <w:rFonts w:asciiTheme="majorBidi" w:hAnsiTheme="majorBidi" w:cstheme="majorBidi"/>
          <w:snapToGrid w:val="0"/>
          <w:kern w:val="22"/>
        </w:rPr>
      </w:pPr>
      <w:r>
        <w:rPr>
          <w:rFonts w:asciiTheme="majorBidi" w:hAnsiTheme="majorBidi"/>
          <w:snapToGrid w:val="0"/>
        </w:rPr>
        <w:t>Montreal (Canadá), 7 a 19 de diciembre de 2022</w:t>
      </w:r>
    </w:p>
    <w:p w14:paraId="1BDB827A" w14:textId="4A1548EA" w:rsidR="00E3562C" w:rsidRPr="009C3E84" w:rsidRDefault="00500B6E" w:rsidP="00446233">
      <w:pPr>
        <w:pStyle w:val="Cornernotation"/>
        <w:kinsoku w:val="0"/>
        <w:overflowPunct w:val="0"/>
        <w:autoSpaceDE w:val="0"/>
        <w:autoSpaceDN w:val="0"/>
        <w:ind w:left="227" w:right="3831" w:hanging="227"/>
        <w:jc w:val="both"/>
        <w:rPr>
          <w:rFonts w:asciiTheme="majorBidi" w:hAnsiTheme="majorBidi" w:cstheme="majorBidi"/>
          <w:szCs w:val="22"/>
        </w:rPr>
      </w:pPr>
      <w:r>
        <w:rPr>
          <w:rFonts w:asciiTheme="majorBidi" w:hAnsiTheme="majorBidi"/>
          <w:snapToGrid w:val="0"/>
        </w:rPr>
        <w:t>Nairobi, 19 y 20 de octubre de 2023</w:t>
      </w:r>
    </w:p>
    <w:p w14:paraId="3A2EF13A" w14:textId="76FC0A1E" w:rsidR="00E3562C" w:rsidRPr="009C3E84" w:rsidRDefault="00E3562C" w:rsidP="002D6D61">
      <w:pPr>
        <w:pStyle w:val="Cornernotation"/>
        <w:kinsoku w:val="0"/>
        <w:overflowPunct w:val="0"/>
        <w:autoSpaceDE w:val="0"/>
        <w:autoSpaceDN w:val="0"/>
        <w:ind w:right="3831"/>
        <w:jc w:val="both"/>
        <w:rPr>
          <w:rFonts w:asciiTheme="majorBidi" w:hAnsiTheme="majorBidi" w:cstheme="majorBidi"/>
          <w:snapToGrid w:val="0"/>
          <w:kern w:val="22"/>
          <w:szCs w:val="22"/>
        </w:rPr>
      </w:pPr>
      <w:r>
        <w:rPr>
          <w:rFonts w:asciiTheme="majorBidi" w:hAnsiTheme="majorBidi"/>
          <w:snapToGrid w:val="0"/>
        </w:rPr>
        <w:t xml:space="preserve">Tema 19 del programa </w:t>
      </w:r>
    </w:p>
    <w:p w14:paraId="3CE47D64" w14:textId="63B407C3" w:rsidR="00E3562C" w:rsidRPr="009C3E84" w:rsidRDefault="00E3562C" w:rsidP="006915F6">
      <w:pPr>
        <w:kinsoku w:val="0"/>
        <w:overflowPunct w:val="0"/>
        <w:autoSpaceDE w:val="0"/>
        <w:autoSpaceDN w:val="0"/>
        <w:spacing w:before="120" w:after="240"/>
        <w:jc w:val="center"/>
        <w:rPr>
          <w:rFonts w:asciiTheme="majorBidi" w:hAnsiTheme="majorBidi" w:cstheme="majorBidi"/>
          <w:b/>
          <w:bCs/>
          <w:caps/>
          <w:snapToGrid w:val="0"/>
          <w:kern w:val="22"/>
        </w:rPr>
      </w:pPr>
      <w:r>
        <w:rPr>
          <w:b/>
        </w:rPr>
        <w:t>PROYECTO DE INFORME DE LA SEGUNDA PARTE DE LA REUNIÓN</w:t>
      </w:r>
    </w:p>
    <w:p w14:paraId="474B0763" w14:textId="417FF496" w:rsidR="00E3562C" w:rsidRPr="009C3E84" w:rsidRDefault="00E3562C" w:rsidP="00012BEA">
      <w:pPr>
        <w:kinsoku w:val="0"/>
        <w:overflowPunct w:val="0"/>
        <w:autoSpaceDE w:val="0"/>
        <w:autoSpaceDN w:val="0"/>
        <w:spacing w:before="120" w:after="240"/>
        <w:jc w:val="center"/>
        <w:rPr>
          <w:rFonts w:asciiTheme="majorBidi" w:hAnsiTheme="majorBidi" w:cstheme="majorBidi"/>
          <w:i/>
          <w:iCs/>
          <w:caps/>
          <w:snapToGrid w:val="0"/>
          <w:kern w:val="22"/>
        </w:rPr>
      </w:pPr>
      <w:r>
        <w:rPr>
          <w:rFonts w:asciiTheme="majorBidi" w:hAnsiTheme="majorBidi"/>
          <w:i/>
          <w:snapToGrid w:val="0"/>
        </w:rPr>
        <w:t>Relatora:</w:t>
      </w:r>
      <w:r>
        <w:rPr>
          <w:rFonts w:asciiTheme="majorBidi" w:hAnsiTheme="majorBidi"/>
          <w:i/>
          <w:caps/>
          <w:snapToGrid w:val="0"/>
        </w:rPr>
        <w:t xml:space="preserve"> </w:t>
      </w:r>
      <w:r>
        <w:rPr>
          <w:rFonts w:asciiTheme="majorBidi" w:hAnsiTheme="majorBidi"/>
          <w:i/>
          <w:snapToGrid w:val="0"/>
        </w:rPr>
        <w:t>Elvana Ramaj (Albania) (para la segunda parte de la reunión) y</w:t>
      </w:r>
      <w:r>
        <w:rPr>
          <w:rFonts w:asciiTheme="majorBidi" w:hAnsiTheme="majorBidi"/>
          <w:i/>
          <w:snapToGrid w:val="0"/>
        </w:rPr>
        <w:br/>
        <w:t>Leina el-Awadhi (Kuwait) (para la continuación de la segunda parte de la reunión)</w:t>
      </w:r>
    </w:p>
    <w:p w14:paraId="0486A22E" w14:textId="4222ACC6" w:rsidR="00E3562C" w:rsidRPr="009C3E84" w:rsidRDefault="00E3562C" w:rsidP="00012BEA">
      <w:pPr>
        <w:kinsoku w:val="0"/>
        <w:overflowPunct w:val="0"/>
        <w:autoSpaceDE w:val="0"/>
        <w:autoSpaceDN w:val="0"/>
        <w:spacing w:before="120" w:after="240"/>
        <w:jc w:val="center"/>
        <w:rPr>
          <w:rFonts w:asciiTheme="majorBidi" w:hAnsiTheme="majorBidi" w:cstheme="majorBidi"/>
          <w:b/>
          <w:bCs/>
          <w:caps/>
          <w:snapToGrid w:val="0"/>
          <w:kern w:val="22"/>
        </w:rPr>
      </w:pPr>
      <w:r>
        <w:rPr>
          <w:rFonts w:asciiTheme="majorBidi" w:hAnsiTheme="majorBidi"/>
          <w:b/>
          <w:caps/>
          <w:snapToGrid w:val="0"/>
        </w:rPr>
        <w:t>INTRODUCCIÓN</w:t>
      </w:r>
    </w:p>
    <w:p w14:paraId="4C711839" w14:textId="77777777" w:rsidR="00E3562C" w:rsidRPr="009C3E84" w:rsidRDefault="00E3562C" w:rsidP="00ED6C5E">
      <w:pPr>
        <w:pStyle w:val="Ttulo2"/>
        <w:rPr>
          <w:i w:val="0"/>
          <w:iCs w:val="0"/>
        </w:rPr>
      </w:pPr>
      <w:bookmarkStart w:id="0" w:name="_Hlk121908993"/>
      <w:r>
        <w:rPr>
          <w:i w:val="0"/>
        </w:rPr>
        <w:t>A.</w:t>
      </w:r>
      <w:r>
        <w:rPr>
          <w:i w:val="0"/>
        </w:rPr>
        <w:tab/>
        <w:t>Antecedentes</w:t>
      </w:r>
    </w:p>
    <w:p w14:paraId="3F5B15CE" w14:textId="40A9B906" w:rsidR="00E3562C" w:rsidRPr="009C3E84" w:rsidRDefault="00E3562C" w:rsidP="009678B5">
      <w:pPr>
        <w:pStyle w:val="Para1"/>
      </w:pPr>
      <w:r>
        <w:t>La Conferencia de las Partes que actúa como reunión de las Partes en el Protocolo de Cartagena sobre Seguridad de la Biotecnología del Convenio sobre la Diversidad Biológica celebró su 10ª reunión conjuntamente con la 15ª reunión de la Conferencia de las Partes en el Convenio y la 4ª reunión de la Conferencia de las Partes que actúa como reunión de las Partes en el Protocolo de Nagoya sobre Acceso a los Recursos Genéticos y Participación Justa y Equitativa en los Beneficios que se Deriven de su Utilización.</w:t>
      </w:r>
    </w:p>
    <w:p w14:paraId="5E92763D" w14:textId="0D4DC9C5" w:rsidR="007E78C0" w:rsidRPr="009C3E84" w:rsidRDefault="00E3562C" w:rsidP="009678B5">
      <w:pPr>
        <w:pStyle w:val="Para1"/>
      </w:pPr>
      <w:r>
        <w:t xml:space="preserve">Debido a las circunstancias que rodearon la pandemia de enfermedad por coronavirus (COVID-19), la reunión se celebró en dos partes. La primera parte se celebró en línea, con una participación presencial limitada, en Kunming (China), los días 12 y 13 de octubre de 2021. La segunda parte se celebró en forma presencial. Comenzó en Montreal (Canadá) el 7 de diciembre de 2022, se suspendió el 19 de diciembre de 2022, se reanudó en Nairobi el 19 de octubre de 2023 y se clausuró el 20 de octubre de 2023. </w:t>
      </w:r>
    </w:p>
    <w:p w14:paraId="24604C91" w14:textId="0509A884" w:rsidR="00E3562C" w:rsidRPr="009C3E84" w:rsidRDefault="00E3562C" w:rsidP="009678B5">
      <w:pPr>
        <w:pStyle w:val="Para1"/>
        <w:rPr>
          <w:rFonts w:asciiTheme="majorBidi" w:hAnsiTheme="majorBidi" w:cstheme="majorBidi"/>
          <w:bCs/>
        </w:rPr>
      </w:pPr>
      <w:r>
        <w:t>El presente informe contiene las deliberaciones de la segunda parte de la reunión.</w:t>
      </w:r>
      <w:bookmarkEnd w:id="0"/>
      <w:r w:rsidRPr="009C3E84">
        <w:rPr>
          <w:rStyle w:val="Refdenotaalpie"/>
          <w:sz w:val="20"/>
          <w:szCs w:val="20"/>
          <w:u w:val="none"/>
          <w:vertAlign w:val="superscript"/>
        </w:rPr>
        <w:footnoteReference w:id="2"/>
      </w:r>
      <w:r>
        <w:t xml:space="preserve"> </w:t>
      </w:r>
    </w:p>
    <w:p w14:paraId="1D66159E" w14:textId="0B7CDE93" w:rsidR="00E3562C" w:rsidRPr="009C3E84" w:rsidRDefault="00E3562C" w:rsidP="009678B5">
      <w:pPr>
        <w:pStyle w:val="Para1"/>
        <w:rPr>
          <w:rFonts w:asciiTheme="majorBidi" w:hAnsiTheme="majorBidi" w:cstheme="majorBidi"/>
          <w:bCs/>
        </w:rPr>
      </w:pPr>
      <w:r>
        <w:t>La segunda parte de la reunión estuvo precedida de una bienvenida ceremonial del Jefe Tradicional de la Nación Onondaga, Tadodaho Sid Hill, seguida de declaraciones del Primer Ministro del Canadá, Justin Trudeau, el Secretario General de las Naciones Unidas, el Ministro de Ecología y Medio Ambiente de China y Presidente de la 15ª reunión de la Conferencia de las Partes en el Convenio, Huang Runqiu, el Primer Ministro de Quebec, François Legault, la Alcaldesa de Montreal, Valérie Plante, y el Alcalde de Kunming, Liu Jiachen, así como de una presentación cultural, el 6 de diciembre de 2022.</w:t>
      </w:r>
    </w:p>
    <w:p w14:paraId="1F7F0B67" w14:textId="50737675" w:rsidR="00E3562C" w:rsidRPr="009C3E84" w:rsidRDefault="00E3562C" w:rsidP="00ED6C5E">
      <w:pPr>
        <w:pStyle w:val="Ttulo2"/>
        <w:rPr>
          <w:i w:val="0"/>
          <w:iCs w:val="0"/>
        </w:rPr>
      </w:pPr>
      <w:bookmarkStart w:id="1" w:name="_Hlk121909316"/>
      <w:r>
        <w:rPr>
          <w:i w:val="0"/>
        </w:rPr>
        <w:lastRenderedPageBreak/>
        <w:t>B.</w:t>
      </w:r>
      <w:r>
        <w:rPr>
          <w:i w:val="0"/>
        </w:rPr>
        <w:tab/>
        <w:t>Asistentes</w:t>
      </w:r>
    </w:p>
    <w:p w14:paraId="680FFFC2" w14:textId="572232A8" w:rsidR="00E3562C" w:rsidRPr="009C3E84" w:rsidRDefault="00E3562C" w:rsidP="009678B5">
      <w:pPr>
        <w:pStyle w:val="Para1"/>
      </w:pPr>
      <w:r>
        <w:t>Se invitó a todos los Estados a participar en la segunda parte de la reunión. Asistieron las siguientes Partes en el Protocolo de Cartagena: [se actualizará]</w:t>
      </w:r>
    </w:p>
    <w:p w14:paraId="52B9A0D6" w14:textId="77777777" w:rsidR="00E3562C" w:rsidRPr="009C3E84" w:rsidRDefault="00E3562C" w:rsidP="009865BF">
      <w:pPr>
        <w:pStyle w:val="Para1"/>
        <w:numPr>
          <w:ilvl w:val="0"/>
          <w:numId w:val="0"/>
        </w:numPr>
        <w:spacing w:before="0" w:after="0"/>
        <w:jc w:val="left"/>
        <w:sectPr w:rsidR="00E3562C" w:rsidRPr="009C3E84" w:rsidSect="00793C34">
          <w:headerReference w:type="even" r:id="rId15"/>
          <w:headerReference w:type="default" r:id="rId16"/>
          <w:type w:val="continuous"/>
          <w:pgSz w:w="12240" w:h="15840"/>
          <w:pgMar w:top="1021" w:right="1440" w:bottom="1021" w:left="1440" w:header="459" w:footer="720" w:gutter="0"/>
          <w:cols w:space="708"/>
          <w:titlePg/>
          <w:docGrid w:linePitch="360"/>
        </w:sectPr>
      </w:pPr>
    </w:p>
    <w:p w14:paraId="01D9585D" w14:textId="77777777" w:rsidR="005D6DC3" w:rsidRPr="004259FB" w:rsidRDefault="005D6DC3" w:rsidP="009865BF">
      <w:pPr>
        <w:pStyle w:val="Para1"/>
        <w:numPr>
          <w:ilvl w:val="0"/>
          <w:numId w:val="0"/>
        </w:numPr>
        <w:spacing w:before="0" w:after="0"/>
        <w:ind w:left="142" w:hanging="142"/>
        <w:jc w:val="left"/>
      </w:pPr>
      <w:r>
        <w:t>Albania</w:t>
      </w:r>
    </w:p>
    <w:p w14:paraId="0A1F85FC" w14:textId="77777777" w:rsidR="005D6DC3" w:rsidRPr="004259FB" w:rsidRDefault="005D6DC3" w:rsidP="009865BF">
      <w:pPr>
        <w:pStyle w:val="Para1"/>
        <w:numPr>
          <w:ilvl w:val="0"/>
          <w:numId w:val="0"/>
        </w:numPr>
        <w:spacing w:before="0" w:after="0"/>
        <w:ind w:left="142" w:hanging="142"/>
        <w:jc w:val="left"/>
      </w:pPr>
      <w:r>
        <w:t>Alemania</w:t>
      </w:r>
    </w:p>
    <w:p w14:paraId="7663CFBD" w14:textId="77777777" w:rsidR="005D6DC3" w:rsidRPr="004259FB" w:rsidRDefault="005D6DC3" w:rsidP="009865BF">
      <w:pPr>
        <w:pStyle w:val="Para1"/>
        <w:numPr>
          <w:ilvl w:val="0"/>
          <w:numId w:val="0"/>
        </w:numPr>
        <w:spacing w:before="0" w:after="0"/>
        <w:ind w:left="142" w:hanging="142"/>
        <w:jc w:val="left"/>
      </w:pPr>
      <w:r>
        <w:t>Angola</w:t>
      </w:r>
    </w:p>
    <w:p w14:paraId="6E258986" w14:textId="77777777" w:rsidR="005D6DC3" w:rsidRPr="004259FB" w:rsidRDefault="005D6DC3" w:rsidP="009865BF">
      <w:pPr>
        <w:pStyle w:val="Para1"/>
        <w:numPr>
          <w:ilvl w:val="0"/>
          <w:numId w:val="0"/>
        </w:numPr>
        <w:spacing w:before="0" w:after="0"/>
        <w:ind w:left="142" w:hanging="142"/>
        <w:jc w:val="left"/>
      </w:pPr>
      <w:r>
        <w:t>Antigua y Barbuda</w:t>
      </w:r>
    </w:p>
    <w:p w14:paraId="3119BEC2" w14:textId="77777777" w:rsidR="005D6DC3" w:rsidRPr="004259FB" w:rsidRDefault="005D6DC3" w:rsidP="009865BF">
      <w:pPr>
        <w:pStyle w:val="Para1"/>
        <w:numPr>
          <w:ilvl w:val="0"/>
          <w:numId w:val="0"/>
        </w:numPr>
        <w:spacing w:before="0" w:after="0"/>
        <w:ind w:left="142" w:hanging="142"/>
        <w:jc w:val="left"/>
      </w:pPr>
      <w:r>
        <w:t>Arabia Saudita</w:t>
      </w:r>
    </w:p>
    <w:p w14:paraId="43B7F3AA" w14:textId="77777777" w:rsidR="005D6DC3" w:rsidRPr="004259FB" w:rsidRDefault="005D6DC3" w:rsidP="009865BF">
      <w:pPr>
        <w:pStyle w:val="Para1"/>
        <w:numPr>
          <w:ilvl w:val="0"/>
          <w:numId w:val="0"/>
        </w:numPr>
        <w:spacing w:before="0" w:after="0"/>
        <w:ind w:left="142" w:hanging="142"/>
        <w:jc w:val="left"/>
      </w:pPr>
      <w:r>
        <w:t>Argelia</w:t>
      </w:r>
    </w:p>
    <w:p w14:paraId="030B9CC6" w14:textId="77777777" w:rsidR="005D6DC3" w:rsidRPr="004259FB" w:rsidRDefault="005D6DC3" w:rsidP="009865BF">
      <w:pPr>
        <w:pStyle w:val="Para1"/>
        <w:numPr>
          <w:ilvl w:val="0"/>
          <w:numId w:val="0"/>
        </w:numPr>
        <w:spacing w:before="0" w:after="0"/>
        <w:ind w:left="142" w:hanging="142"/>
        <w:jc w:val="left"/>
      </w:pPr>
      <w:r>
        <w:t>Armenia</w:t>
      </w:r>
    </w:p>
    <w:p w14:paraId="6F8A0D80" w14:textId="77777777" w:rsidR="005D6DC3" w:rsidRPr="004259FB" w:rsidRDefault="005D6DC3" w:rsidP="009865BF">
      <w:pPr>
        <w:pStyle w:val="Para1"/>
        <w:numPr>
          <w:ilvl w:val="0"/>
          <w:numId w:val="0"/>
        </w:numPr>
        <w:spacing w:before="0" w:after="0"/>
        <w:ind w:left="142" w:hanging="142"/>
        <w:jc w:val="left"/>
      </w:pPr>
      <w:r>
        <w:t>Austria</w:t>
      </w:r>
    </w:p>
    <w:p w14:paraId="1E34E2D6" w14:textId="77777777" w:rsidR="005D6DC3" w:rsidRPr="004259FB" w:rsidRDefault="005D6DC3" w:rsidP="009865BF">
      <w:pPr>
        <w:pStyle w:val="Para1"/>
        <w:numPr>
          <w:ilvl w:val="0"/>
          <w:numId w:val="0"/>
        </w:numPr>
        <w:spacing w:before="0" w:after="0"/>
        <w:ind w:left="142" w:hanging="142"/>
        <w:jc w:val="left"/>
      </w:pPr>
      <w:r>
        <w:t>Azerbaiyán</w:t>
      </w:r>
    </w:p>
    <w:p w14:paraId="6DEEF58B" w14:textId="77777777" w:rsidR="005D6DC3" w:rsidRPr="004259FB" w:rsidRDefault="005D6DC3" w:rsidP="009865BF">
      <w:pPr>
        <w:pStyle w:val="Para1"/>
        <w:numPr>
          <w:ilvl w:val="0"/>
          <w:numId w:val="0"/>
        </w:numPr>
        <w:spacing w:before="0" w:after="0"/>
        <w:ind w:left="142" w:hanging="142"/>
        <w:jc w:val="left"/>
      </w:pPr>
      <w:r>
        <w:t>Bahamas</w:t>
      </w:r>
    </w:p>
    <w:p w14:paraId="034ED27B" w14:textId="77777777" w:rsidR="005D6DC3" w:rsidRPr="004259FB" w:rsidRDefault="005D6DC3" w:rsidP="009865BF">
      <w:pPr>
        <w:pStyle w:val="Para1"/>
        <w:numPr>
          <w:ilvl w:val="0"/>
          <w:numId w:val="0"/>
        </w:numPr>
        <w:spacing w:before="0" w:after="0"/>
        <w:ind w:left="142" w:hanging="142"/>
        <w:jc w:val="left"/>
      </w:pPr>
      <w:r>
        <w:t>Bahrein</w:t>
      </w:r>
    </w:p>
    <w:p w14:paraId="01ED6B44" w14:textId="77777777" w:rsidR="005D6DC3" w:rsidRPr="004259FB" w:rsidRDefault="005D6DC3" w:rsidP="009865BF">
      <w:pPr>
        <w:pStyle w:val="Para1"/>
        <w:numPr>
          <w:ilvl w:val="0"/>
          <w:numId w:val="0"/>
        </w:numPr>
        <w:spacing w:before="0" w:after="0"/>
        <w:ind w:left="142" w:hanging="142"/>
        <w:jc w:val="left"/>
      </w:pPr>
      <w:r>
        <w:t>Bangladesh</w:t>
      </w:r>
    </w:p>
    <w:p w14:paraId="0C38B420" w14:textId="77777777" w:rsidR="005D6DC3" w:rsidRPr="004259FB" w:rsidRDefault="005D6DC3" w:rsidP="009865BF">
      <w:pPr>
        <w:pStyle w:val="Para1"/>
        <w:numPr>
          <w:ilvl w:val="0"/>
          <w:numId w:val="0"/>
        </w:numPr>
        <w:spacing w:before="0" w:after="0"/>
        <w:ind w:left="142" w:hanging="142"/>
        <w:jc w:val="left"/>
      </w:pPr>
      <w:r>
        <w:t>Barbados</w:t>
      </w:r>
    </w:p>
    <w:p w14:paraId="7662DE5F" w14:textId="77777777" w:rsidR="005D6DC3" w:rsidRPr="009C3E84" w:rsidRDefault="005D6DC3" w:rsidP="009865BF">
      <w:pPr>
        <w:pStyle w:val="Para1"/>
        <w:numPr>
          <w:ilvl w:val="0"/>
          <w:numId w:val="0"/>
        </w:numPr>
        <w:spacing w:before="0" w:after="0"/>
        <w:ind w:left="142" w:hanging="142"/>
        <w:jc w:val="left"/>
      </w:pPr>
      <w:r>
        <w:t>Belarús</w:t>
      </w:r>
    </w:p>
    <w:p w14:paraId="49F9E847" w14:textId="77777777" w:rsidR="005D6DC3" w:rsidRPr="009C3E84" w:rsidRDefault="005D6DC3" w:rsidP="009865BF">
      <w:pPr>
        <w:pStyle w:val="Para1"/>
        <w:numPr>
          <w:ilvl w:val="0"/>
          <w:numId w:val="0"/>
        </w:numPr>
        <w:spacing w:before="0" w:after="0"/>
        <w:ind w:left="142" w:hanging="142"/>
        <w:jc w:val="left"/>
      </w:pPr>
      <w:r>
        <w:t>Bélgica</w:t>
      </w:r>
    </w:p>
    <w:p w14:paraId="1350C6AF" w14:textId="77777777" w:rsidR="005D6DC3" w:rsidRPr="009C3E84" w:rsidRDefault="005D6DC3" w:rsidP="009865BF">
      <w:pPr>
        <w:pStyle w:val="Para1"/>
        <w:numPr>
          <w:ilvl w:val="0"/>
          <w:numId w:val="0"/>
        </w:numPr>
        <w:spacing w:before="0" w:after="0"/>
        <w:ind w:left="142" w:hanging="142"/>
        <w:jc w:val="left"/>
      </w:pPr>
      <w:r>
        <w:t>Belice</w:t>
      </w:r>
    </w:p>
    <w:p w14:paraId="1CE2E7B7" w14:textId="77777777" w:rsidR="005D6DC3" w:rsidRPr="009C3E84" w:rsidRDefault="005D6DC3" w:rsidP="009865BF">
      <w:pPr>
        <w:pStyle w:val="Para1"/>
        <w:numPr>
          <w:ilvl w:val="0"/>
          <w:numId w:val="0"/>
        </w:numPr>
        <w:spacing w:before="0" w:after="0"/>
        <w:ind w:left="142" w:hanging="142"/>
        <w:jc w:val="left"/>
      </w:pPr>
      <w:r>
        <w:t>Benin</w:t>
      </w:r>
    </w:p>
    <w:p w14:paraId="47E01D8A" w14:textId="77777777" w:rsidR="005D6DC3" w:rsidRPr="009C3E84" w:rsidRDefault="005D6DC3" w:rsidP="009865BF">
      <w:pPr>
        <w:pStyle w:val="Para1"/>
        <w:numPr>
          <w:ilvl w:val="0"/>
          <w:numId w:val="0"/>
        </w:numPr>
        <w:spacing w:before="0" w:after="0"/>
        <w:ind w:left="142" w:hanging="142"/>
        <w:jc w:val="left"/>
      </w:pPr>
      <w:r>
        <w:t>Bhután</w:t>
      </w:r>
    </w:p>
    <w:p w14:paraId="7BDA0A99" w14:textId="77777777" w:rsidR="005D6DC3" w:rsidRPr="009C3E84" w:rsidRDefault="005D6DC3" w:rsidP="009865BF">
      <w:pPr>
        <w:pStyle w:val="Para1"/>
        <w:numPr>
          <w:ilvl w:val="0"/>
          <w:numId w:val="0"/>
        </w:numPr>
        <w:spacing w:before="0" w:after="0"/>
        <w:ind w:left="142" w:hanging="142"/>
        <w:jc w:val="left"/>
      </w:pPr>
      <w:r>
        <w:t>Bolivia (Estado Plurinacional de)</w:t>
      </w:r>
    </w:p>
    <w:p w14:paraId="76D59D1E" w14:textId="77777777" w:rsidR="005D6DC3" w:rsidRPr="004259FB" w:rsidRDefault="005D6DC3" w:rsidP="009865BF">
      <w:pPr>
        <w:pStyle w:val="Para1"/>
        <w:numPr>
          <w:ilvl w:val="0"/>
          <w:numId w:val="0"/>
        </w:numPr>
        <w:spacing w:before="0" w:after="0"/>
        <w:ind w:left="142" w:hanging="142"/>
        <w:jc w:val="left"/>
      </w:pPr>
      <w:r>
        <w:t>Bosnia y Herzegovina</w:t>
      </w:r>
    </w:p>
    <w:p w14:paraId="7BF98CBE" w14:textId="77777777" w:rsidR="005D6DC3" w:rsidRPr="004259FB" w:rsidRDefault="005D6DC3" w:rsidP="009865BF">
      <w:pPr>
        <w:pStyle w:val="Para1"/>
        <w:numPr>
          <w:ilvl w:val="0"/>
          <w:numId w:val="0"/>
        </w:numPr>
        <w:spacing w:before="0" w:after="0"/>
        <w:ind w:left="142" w:hanging="142"/>
        <w:jc w:val="left"/>
      </w:pPr>
      <w:r>
        <w:t>Botswana</w:t>
      </w:r>
    </w:p>
    <w:p w14:paraId="2F99572D" w14:textId="77777777" w:rsidR="005D6DC3" w:rsidRPr="004259FB" w:rsidRDefault="005D6DC3" w:rsidP="009865BF">
      <w:pPr>
        <w:pStyle w:val="Para1"/>
        <w:numPr>
          <w:ilvl w:val="0"/>
          <w:numId w:val="0"/>
        </w:numPr>
        <w:spacing w:before="0" w:after="0"/>
        <w:ind w:left="142" w:hanging="142"/>
        <w:jc w:val="left"/>
      </w:pPr>
      <w:r>
        <w:t>Brasil</w:t>
      </w:r>
    </w:p>
    <w:p w14:paraId="28B22075" w14:textId="77777777" w:rsidR="005D6DC3" w:rsidRPr="004259FB" w:rsidRDefault="005D6DC3" w:rsidP="009865BF">
      <w:pPr>
        <w:pStyle w:val="Para1"/>
        <w:numPr>
          <w:ilvl w:val="0"/>
          <w:numId w:val="0"/>
        </w:numPr>
        <w:spacing w:before="0" w:after="0"/>
        <w:ind w:left="142" w:hanging="142"/>
        <w:jc w:val="left"/>
      </w:pPr>
      <w:r>
        <w:t>Bulgaria</w:t>
      </w:r>
    </w:p>
    <w:p w14:paraId="5493EA71" w14:textId="77777777" w:rsidR="005D6DC3" w:rsidRPr="004259FB" w:rsidRDefault="005D6DC3" w:rsidP="009865BF">
      <w:pPr>
        <w:pStyle w:val="Para1"/>
        <w:numPr>
          <w:ilvl w:val="0"/>
          <w:numId w:val="0"/>
        </w:numPr>
        <w:spacing w:before="0" w:after="0"/>
        <w:ind w:left="142" w:hanging="142"/>
        <w:jc w:val="left"/>
      </w:pPr>
      <w:r>
        <w:t>Burkina Faso</w:t>
      </w:r>
    </w:p>
    <w:p w14:paraId="4995C4E5" w14:textId="77777777" w:rsidR="005D6DC3" w:rsidRPr="004259FB" w:rsidRDefault="005D6DC3" w:rsidP="009865BF">
      <w:pPr>
        <w:pStyle w:val="Para1"/>
        <w:numPr>
          <w:ilvl w:val="0"/>
          <w:numId w:val="0"/>
        </w:numPr>
        <w:spacing w:before="0" w:after="0"/>
        <w:ind w:left="142" w:hanging="142"/>
        <w:jc w:val="left"/>
      </w:pPr>
      <w:r>
        <w:t>Burundi</w:t>
      </w:r>
    </w:p>
    <w:p w14:paraId="11AF68D9" w14:textId="77777777" w:rsidR="005D6DC3" w:rsidRPr="004259FB" w:rsidRDefault="005D6DC3" w:rsidP="009865BF">
      <w:pPr>
        <w:pStyle w:val="Para1"/>
        <w:numPr>
          <w:ilvl w:val="0"/>
          <w:numId w:val="0"/>
        </w:numPr>
        <w:spacing w:before="0" w:after="0"/>
        <w:ind w:left="142" w:hanging="142"/>
        <w:jc w:val="left"/>
      </w:pPr>
      <w:r>
        <w:t>Cabo Verde</w:t>
      </w:r>
    </w:p>
    <w:p w14:paraId="115616A4" w14:textId="77777777" w:rsidR="005D6DC3" w:rsidRPr="004259FB" w:rsidRDefault="005D6DC3" w:rsidP="009865BF">
      <w:pPr>
        <w:pStyle w:val="Para1"/>
        <w:numPr>
          <w:ilvl w:val="0"/>
          <w:numId w:val="0"/>
        </w:numPr>
        <w:spacing w:before="0" w:after="0"/>
        <w:ind w:left="142" w:hanging="142"/>
        <w:jc w:val="left"/>
      </w:pPr>
      <w:r>
        <w:t>Camboya</w:t>
      </w:r>
    </w:p>
    <w:p w14:paraId="2EAF41D5" w14:textId="77777777" w:rsidR="005D6DC3" w:rsidRPr="004259FB" w:rsidRDefault="005D6DC3" w:rsidP="009865BF">
      <w:pPr>
        <w:pStyle w:val="Para1"/>
        <w:numPr>
          <w:ilvl w:val="0"/>
          <w:numId w:val="0"/>
        </w:numPr>
        <w:spacing w:before="0" w:after="0"/>
        <w:ind w:left="142" w:hanging="142"/>
        <w:jc w:val="left"/>
      </w:pPr>
      <w:r>
        <w:t>Camerún</w:t>
      </w:r>
    </w:p>
    <w:p w14:paraId="147D6152" w14:textId="77777777" w:rsidR="005D6DC3" w:rsidRPr="004259FB" w:rsidRDefault="005D6DC3" w:rsidP="009865BF">
      <w:pPr>
        <w:pStyle w:val="Para1"/>
        <w:numPr>
          <w:ilvl w:val="0"/>
          <w:numId w:val="0"/>
        </w:numPr>
        <w:spacing w:before="0" w:after="0"/>
        <w:ind w:left="142" w:hanging="142"/>
        <w:jc w:val="left"/>
      </w:pPr>
      <w:r>
        <w:t>Chad</w:t>
      </w:r>
    </w:p>
    <w:p w14:paraId="290B5192" w14:textId="77777777" w:rsidR="005D6DC3" w:rsidRPr="009C3E84" w:rsidRDefault="005D6DC3" w:rsidP="009865BF">
      <w:pPr>
        <w:pStyle w:val="Para1"/>
        <w:numPr>
          <w:ilvl w:val="0"/>
          <w:numId w:val="0"/>
        </w:numPr>
        <w:spacing w:before="0" w:after="0"/>
        <w:ind w:left="142" w:hanging="142"/>
        <w:jc w:val="left"/>
      </w:pPr>
      <w:r>
        <w:t>Chequia</w:t>
      </w:r>
    </w:p>
    <w:p w14:paraId="32450C28" w14:textId="77777777" w:rsidR="005D6DC3" w:rsidRPr="004259FB" w:rsidRDefault="005D6DC3" w:rsidP="009865BF">
      <w:pPr>
        <w:pStyle w:val="Para1"/>
        <w:numPr>
          <w:ilvl w:val="0"/>
          <w:numId w:val="0"/>
        </w:numPr>
        <w:spacing w:before="0" w:after="0"/>
        <w:ind w:left="142" w:hanging="142"/>
        <w:jc w:val="left"/>
      </w:pPr>
      <w:r>
        <w:t>China</w:t>
      </w:r>
    </w:p>
    <w:p w14:paraId="1DF02443" w14:textId="77777777" w:rsidR="005D6DC3" w:rsidRPr="009C3E84" w:rsidRDefault="005D6DC3" w:rsidP="009865BF">
      <w:pPr>
        <w:pStyle w:val="Para1"/>
        <w:numPr>
          <w:ilvl w:val="0"/>
          <w:numId w:val="0"/>
        </w:numPr>
        <w:spacing w:before="0" w:after="0"/>
        <w:ind w:left="142" w:hanging="142"/>
        <w:jc w:val="left"/>
      </w:pPr>
      <w:r>
        <w:t>Chipre</w:t>
      </w:r>
    </w:p>
    <w:p w14:paraId="20ABEDFE" w14:textId="77777777" w:rsidR="005D6DC3" w:rsidRPr="004259FB" w:rsidRDefault="005D6DC3" w:rsidP="009865BF">
      <w:pPr>
        <w:pStyle w:val="Para1"/>
        <w:numPr>
          <w:ilvl w:val="0"/>
          <w:numId w:val="0"/>
        </w:numPr>
        <w:spacing w:before="0" w:after="0"/>
        <w:ind w:left="142" w:hanging="142"/>
        <w:jc w:val="left"/>
      </w:pPr>
      <w:r>
        <w:t>Colombia</w:t>
      </w:r>
    </w:p>
    <w:p w14:paraId="7ED5DFF8" w14:textId="77777777" w:rsidR="005D6DC3" w:rsidRPr="004259FB" w:rsidRDefault="005D6DC3" w:rsidP="009865BF">
      <w:pPr>
        <w:pStyle w:val="Para1"/>
        <w:numPr>
          <w:ilvl w:val="0"/>
          <w:numId w:val="0"/>
        </w:numPr>
        <w:spacing w:before="0" w:after="0"/>
        <w:ind w:left="142" w:hanging="142"/>
        <w:jc w:val="left"/>
      </w:pPr>
      <w:r>
        <w:t>Comoras</w:t>
      </w:r>
    </w:p>
    <w:p w14:paraId="6DFE1DDC" w14:textId="77777777" w:rsidR="005D6DC3" w:rsidRPr="004259FB" w:rsidRDefault="005D6DC3" w:rsidP="009865BF">
      <w:pPr>
        <w:pStyle w:val="Para1"/>
        <w:numPr>
          <w:ilvl w:val="0"/>
          <w:numId w:val="0"/>
        </w:numPr>
        <w:spacing w:before="0" w:after="0"/>
        <w:ind w:left="142" w:hanging="142"/>
        <w:jc w:val="left"/>
      </w:pPr>
      <w:r>
        <w:t>Congo</w:t>
      </w:r>
    </w:p>
    <w:p w14:paraId="48CC68FF" w14:textId="77777777" w:rsidR="005D6DC3" w:rsidRPr="004259FB" w:rsidRDefault="005D6DC3" w:rsidP="009865BF">
      <w:pPr>
        <w:pStyle w:val="Para1"/>
        <w:numPr>
          <w:ilvl w:val="0"/>
          <w:numId w:val="0"/>
        </w:numPr>
        <w:spacing w:before="0" w:after="0"/>
        <w:ind w:left="142" w:hanging="142"/>
        <w:jc w:val="left"/>
      </w:pPr>
      <w:r>
        <w:t>Costa Rica</w:t>
      </w:r>
    </w:p>
    <w:p w14:paraId="64E4E403" w14:textId="77777777" w:rsidR="005D6DC3" w:rsidRPr="004259FB" w:rsidRDefault="005D6DC3" w:rsidP="009865BF">
      <w:pPr>
        <w:pStyle w:val="Para1"/>
        <w:numPr>
          <w:ilvl w:val="0"/>
          <w:numId w:val="0"/>
        </w:numPr>
        <w:spacing w:before="0" w:after="0"/>
        <w:ind w:left="142" w:hanging="142"/>
        <w:jc w:val="left"/>
      </w:pPr>
      <w:r>
        <w:t>Côte d’Ivoire</w:t>
      </w:r>
    </w:p>
    <w:p w14:paraId="3C0C3E14" w14:textId="77777777" w:rsidR="005D6DC3" w:rsidRPr="004259FB" w:rsidRDefault="005D6DC3" w:rsidP="009865BF">
      <w:pPr>
        <w:pStyle w:val="Para1"/>
        <w:numPr>
          <w:ilvl w:val="0"/>
          <w:numId w:val="0"/>
        </w:numPr>
        <w:spacing w:before="0" w:after="0"/>
        <w:ind w:left="142" w:hanging="142"/>
        <w:jc w:val="left"/>
      </w:pPr>
      <w:r>
        <w:t>Croacia</w:t>
      </w:r>
    </w:p>
    <w:p w14:paraId="3CB649D3" w14:textId="77777777" w:rsidR="005D6DC3" w:rsidRPr="009C3E84" w:rsidRDefault="005D6DC3" w:rsidP="009865BF">
      <w:pPr>
        <w:pStyle w:val="Para1"/>
        <w:numPr>
          <w:ilvl w:val="0"/>
          <w:numId w:val="0"/>
        </w:numPr>
        <w:spacing w:before="0" w:after="0"/>
        <w:ind w:left="142" w:hanging="142"/>
        <w:jc w:val="left"/>
      </w:pPr>
      <w:r>
        <w:t>Cuba</w:t>
      </w:r>
    </w:p>
    <w:p w14:paraId="383B0536" w14:textId="77777777" w:rsidR="005D6DC3" w:rsidRPr="009C3E84" w:rsidRDefault="005D6DC3" w:rsidP="009865BF">
      <w:pPr>
        <w:pStyle w:val="Para1"/>
        <w:numPr>
          <w:ilvl w:val="0"/>
          <w:numId w:val="0"/>
        </w:numPr>
        <w:spacing w:before="0" w:after="0"/>
        <w:ind w:left="142" w:hanging="142"/>
        <w:jc w:val="left"/>
      </w:pPr>
      <w:r>
        <w:t>Dinamarca</w:t>
      </w:r>
    </w:p>
    <w:p w14:paraId="4B43AF20" w14:textId="77777777" w:rsidR="005D6DC3" w:rsidRPr="004259FB" w:rsidRDefault="005D6DC3" w:rsidP="009865BF">
      <w:pPr>
        <w:pStyle w:val="Para1"/>
        <w:numPr>
          <w:ilvl w:val="0"/>
          <w:numId w:val="0"/>
        </w:numPr>
        <w:spacing w:before="0" w:after="0"/>
        <w:ind w:left="142" w:hanging="142"/>
        <w:jc w:val="left"/>
      </w:pPr>
      <w:r>
        <w:t>Djibouti</w:t>
      </w:r>
    </w:p>
    <w:p w14:paraId="7EA2358A" w14:textId="77777777" w:rsidR="005D6DC3" w:rsidRPr="004259FB" w:rsidRDefault="005D6DC3" w:rsidP="009865BF">
      <w:pPr>
        <w:pStyle w:val="Para1"/>
        <w:numPr>
          <w:ilvl w:val="0"/>
          <w:numId w:val="0"/>
        </w:numPr>
        <w:spacing w:before="0" w:after="0"/>
        <w:ind w:left="142" w:hanging="142"/>
        <w:jc w:val="left"/>
      </w:pPr>
      <w:r>
        <w:t>Dominica</w:t>
      </w:r>
    </w:p>
    <w:p w14:paraId="2FECE3F3" w14:textId="77777777" w:rsidR="005D6DC3" w:rsidRPr="004259FB" w:rsidRDefault="005D6DC3" w:rsidP="009865BF">
      <w:pPr>
        <w:pStyle w:val="Para1"/>
        <w:numPr>
          <w:ilvl w:val="0"/>
          <w:numId w:val="0"/>
        </w:numPr>
        <w:spacing w:before="0" w:after="0"/>
        <w:ind w:left="142" w:hanging="142"/>
        <w:jc w:val="left"/>
      </w:pPr>
      <w:r>
        <w:t>Ecuador</w:t>
      </w:r>
    </w:p>
    <w:p w14:paraId="2DF19BA6" w14:textId="77777777" w:rsidR="005D6DC3" w:rsidRPr="004259FB" w:rsidRDefault="005D6DC3" w:rsidP="009865BF">
      <w:pPr>
        <w:pStyle w:val="Para1"/>
        <w:numPr>
          <w:ilvl w:val="0"/>
          <w:numId w:val="0"/>
        </w:numPr>
        <w:spacing w:before="0" w:after="0"/>
        <w:ind w:left="142" w:hanging="142"/>
        <w:jc w:val="left"/>
      </w:pPr>
      <w:r>
        <w:t>Egipto</w:t>
      </w:r>
    </w:p>
    <w:p w14:paraId="28ECF5E4" w14:textId="77777777" w:rsidR="005D6DC3" w:rsidRPr="004259FB" w:rsidRDefault="005D6DC3" w:rsidP="009865BF">
      <w:pPr>
        <w:pStyle w:val="Para1"/>
        <w:numPr>
          <w:ilvl w:val="0"/>
          <w:numId w:val="0"/>
        </w:numPr>
        <w:spacing w:before="0" w:after="0"/>
        <w:ind w:left="142" w:hanging="142"/>
        <w:jc w:val="left"/>
      </w:pPr>
      <w:r>
        <w:t>El Salvador</w:t>
      </w:r>
    </w:p>
    <w:p w14:paraId="25A1E35A" w14:textId="77777777" w:rsidR="005D6DC3" w:rsidRPr="009C3E84" w:rsidRDefault="005D6DC3" w:rsidP="009865BF">
      <w:pPr>
        <w:pStyle w:val="Para1"/>
        <w:numPr>
          <w:ilvl w:val="0"/>
          <w:numId w:val="0"/>
        </w:numPr>
        <w:spacing w:before="0" w:after="0"/>
        <w:ind w:left="142" w:hanging="142"/>
        <w:jc w:val="left"/>
      </w:pPr>
      <w:r>
        <w:t>Emiratos Árabes Unidos</w:t>
      </w:r>
    </w:p>
    <w:p w14:paraId="4E9BBE06" w14:textId="77777777" w:rsidR="005D6DC3" w:rsidRPr="004259FB" w:rsidRDefault="005D6DC3" w:rsidP="009865BF">
      <w:pPr>
        <w:pStyle w:val="Para1"/>
        <w:numPr>
          <w:ilvl w:val="0"/>
          <w:numId w:val="0"/>
        </w:numPr>
        <w:spacing w:before="0" w:after="0"/>
        <w:ind w:left="142" w:hanging="142"/>
        <w:jc w:val="left"/>
      </w:pPr>
      <w:r>
        <w:t>Eritrea</w:t>
      </w:r>
    </w:p>
    <w:p w14:paraId="47D5CD36" w14:textId="77777777" w:rsidR="005D6DC3" w:rsidRPr="009C3E84" w:rsidRDefault="005D6DC3" w:rsidP="009865BF">
      <w:pPr>
        <w:pStyle w:val="Para1"/>
        <w:numPr>
          <w:ilvl w:val="0"/>
          <w:numId w:val="0"/>
        </w:numPr>
        <w:spacing w:before="0" w:after="0"/>
        <w:ind w:left="142" w:hanging="142"/>
        <w:jc w:val="left"/>
      </w:pPr>
      <w:r>
        <w:t>Eslovaquia</w:t>
      </w:r>
    </w:p>
    <w:p w14:paraId="702E7312" w14:textId="77777777" w:rsidR="005D6DC3" w:rsidRPr="009C3E84" w:rsidRDefault="005D6DC3" w:rsidP="009865BF">
      <w:pPr>
        <w:pStyle w:val="Para1"/>
        <w:numPr>
          <w:ilvl w:val="0"/>
          <w:numId w:val="0"/>
        </w:numPr>
        <w:spacing w:before="0" w:after="0"/>
        <w:ind w:left="142" w:hanging="142"/>
        <w:jc w:val="left"/>
      </w:pPr>
      <w:r>
        <w:t>Eslovenia</w:t>
      </w:r>
    </w:p>
    <w:p w14:paraId="41016D4E" w14:textId="77777777" w:rsidR="005D6DC3" w:rsidRPr="009C3E84" w:rsidRDefault="005D6DC3" w:rsidP="009865BF">
      <w:pPr>
        <w:pStyle w:val="Para1"/>
        <w:numPr>
          <w:ilvl w:val="0"/>
          <w:numId w:val="0"/>
        </w:numPr>
        <w:spacing w:before="0" w:after="0"/>
        <w:ind w:left="142" w:hanging="142"/>
        <w:jc w:val="left"/>
      </w:pPr>
      <w:r>
        <w:t>España</w:t>
      </w:r>
    </w:p>
    <w:p w14:paraId="6ECB153C" w14:textId="77777777" w:rsidR="005D6DC3" w:rsidRPr="009C3E84" w:rsidRDefault="005D6DC3" w:rsidP="009865BF">
      <w:pPr>
        <w:pStyle w:val="Para1"/>
        <w:numPr>
          <w:ilvl w:val="0"/>
          <w:numId w:val="0"/>
        </w:numPr>
        <w:spacing w:before="0" w:after="0"/>
        <w:ind w:left="142" w:hanging="142"/>
        <w:jc w:val="left"/>
      </w:pPr>
      <w:r>
        <w:t>Estado de Palestina</w:t>
      </w:r>
    </w:p>
    <w:p w14:paraId="7FFA9F12" w14:textId="77777777" w:rsidR="005D6DC3" w:rsidRPr="004259FB" w:rsidRDefault="005D6DC3" w:rsidP="009865BF">
      <w:pPr>
        <w:pStyle w:val="Para1"/>
        <w:numPr>
          <w:ilvl w:val="0"/>
          <w:numId w:val="0"/>
        </w:numPr>
        <w:spacing w:before="0" w:after="0"/>
        <w:ind w:left="142" w:hanging="142"/>
        <w:jc w:val="left"/>
      </w:pPr>
      <w:r>
        <w:t>Estonia</w:t>
      </w:r>
    </w:p>
    <w:p w14:paraId="4CB5748B" w14:textId="77777777" w:rsidR="005D6DC3" w:rsidRPr="004259FB" w:rsidRDefault="005D6DC3" w:rsidP="009865BF">
      <w:pPr>
        <w:pStyle w:val="Para1"/>
        <w:numPr>
          <w:ilvl w:val="0"/>
          <w:numId w:val="0"/>
        </w:numPr>
        <w:spacing w:before="0" w:after="0"/>
        <w:ind w:left="142" w:hanging="142"/>
        <w:jc w:val="left"/>
      </w:pPr>
      <w:r>
        <w:t>Eswatini</w:t>
      </w:r>
    </w:p>
    <w:p w14:paraId="6844CDD6" w14:textId="77777777" w:rsidR="005D6DC3" w:rsidRPr="004259FB" w:rsidRDefault="005D6DC3" w:rsidP="009865BF">
      <w:pPr>
        <w:pStyle w:val="Para1"/>
        <w:numPr>
          <w:ilvl w:val="0"/>
          <w:numId w:val="0"/>
        </w:numPr>
        <w:spacing w:before="0" w:after="0"/>
        <w:ind w:left="142" w:hanging="142"/>
        <w:jc w:val="left"/>
      </w:pPr>
      <w:r>
        <w:t>Etiopía</w:t>
      </w:r>
    </w:p>
    <w:p w14:paraId="329986AD" w14:textId="77777777" w:rsidR="005D6DC3" w:rsidRPr="009C3E84" w:rsidRDefault="005D6DC3" w:rsidP="009865BF">
      <w:pPr>
        <w:pStyle w:val="Para1"/>
        <w:numPr>
          <w:ilvl w:val="0"/>
          <w:numId w:val="0"/>
        </w:numPr>
        <w:spacing w:before="0" w:after="0"/>
        <w:ind w:left="142" w:hanging="142"/>
        <w:jc w:val="left"/>
      </w:pPr>
      <w:r>
        <w:t>Fiji</w:t>
      </w:r>
    </w:p>
    <w:p w14:paraId="46D05EF5" w14:textId="77777777" w:rsidR="005D6DC3" w:rsidRPr="009C3E84" w:rsidRDefault="005D6DC3" w:rsidP="009865BF">
      <w:pPr>
        <w:pStyle w:val="Para1"/>
        <w:numPr>
          <w:ilvl w:val="0"/>
          <w:numId w:val="0"/>
        </w:numPr>
        <w:spacing w:before="0" w:after="0"/>
        <w:ind w:left="142" w:hanging="142"/>
        <w:jc w:val="left"/>
      </w:pPr>
      <w:r>
        <w:t>Filipinas</w:t>
      </w:r>
    </w:p>
    <w:p w14:paraId="42D7BB1D" w14:textId="77777777" w:rsidR="005D6DC3" w:rsidRPr="009C3E84" w:rsidRDefault="005D6DC3" w:rsidP="009865BF">
      <w:pPr>
        <w:pStyle w:val="Para1"/>
        <w:numPr>
          <w:ilvl w:val="0"/>
          <w:numId w:val="0"/>
        </w:numPr>
        <w:spacing w:before="0" w:after="0"/>
        <w:ind w:left="142" w:hanging="142"/>
        <w:jc w:val="left"/>
      </w:pPr>
      <w:r>
        <w:t>Finlandia</w:t>
      </w:r>
    </w:p>
    <w:p w14:paraId="693226C4" w14:textId="77777777" w:rsidR="005D6DC3" w:rsidRPr="009C3E84" w:rsidRDefault="005D6DC3" w:rsidP="009865BF">
      <w:pPr>
        <w:pStyle w:val="Para1"/>
        <w:numPr>
          <w:ilvl w:val="0"/>
          <w:numId w:val="0"/>
        </w:numPr>
        <w:spacing w:before="0" w:after="0"/>
        <w:ind w:left="142" w:hanging="142"/>
        <w:jc w:val="left"/>
      </w:pPr>
      <w:r>
        <w:t>Francia</w:t>
      </w:r>
    </w:p>
    <w:p w14:paraId="4406283C" w14:textId="77777777" w:rsidR="005D6DC3" w:rsidRPr="009C3E84" w:rsidRDefault="005D6DC3" w:rsidP="009865BF">
      <w:pPr>
        <w:pStyle w:val="Para1"/>
        <w:numPr>
          <w:ilvl w:val="0"/>
          <w:numId w:val="0"/>
        </w:numPr>
        <w:spacing w:before="0" w:after="0"/>
        <w:ind w:left="142" w:hanging="142"/>
        <w:jc w:val="left"/>
      </w:pPr>
      <w:r>
        <w:t>Gabón</w:t>
      </w:r>
    </w:p>
    <w:p w14:paraId="3B426961" w14:textId="77777777" w:rsidR="005D6DC3" w:rsidRPr="009C3E84" w:rsidRDefault="005D6DC3" w:rsidP="009865BF">
      <w:pPr>
        <w:pStyle w:val="Para1"/>
        <w:numPr>
          <w:ilvl w:val="0"/>
          <w:numId w:val="0"/>
        </w:numPr>
        <w:spacing w:before="0" w:after="0"/>
        <w:ind w:left="142" w:hanging="142"/>
        <w:jc w:val="left"/>
      </w:pPr>
      <w:r>
        <w:t>Gambia</w:t>
      </w:r>
    </w:p>
    <w:p w14:paraId="7DD17112" w14:textId="77777777" w:rsidR="005D6DC3" w:rsidRPr="009C3E84" w:rsidRDefault="005D6DC3" w:rsidP="009865BF">
      <w:pPr>
        <w:pStyle w:val="Para1"/>
        <w:numPr>
          <w:ilvl w:val="0"/>
          <w:numId w:val="0"/>
        </w:numPr>
        <w:spacing w:before="0" w:after="0"/>
        <w:ind w:left="142" w:hanging="142"/>
        <w:jc w:val="left"/>
      </w:pPr>
      <w:r>
        <w:t>Georgia</w:t>
      </w:r>
    </w:p>
    <w:p w14:paraId="66EBC0A3" w14:textId="77777777" w:rsidR="005D6DC3" w:rsidRPr="004259FB" w:rsidRDefault="005D6DC3" w:rsidP="009865BF">
      <w:pPr>
        <w:pStyle w:val="Para1"/>
        <w:numPr>
          <w:ilvl w:val="0"/>
          <w:numId w:val="0"/>
        </w:numPr>
        <w:spacing w:before="0" w:after="0"/>
        <w:ind w:left="142" w:hanging="142"/>
        <w:jc w:val="left"/>
      </w:pPr>
      <w:r>
        <w:t>Ghana</w:t>
      </w:r>
    </w:p>
    <w:p w14:paraId="7D4A2C37" w14:textId="77777777" w:rsidR="005D6DC3" w:rsidRPr="004259FB" w:rsidRDefault="005D6DC3" w:rsidP="009865BF">
      <w:pPr>
        <w:pStyle w:val="Para1"/>
        <w:numPr>
          <w:ilvl w:val="0"/>
          <w:numId w:val="0"/>
        </w:numPr>
        <w:spacing w:before="0" w:after="0"/>
        <w:ind w:left="142" w:hanging="142"/>
        <w:jc w:val="left"/>
      </w:pPr>
      <w:r>
        <w:t>Granada</w:t>
      </w:r>
    </w:p>
    <w:p w14:paraId="218F359D" w14:textId="77777777" w:rsidR="005D6DC3" w:rsidRPr="004259FB" w:rsidRDefault="005D6DC3" w:rsidP="009865BF">
      <w:pPr>
        <w:pStyle w:val="Para1"/>
        <w:numPr>
          <w:ilvl w:val="0"/>
          <w:numId w:val="0"/>
        </w:numPr>
        <w:spacing w:before="0" w:after="0"/>
        <w:ind w:left="142" w:hanging="142"/>
        <w:jc w:val="left"/>
      </w:pPr>
      <w:r>
        <w:t>Grecia</w:t>
      </w:r>
    </w:p>
    <w:p w14:paraId="0E0896CA" w14:textId="77777777" w:rsidR="005D6DC3" w:rsidRPr="004259FB" w:rsidRDefault="005D6DC3" w:rsidP="009865BF">
      <w:pPr>
        <w:pStyle w:val="Para1"/>
        <w:numPr>
          <w:ilvl w:val="0"/>
          <w:numId w:val="0"/>
        </w:numPr>
        <w:spacing w:before="0" w:after="0"/>
        <w:ind w:left="142" w:hanging="142"/>
        <w:jc w:val="left"/>
      </w:pPr>
      <w:r>
        <w:t>Guatemala</w:t>
      </w:r>
    </w:p>
    <w:p w14:paraId="7A8D732F" w14:textId="77777777" w:rsidR="005D6DC3" w:rsidRPr="004259FB" w:rsidRDefault="005D6DC3" w:rsidP="009865BF">
      <w:pPr>
        <w:pStyle w:val="Para1"/>
        <w:numPr>
          <w:ilvl w:val="0"/>
          <w:numId w:val="0"/>
        </w:numPr>
        <w:spacing w:before="0" w:after="0"/>
        <w:ind w:left="142" w:hanging="142"/>
        <w:jc w:val="left"/>
      </w:pPr>
      <w:r>
        <w:t>Guinea</w:t>
      </w:r>
    </w:p>
    <w:p w14:paraId="1F88CDEF" w14:textId="77777777" w:rsidR="005D6DC3" w:rsidRPr="004259FB" w:rsidRDefault="005D6DC3" w:rsidP="009865BF">
      <w:pPr>
        <w:pStyle w:val="Para1"/>
        <w:numPr>
          <w:ilvl w:val="0"/>
          <w:numId w:val="0"/>
        </w:numPr>
        <w:spacing w:before="0" w:after="0"/>
        <w:ind w:left="142" w:hanging="142"/>
        <w:jc w:val="left"/>
      </w:pPr>
      <w:r>
        <w:t>Guinea-Bissau</w:t>
      </w:r>
    </w:p>
    <w:p w14:paraId="5E51070A" w14:textId="77777777" w:rsidR="005D6DC3" w:rsidRPr="004259FB" w:rsidRDefault="005D6DC3" w:rsidP="009865BF">
      <w:pPr>
        <w:pStyle w:val="Para1"/>
        <w:numPr>
          <w:ilvl w:val="0"/>
          <w:numId w:val="0"/>
        </w:numPr>
        <w:spacing w:before="0" w:after="0"/>
        <w:ind w:left="142" w:hanging="142"/>
        <w:jc w:val="left"/>
      </w:pPr>
      <w:r>
        <w:t>Guyana</w:t>
      </w:r>
    </w:p>
    <w:p w14:paraId="6587F3D5" w14:textId="77777777" w:rsidR="005D6DC3" w:rsidRPr="004259FB" w:rsidRDefault="005D6DC3" w:rsidP="009865BF">
      <w:pPr>
        <w:pStyle w:val="Para1"/>
        <w:numPr>
          <w:ilvl w:val="0"/>
          <w:numId w:val="0"/>
        </w:numPr>
        <w:spacing w:before="0" w:after="0"/>
        <w:ind w:left="142" w:hanging="142"/>
        <w:jc w:val="left"/>
      </w:pPr>
      <w:r>
        <w:t>Honduras</w:t>
      </w:r>
    </w:p>
    <w:p w14:paraId="2BA20D1E" w14:textId="77777777" w:rsidR="005D6DC3" w:rsidRPr="009C3E84" w:rsidRDefault="005D6DC3" w:rsidP="009865BF">
      <w:pPr>
        <w:pStyle w:val="Para1"/>
        <w:numPr>
          <w:ilvl w:val="0"/>
          <w:numId w:val="0"/>
        </w:numPr>
        <w:spacing w:before="0" w:after="0"/>
        <w:ind w:left="142" w:hanging="142"/>
        <w:jc w:val="left"/>
      </w:pPr>
      <w:r>
        <w:t>Hungría</w:t>
      </w:r>
    </w:p>
    <w:p w14:paraId="02DE1078" w14:textId="77777777" w:rsidR="005D6DC3" w:rsidRPr="009C3E84" w:rsidRDefault="005D6DC3" w:rsidP="009865BF">
      <w:pPr>
        <w:pStyle w:val="Para1"/>
        <w:numPr>
          <w:ilvl w:val="0"/>
          <w:numId w:val="0"/>
        </w:numPr>
        <w:spacing w:before="0" w:after="0"/>
        <w:ind w:left="142" w:hanging="142"/>
        <w:jc w:val="left"/>
      </w:pPr>
      <w:r>
        <w:t>India</w:t>
      </w:r>
    </w:p>
    <w:p w14:paraId="1C2A7388" w14:textId="77777777" w:rsidR="005D6DC3" w:rsidRPr="009C3E84" w:rsidRDefault="005D6DC3" w:rsidP="009865BF">
      <w:pPr>
        <w:pStyle w:val="Para1"/>
        <w:numPr>
          <w:ilvl w:val="0"/>
          <w:numId w:val="0"/>
        </w:numPr>
        <w:spacing w:before="0" w:after="0"/>
        <w:ind w:left="142" w:hanging="142"/>
        <w:jc w:val="left"/>
      </w:pPr>
      <w:r>
        <w:t>Indonesia</w:t>
      </w:r>
    </w:p>
    <w:p w14:paraId="239EFB22" w14:textId="77777777" w:rsidR="005D6DC3" w:rsidRPr="009C3E84" w:rsidRDefault="005D6DC3" w:rsidP="009865BF">
      <w:pPr>
        <w:pStyle w:val="Para1"/>
        <w:numPr>
          <w:ilvl w:val="0"/>
          <w:numId w:val="0"/>
        </w:numPr>
        <w:spacing w:before="0" w:after="0"/>
        <w:ind w:left="142" w:hanging="142"/>
        <w:jc w:val="left"/>
      </w:pPr>
      <w:r>
        <w:t>Irán (República Islámica del)</w:t>
      </w:r>
    </w:p>
    <w:p w14:paraId="2514FFD9" w14:textId="77777777" w:rsidR="005D6DC3" w:rsidRPr="004259FB" w:rsidRDefault="005D6DC3" w:rsidP="009865BF">
      <w:pPr>
        <w:pStyle w:val="Para1"/>
        <w:numPr>
          <w:ilvl w:val="0"/>
          <w:numId w:val="0"/>
        </w:numPr>
        <w:spacing w:before="0" w:after="0"/>
        <w:ind w:left="142" w:hanging="142"/>
        <w:jc w:val="left"/>
      </w:pPr>
      <w:r>
        <w:t>Irlanda</w:t>
      </w:r>
    </w:p>
    <w:p w14:paraId="31A80006" w14:textId="77777777" w:rsidR="005D6DC3" w:rsidRPr="004259FB" w:rsidRDefault="005D6DC3" w:rsidP="009865BF">
      <w:pPr>
        <w:pStyle w:val="Para1"/>
        <w:numPr>
          <w:ilvl w:val="0"/>
          <w:numId w:val="0"/>
        </w:numPr>
        <w:spacing w:before="0" w:after="0"/>
        <w:ind w:left="142" w:hanging="142"/>
        <w:jc w:val="left"/>
      </w:pPr>
      <w:r>
        <w:t>Islas Marshall</w:t>
      </w:r>
    </w:p>
    <w:p w14:paraId="1515B801" w14:textId="77777777" w:rsidR="005D6DC3" w:rsidRPr="009C3E84" w:rsidRDefault="005D6DC3" w:rsidP="009865BF">
      <w:pPr>
        <w:pStyle w:val="Para1"/>
        <w:numPr>
          <w:ilvl w:val="0"/>
          <w:numId w:val="0"/>
        </w:numPr>
        <w:spacing w:before="0" w:after="0"/>
        <w:ind w:left="142" w:hanging="142"/>
        <w:jc w:val="left"/>
      </w:pPr>
      <w:r>
        <w:t>Islas Salomón</w:t>
      </w:r>
    </w:p>
    <w:p w14:paraId="7D40BF53" w14:textId="77777777" w:rsidR="005D6DC3" w:rsidRPr="004259FB" w:rsidRDefault="005D6DC3" w:rsidP="009865BF">
      <w:pPr>
        <w:pStyle w:val="Para1"/>
        <w:numPr>
          <w:ilvl w:val="0"/>
          <w:numId w:val="0"/>
        </w:numPr>
        <w:spacing w:before="0" w:after="0"/>
        <w:ind w:left="142" w:hanging="142"/>
        <w:jc w:val="left"/>
      </w:pPr>
      <w:r>
        <w:t>Israel</w:t>
      </w:r>
    </w:p>
    <w:p w14:paraId="37F8BF80" w14:textId="77777777" w:rsidR="005D6DC3" w:rsidRPr="004259FB" w:rsidRDefault="005D6DC3" w:rsidP="009865BF">
      <w:pPr>
        <w:pStyle w:val="Para1"/>
        <w:numPr>
          <w:ilvl w:val="0"/>
          <w:numId w:val="0"/>
        </w:numPr>
        <w:spacing w:before="0" w:after="0"/>
        <w:ind w:left="142" w:hanging="142"/>
        <w:jc w:val="left"/>
      </w:pPr>
      <w:r>
        <w:t>Italia</w:t>
      </w:r>
    </w:p>
    <w:p w14:paraId="5CD75E26" w14:textId="77777777" w:rsidR="005D6DC3" w:rsidRPr="004259FB" w:rsidRDefault="005D6DC3" w:rsidP="009865BF">
      <w:pPr>
        <w:pStyle w:val="Para1"/>
        <w:numPr>
          <w:ilvl w:val="0"/>
          <w:numId w:val="0"/>
        </w:numPr>
        <w:spacing w:before="0" w:after="0"/>
        <w:ind w:left="142" w:hanging="142"/>
        <w:jc w:val="left"/>
      </w:pPr>
      <w:r>
        <w:t>Jamaica</w:t>
      </w:r>
    </w:p>
    <w:p w14:paraId="4D43D10A" w14:textId="77777777" w:rsidR="005D6DC3" w:rsidRPr="004259FB" w:rsidRDefault="005D6DC3" w:rsidP="009865BF">
      <w:pPr>
        <w:pStyle w:val="Para1"/>
        <w:numPr>
          <w:ilvl w:val="0"/>
          <w:numId w:val="0"/>
        </w:numPr>
        <w:spacing w:before="0" w:after="0"/>
        <w:ind w:left="142" w:hanging="142"/>
        <w:jc w:val="left"/>
      </w:pPr>
      <w:r>
        <w:t>Japón</w:t>
      </w:r>
    </w:p>
    <w:p w14:paraId="3DB7426D" w14:textId="77777777" w:rsidR="005D6DC3" w:rsidRPr="004259FB" w:rsidRDefault="005D6DC3" w:rsidP="009865BF">
      <w:pPr>
        <w:pStyle w:val="Para1"/>
        <w:numPr>
          <w:ilvl w:val="0"/>
          <w:numId w:val="0"/>
        </w:numPr>
        <w:spacing w:before="0" w:after="0"/>
        <w:ind w:left="142" w:hanging="142"/>
        <w:jc w:val="left"/>
      </w:pPr>
      <w:r>
        <w:t>Jordania</w:t>
      </w:r>
    </w:p>
    <w:p w14:paraId="3A7C289D" w14:textId="77777777" w:rsidR="005D6DC3" w:rsidRPr="009C3E84" w:rsidRDefault="005D6DC3" w:rsidP="009865BF">
      <w:pPr>
        <w:pStyle w:val="Para1"/>
        <w:numPr>
          <w:ilvl w:val="0"/>
          <w:numId w:val="0"/>
        </w:numPr>
        <w:spacing w:before="0" w:after="0"/>
        <w:ind w:left="142" w:hanging="142"/>
        <w:jc w:val="left"/>
      </w:pPr>
      <w:r>
        <w:t>Kazajstán</w:t>
      </w:r>
    </w:p>
    <w:p w14:paraId="482EE0C8" w14:textId="77777777" w:rsidR="005D6DC3" w:rsidRPr="009C3E84" w:rsidRDefault="005D6DC3" w:rsidP="009865BF">
      <w:pPr>
        <w:pStyle w:val="Para1"/>
        <w:numPr>
          <w:ilvl w:val="0"/>
          <w:numId w:val="0"/>
        </w:numPr>
        <w:spacing w:before="0" w:after="0"/>
        <w:ind w:left="142" w:hanging="142"/>
        <w:jc w:val="left"/>
      </w:pPr>
      <w:r>
        <w:t>Kenya</w:t>
      </w:r>
    </w:p>
    <w:p w14:paraId="49723904" w14:textId="77777777" w:rsidR="005D6DC3" w:rsidRPr="009C3E84" w:rsidRDefault="005D6DC3" w:rsidP="009865BF">
      <w:pPr>
        <w:pStyle w:val="Para1"/>
        <w:numPr>
          <w:ilvl w:val="0"/>
          <w:numId w:val="0"/>
        </w:numPr>
        <w:spacing w:before="0" w:after="0"/>
        <w:ind w:left="142" w:hanging="142"/>
        <w:jc w:val="left"/>
      </w:pPr>
      <w:r>
        <w:t>Kirguistán</w:t>
      </w:r>
    </w:p>
    <w:p w14:paraId="3E02188F" w14:textId="77777777" w:rsidR="005D6DC3" w:rsidRPr="009C3E84" w:rsidRDefault="005D6DC3" w:rsidP="009865BF">
      <w:pPr>
        <w:pStyle w:val="Para1"/>
        <w:numPr>
          <w:ilvl w:val="0"/>
          <w:numId w:val="0"/>
        </w:numPr>
        <w:spacing w:before="0" w:after="0"/>
        <w:ind w:left="142" w:hanging="142"/>
        <w:jc w:val="left"/>
      </w:pPr>
      <w:r>
        <w:t>Kiribati</w:t>
      </w:r>
    </w:p>
    <w:p w14:paraId="7174F213" w14:textId="77777777" w:rsidR="005D6DC3" w:rsidRPr="009C3E84" w:rsidRDefault="005D6DC3" w:rsidP="009865BF">
      <w:pPr>
        <w:pStyle w:val="Para1"/>
        <w:numPr>
          <w:ilvl w:val="0"/>
          <w:numId w:val="0"/>
        </w:numPr>
        <w:spacing w:before="0" w:after="0"/>
        <w:ind w:left="142" w:hanging="142"/>
        <w:jc w:val="left"/>
      </w:pPr>
      <w:r>
        <w:t xml:space="preserve">Kuwait </w:t>
      </w:r>
    </w:p>
    <w:p w14:paraId="2E77B1B9" w14:textId="77777777" w:rsidR="005D6DC3" w:rsidRPr="004259FB" w:rsidRDefault="005D6DC3" w:rsidP="009865BF">
      <w:pPr>
        <w:pStyle w:val="Para1"/>
        <w:numPr>
          <w:ilvl w:val="0"/>
          <w:numId w:val="0"/>
        </w:numPr>
        <w:spacing w:before="0" w:after="0"/>
        <w:ind w:left="142" w:hanging="142"/>
        <w:jc w:val="left"/>
      </w:pPr>
      <w:r>
        <w:t>Lesotho</w:t>
      </w:r>
    </w:p>
    <w:p w14:paraId="40E9D28F" w14:textId="77777777" w:rsidR="005D6DC3" w:rsidRPr="004259FB" w:rsidRDefault="005D6DC3" w:rsidP="009865BF">
      <w:pPr>
        <w:pStyle w:val="Para1"/>
        <w:numPr>
          <w:ilvl w:val="0"/>
          <w:numId w:val="0"/>
        </w:numPr>
        <w:spacing w:before="0" w:after="0"/>
        <w:ind w:left="142" w:hanging="142"/>
        <w:jc w:val="left"/>
      </w:pPr>
      <w:r>
        <w:t>Letonia</w:t>
      </w:r>
    </w:p>
    <w:p w14:paraId="653F954F" w14:textId="77777777" w:rsidR="005D6DC3" w:rsidRPr="004259FB" w:rsidRDefault="005D6DC3" w:rsidP="009865BF">
      <w:pPr>
        <w:pStyle w:val="Para1"/>
        <w:numPr>
          <w:ilvl w:val="0"/>
          <w:numId w:val="0"/>
        </w:numPr>
        <w:spacing w:before="0" w:after="0"/>
        <w:ind w:left="142" w:hanging="142"/>
        <w:jc w:val="left"/>
      </w:pPr>
      <w:r>
        <w:t>Líbano</w:t>
      </w:r>
    </w:p>
    <w:p w14:paraId="534FDDFA" w14:textId="77777777" w:rsidR="005D6DC3" w:rsidRPr="004259FB" w:rsidRDefault="005D6DC3" w:rsidP="009865BF">
      <w:pPr>
        <w:pStyle w:val="Para1"/>
        <w:numPr>
          <w:ilvl w:val="0"/>
          <w:numId w:val="0"/>
        </w:numPr>
        <w:spacing w:before="0" w:after="0"/>
        <w:ind w:left="142" w:hanging="142"/>
        <w:jc w:val="left"/>
      </w:pPr>
      <w:r>
        <w:t>Liberia</w:t>
      </w:r>
    </w:p>
    <w:p w14:paraId="3A039756" w14:textId="77777777" w:rsidR="005D6DC3" w:rsidRPr="004259FB" w:rsidRDefault="005D6DC3" w:rsidP="009865BF">
      <w:pPr>
        <w:pStyle w:val="Para1"/>
        <w:numPr>
          <w:ilvl w:val="0"/>
          <w:numId w:val="0"/>
        </w:numPr>
        <w:spacing w:before="0" w:after="0"/>
        <w:ind w:left="142" w:hanging="142"/>
        <w:jc w:val="left"/>
      </w:pPr>
      <w:r>
        <w:t>Libia</w:t>
      </w:r>
    </w:p>
    <w:p w14:paraId="36D19E14" w14:textId="77777777" w:rsidR="005D6DC3" w:rsidRPr="004259FB" w:rsidRDefault="005D6DC3" w:rsidP="009865BF">
      <w:pPr>
        <w:pStyle w:val="Para1"/>
        <w:numPr>
          <w:ilvl w:val="0"/>
          <w:numId w:val="0"/>
        </w:numPr>
        <w:spacing w:before="0" w:after="0"/>
        <w:ind w:left="142" w:hanging="142"/>
        <w:jc w:val="left"/>
      </w:pPr>
      <w:r>
        <w:t>Lituania</w:t>
      </w:r>
    </w:p>
    <w:p w14:paraId="22AA24F5" w14:textId="77777777" w:rsidR="005D6DC3" w:rsidRPr="004259FB" w:rsidRDefault="005D6DC3" w:rsidP="009865BF">
      <w:pPr>
        <w:pStyle w:val="Para1"/>
        <w:numPr>
          <w:ilvl w:val="0"/>
          <w:numId w:val="0"/>
        </w:numPr>
        <w:spacing w:before="0" w:after="0"/>
        <w:ind w:left="142" w:hanging="142"/>
        <w:jc w:val="left"/>
      </w:pPr>
      <w:r>
        <w:t>Luxemburgo</w:t>
      </w:r>
    </w:p>
    <w:p w14:paraId="74588D9D" w14:textId="77777777" w:rsidR="005D6DC3" w:rsidRPr="009C3E84" w:rsidRDefault="005D6DC3" w:rsidP="009865BF">
      <w:pPr>
        <w:pStyle w:val="Para1"/>
        <w:numPr>
          <w:ilvl w:val="0"/>
          <w:numId w:val="0"/>
        </w:numPr>
        <w:spacing w:before="0" w:after="0"/>
        <w:ind w:left="142" w:hanging="142"/>
        <w:jc w:val="left"/>
      </w:pPr>
      <w:r>
        <w:t>Macedonia del Norte</w:t>
      </w:r>
    </w:p>
    <w:p w14:paraId="043DAC3C" w14:textId="77777777" w:rsidR="005D6DC3" w:rsidRPr="004259FB" w:rsidRDefault="005D6DC3" w:rsidP="009865BF">
      <w:pPr>
        <w:pStyle w:val="Para1"/>
        <w:numPr>
          <w:ilvl w:val="0"/>
          <w:numId w:val="0"/>
        </w:numPr>
        <w:spacing w:before="0" w:after="0"/>
        <w:ind w:left="142" w:hanging="142"/>
        <w:jc w:val="left"/>
      </w:pPr>
      <w:r>
        <w:t>Madagascar</w:t>
      </w:r>
    </w:p>
    <w:p w14:paraId="4D05385D" w14:textId="77777777" w:rsidR="005D6DC3" w:rsidRPr="004259FB" w:rsidRDefault="005D6DC3" w:rsidP="009865BF">
      <w:pPr>
        <w:pStyle w:val="Para1"/>
        <w:numPr>
          <w:ilvl w:val="0"/>
          <w:numId w:val="0"/>
        </w:numPr>
        <w:spacing w:before="0" w:after="0"/>
        <w:ind w:left="142" w:hanging="142"/>
        <w:jc w:val="left"/>
      </w:pPr>
      <w:r>
        <w:t>Malasia</w:t>
      </w:r>
    </w:p>
    <w:p w14:paraId="5C5014F6" w14:textId="77777777" w:rsidR="005D6DC3" w:rsidRPr="004259FB" w:rsidRDefault="005D6DC3" w:rsidP="009865BF">
      <w:pPr>
        <w:pStyle w:val="Para1"/>
        <w:numPr>
          <w:ilvl w:val="0"/>
          <w:numId w:val="0"/>
        </w:numPr>
        <w:spacing w:before="0" w:after="0"/>
        <w:ind w:left="142" w:hanging="142"/>
        <w:jc w:val="left"/>
      </w:pPr>
      <w:r>
        <w:t>Malawi</w:t>
      </w:r>
    </w:p>
    <w:p w14:paraId="0740FEA8" w14:textId="77777777" w:rsidR="005D6DC3" w:rsidRPr="004259FB" w:rsidRDefault="005D6DC3" w:rsidP="009865BF">
      <w:pPr>
        <w:pStyle w:val="Para1"/>
        <w:numPr>
          <w:ilvl w:val="0"/>
          <w:numId w:val="0"/>
        </w:numPr>
        <w:spacing w:before="0" w:after="0"/>
        <w:ind w:left="142" w:hanging="142"/>
        <w:jc w:val="left"/>
      </w:pPr>
      <w:r>
        <w:t>Maldivas</w:t>
      </w:r>
    </w:p>
    <w:p w14:paraId="63762BFA" w14:textId="77777777" w:rsidR="005D6DC3" w:rsidRPr="004259FB" w:rsidRDefault="005D6DC3" w:rsidP="009865BF">
      <w:pPr>
        <w:pStyle w:val="Para1"/>
        <w:numPr>
          <w:ilvl w:val="0"/>
          <w:numId w:val="0"/>
        </w:numPr>
        <w:spacing w:before="0" w:after="0"/>
        <w:ind w:left="142" w:hanging="142"/>
        <w:jc w:val="left"/>
      </w:pPr>
      <w:r>
        <w:t>Malí</w:t>
      </w:r>
    </w:p>
    <w:p w14:paraId="4781F175" w14:textId="77777777" w:rsidR="005D6DC3" w:rsidRPr="004259FB" w:rsidRDefault="005D6DC3" w:rsidP="009865BF">
      <w:pPr>
        <w:pStyle w:val="Para1"/>
        <w:numPr>
          <w:ilvl w:val="0"/>
          <w:numId w:val="0"/>
        </w:numPr>
        <w:spacing w:before="0" w:after="0"/>
        <w:ind w:left="142" w:hanging="142"/>
        <w:jc w:val="left"/>
      </w:pPr>
      <w:r>
        <w:t>Malta</w:t>
      </w:r>
    </w:p>
    <w:p w14:paraId="5F18F4F6" w14:textId="77777777" w:rsidR="005D6DC3" w:rsidRPr="004259FB" w:rsidRDefault="005D6DC3" w:rsidP="009865BF">
      <w:pPr>
        <w:pStyle w:val="Para1"/>
        <w:numPr>
          <w:ilvl w:val="0"/>
          <w:numId w:val="0"/>
        </w:numPr>
        <w:spacing w:before="0" w:after="0"/>
        <w:ind w:left="142" w:hanging="142"/>
        <w:jc w:val="left"/>
      </w:pPr>
      <w:r>
        <w:t>Marruecos</w:t>
      </w:r>
    </w:p>
    <w:p w14:paraId="5B7A6AF1" w14:textId="77777777" w:rsidR="005D6DC3" w:rsidRPr="004259FB" w:rsidRDefault="005D6DC3" w:rsidP="009865BF">
      <w:pPr>
        <w:pStyle w:val="Para1"/>
        <w:numPr>
          <w:ilvl w:val="0"/>
          <w:numId w:val="0"/>
        </w:numPr>
        <w:spacing w:before="0" w:after="0"/>
        <w:ind w:left="142" w:hanging="142"/>
        <w:jc w:val="left"/>
      </w:pPr>
      <w:r>
        <w:t>Mauricio</w:t>
      </w:r>
    </w:p>
    <w:p w14:paraId="026576C5" w14:textId="77777777" w:rsidR="005D6DC3" w:rsidRPr="004259FB" w:rsidRDefault="005D6DC3" w:rsidP="009865BF">
      <w:pPr>
        <w:pStyle w:val="Para1"/>
        <w:numPr>
          <w:ilvl w:val="0"/>
          <w:numId w:val="0"/>
        </w:numPr>
        <w:spacing w:before="0" w:after="0"/>
        <w:ind w:left="142" w:hanging="142"/>
        <w:jc w:val="left"/>
      </w:pPr>
      <w:r>
        <w:t>Mauritania</w:t>
      </w:r>
    </w:p>
    <w:p w14:paraId="098A2788" w14:textId="77777777" w:rsidR="005D6DC3" w:rsidRPr="004259FB" w:rsidRDefault="005D6DC3" w:rsidP="009865BF">
      <w:pPr>
        <w:pStyle w:val="Para1"/>
        <w:numPr>
          <w:ilvl w:val="0"/>
          <w:numId w:val="0"/>
        </w:numPr>
        <w:spacing w:before="0" w:after="0"/>
        <w:ind w:left="142" w:hanging="142"/>
        <w:jc w:val="left"/>
      </w:pPr>
      <w:r>
        <w:t>México</w:t>
      </w:r>
    </w:p>
    <w:p w14:paraId="141B3639" w14:textId="77777777" w:rsidR="005D6DC3" w:rsidRPr="004259FB" w:rsidRDefault="005D6DC3" w:rsidP="009865BF">
      <w:pPr>
        <w:pStyle w:val="Para1"/>
        <w:numPr>
          <w:ilvl w:val="0"/>
          <w:numId w:val="0"/>
        </w:numPr>
        <w:spacing w:before="0" w:after="0"/>
        <w:ind w:left="142" w:hanging="142"/>
        <w:jc w:val="left"/>
      </w:pPr>
      <w:r>
        <w:t>Mongolia</w:t>
      </w:r>
    </w:p>
    <w:p w14:paraId="72FBDA73" w14:textId="77777777" w:rsidR="005D6DC3" w:rsidRPr="004259FB" w:rsidRDefault="005D6DC3" w:rsidP="009865BF">
      <w:pPr>
        <w:pStyle w:val="Para1"/>
        <w:numPr>
          <w:ilvl w:val="0"/>
          <w:numId w:val="0"/>
        </w:numPr>
        <w:spacing w:before="0" w:after="0"/>
        <w:ind w:left="142" w:hanging="142"/>
        <w:jc w:val="left"/>
      </w:pPr>
      <w:r>
        <w:t>Mozambique</w:t>
      </w:r>
    </w:p>
    <w:p w14:paraId="42F84FBF" w14:textId="77777777" w:rsidR="005D6DC3" w:rsidRPr="004259FB" w:rsidRDefault="005D6DC3" w:rsidP="009865BF">
      <w:pPr>
        <w:pStyle w:val="Para1"/>
        <w:numPr>
          <w:ilvl w:val="0"/>
          <w:numId w:val="0"/>
        </w:numPr>
        <w:spacing w:before="0" w:after="0"/>
        <w:ind w:left="142" w:hanging="142"/>
        <w:jc w:val="left"/>
      </w:pPr>
      <w:r>
        <w:t>Namibia</w:t>
      </w:r>
    </w:p>
    <w:p w14:paraId="4B182C13" w14:textId="77777777" w:rsidR="005D6DC3" w:rsidRPr="004259FB" w:rsidRDefault="005D6DC3" w:rsidP="009865BF">
      <w:pPr>
        <w:pStyle w:val="Para1"/>
        <w:numPr>
          <w:ilvl w:val="0"/>
          <w:numId w:val="0"/>
        </w:numPr>
        <w:spacing w:before="0" w:after="0"/>
        <w:ind w:left="142" w:hanging="142"/>
        <w:jc w:val="left"/>
      </w:pPr>
      <w:r>
        <w:t>Nauru</w:t>
      </w:r>
    </w:p>
    <w:p w14:paraId="795FBEFF" w14:textId="77777777" w:rsidR="005D6DC3" w:rsidRPr="009C3E84" w:rsidRDefault="005D6DC3" w:rsidP="009865BF">
      <w:pPr>
        <w:pStyle w:val="Para1"/>
        <w:numPr>
          <w:ilvl w:val="0"/>
          <w:numId w:val="0"/>
        </w:numPr>
        <w:spacing w:before="0" w:after="0"/>
        <w:ind w:left="142" w:hanging="142"/>
        <w:jc w:val="left"/>
      </w:pPr>
      <w:r>
        <w:t>Nicaragua</w:t>
      </w:r>
    </w:p>
    <w:p w14:paraId="692F44A1" w14:textId="77777777" w:rsidR="005D6DC3" w:rsidRPr="009C3E84" w:rsidRDefault="005D6DC3" w:rsidP="009865BF">
      <w:pPr>
        <w:pStyle w:val="Para1"/>
        <w:numPr>
          <w:ilvl w:val="0"/>
          <w:numId w:val="0"/>
        </w:numPr>
        <w:spacing w:before="0" w:after="0"/>
        <w:ind w:left="142" w:hanging="142"/>
        <w:jc w:val="left"/>
      </w:pPr>
      <w:r>
        <w:t>Níger</w:t>
      </w:r>
    </w:p>
    <w:p w14:paraId="5568C867" w14:textId="77777777" w:rsidR="005D6DC3" w:rsidRPr="009C3E84" w:rsidRDefault="005D6DC3" w:rsidP="009865BF">
      <w:pPr>
        <w:pStyle w:val="Para1"/>
        <w:numPr>
          <w:ilvl w:val="0"/>
          <w:numId w:val="0"/>
        </w:numPr>
        <w:spacing w:before="0" w:after="0"/>
        <w:ind w:left="142" w:hanging="142"/>
        <w:jc w:val="left"/>
      </w:pPr>
      <w:r>
        <w:t>Nigeria</w:t>
      </w:r>
    </w:p>
    <w:p w14:paraId="2FDCF12F" w14:textId="77777777" w:rsidR="005D6DC3" w:rsidRPr="009C3E84" w:rsidRDefault="005D6DC3" w:rsidP="009865BF">
      <w:pPr>
        <w:pStyle w:val="Para1"/>
        <w:numPr>
          <w:ilvl w:val="0"/>
          <w:numId w:val="0"/>
        </w:numPr>
        <w:spacing w:before="0" w:after="0"/>
        <w:ind w:left="142" w:hanging="142"/>
        <w:jc w:val="left"/>
      </w:pPr>
      <w:r>
        <w:t>Niue</w:t>
      </w:r>
    </w:p>
    <w:p w14:paraId="4A1D62C7" w14:textId="77777777" w:rsidR="005D6DC3" w:rsidRPr="004259FB" w:rsidRDefault="005D6DC3" w:rsidP="009865BF">
      <w:pPr>
        <w:pStyle w:val="Para1"/>
        <w:numPr>
          <w:ilvl w:val="0"/>
          <w:numId w:val="0"/>
        </w:numPr>
        <w:spacing w:before="0" w:after="0"/>
        <w:ind w:left="142" w:hanging="142"/>
        <w:jc w:val="left"/>
      </w:pPr>
      <w:r>
        <w:t>Noruega</w:t>
      </w:r>
    </w:p>
    <w:p w14:paraId="646349CD" w14:textId="77777777" w:rsidR="005D6DC3" w:rsidRPr="009C3E84" w:rsidRDefault="005D6DC3" w:rsidP="009865BF">
      <w:pPr>
        <w:pStyle w:val="Para1"/>
        <w:numPr>
          <w:ilvl w:val="0"/>
          <w:numId w:val="0"/>
        </w:numPr>
        <w:spacing w:before="0" w:after="0"/>
        <w:ind w:left="142" w:hanging="142"/>
        <w:jc w:val="left"/>
      </w:pPr>
      <w:r>
        <w:t>Nueva Zelandia</w:t>
      </w:r>
    </w:p>
    <w:p w14:paraId="501331B0" w14:textId="77777777" w:rsidR="005D6DC3" w:rsidRPr="004259FB" w:rsidRDefault="005D6DC3" w:rsidP="009865BF">
      <w:pPr>
        <w:pStyle w:val="Para1"/>
        <w:numPr>
          <w:ilvl w:val="0"/>
          <w:numId w:val="0"/>
        </w:numPr>
        <w:spacing w:before="0" w:after="0"/>
        <w:ind w:left="142" w:hanging="142"/>
        <w:jc w:val="left"/>
      </w:pPr>
      <w:r>
        <w:t>Omán</w:t>
      </w:r>
    </w:p>
    <w:p w14:paraId="0B65FC37" w14:textId="77777777" w:rsidR="005D6DC3" w:rsidRPr="009C3E84" w:rsidRDefault="005D6DC3" w:rsidP="009865BF">
      <w:pPr>
        <w:pStyle w:val="Para1"/>
        <w:numPr>
          <w:ilvl w:val="0"/>
          <w:numId w:val="0"/>
        </w:numPr>
        <w:spacing w:before="0" w:after="0"/>
        <w:ind w:left="142" w:hanging="142"/>
        <w:jc w:val="left"/>
      </w:pPr>
      <w:r>
        <w:t>Países Bajos (Reino de los)</w:t>
      </w:r>
    </w:p>
    <w:p w14:paraId="62898433" w14:textId="77777777" w:rsidR="005D6DC3" w:rsidRPr="004259FB" w:rsidRDefault="005D6DC3" w:rsidP="009865BF">
      <w:pPr>
        <w:pStyle w:val="Para1"/>
        <w:numPr>
          <w:ilvl w:val="0"/>
          <w:numId w:val="0"/>
        </w:numPr>
        <w:spacing w:before="0" w:after="0"/>
        <w:ind w:left="142" w:hanging="142"/>
        <w:jc w:val="left"/>
      </w:pPr>
      <w:r>
        <w:t>Pakistán</w:t>
      </w:r>
    </w:p>
    <w:p w14:paraId="50A17789" w14:textId="77777777" w:rsidR="005D6DC3" w:rsidRPr="004259FB" w:rsidRDefault="005D6DC3" w:rsidP="009865BF">
      <w:pPr>
        <w:pStyle w:val="Para1"/>
        <w:numPr>
          <w:ilvl w:val="0"/>
          <w:numId w:val="0"/>
        </w:numPr>
        <w:spacing w:before="0" w:after="0"/>
        <w:ind w:left="142" w:hanging="142"/>
        <w:jc w:val="left"/>
      </w:pPr>
      <w:r>
        <w:t>Palau</w:t>
      </w:r>
    </w:p>
    <w:p w14:paraId="5D73A8E5" w14:textId="77777777" w:rsidR="005D6DC3" w:rsidRPr="004259FB" w:rsidRDefault="005D6DC3" w:rsidP="009865BF">
      <w:pPr>
        <w:pStyle w:val="Para1"/>
        <w:numPr>
          <w:ilvl w:val="0"/>
          <w:numId w:val="0"/>
        </w:numPr>
        <w:spacing w:before="0" w:after="0"/>
        <w:ind w:left="142" w:hanging="142"/>
        <w:jc w:val="left"/>
      </w:pPr>
      <w:r>
        <w:t>Panamá</w:t>
      </w:r>
    </w:p>
    <w:p w14:paraId="39234923" w14:textId="77777777" w:rsidR="005D6DC3" w:rsidRPr="004259FB" w:rsidRDefault="005D6DC3" w:rsidP="009865BF">
      <w:pPr>
        <w:pStyle w:val="Para1"/>
        <w:numPr>
          <w:ilvl w:val="0"/>
          <w:numId w:val="0"/>
        </w:numPr>
        <w:spacing w:before="0" w:after="0"/>
        <w:ind w:left="142" w:hanging="142"/>
        <w:jc w:val="left"/>
      </w:pPr>
      <w:r>
        <w:t>Papua Nueva Guinea</w:t>
      </w:r>
    </w:p>
    <w:p w14:paraId="19B9856E" w14:textId="77777777" w:rsidR="005D6DC3" w:rsidRPr="009C3E84" w:rsidRDefault="005D6DC3" w:rsidP="009865BF">
      <w:pPr>
        <w:pStyle w:val="Para1"/>
        <w:numPr>
          <w:ilvl w:val="0"/>
          <w:numId w:val="0"/>
        </w:numPr>
        <w:spacing w:before="0" w:after="0"/>
        <w:ind w:left="142" w:hanging="142"/>
        <w:jc w:val="left"/>
      </w:pPr>
      <w:r>
        <w:t>Paraguay</w:t>
      </w:r>
    </w:p>
    <w:p w14:paraId="7D408BE6" w14:textId="77777777" w:rsidR="005D6DC3" w:rsidRPr="009C3E84" w:rsidRDefault="005D6DC3" w:rsidP="009865BF">
      <w:pPr>
        <w:pStyle w:val="Para1"/>
        <w:numPr>
          <w:ilvl w:val="0"/>
          <w:numId w:val="0"/>
        </w:numPr>
        <w:spacing w:before="0" w:after="0"/>
        <w:ind w:left="142" w:hanging="142"/>
        <w:jc w:val="left"/>
      </w:pPr>
      <w:r>
        <w:t>Perú</w:t>
      </w:r>
    </w:p>
    <w:p w14:paraId="3043E693" w14:textId="77777777" w:rsidR="005D6DC3" w:rsidRPr="009C3E84" w:rsidRDefault="005D6DC3" w:rsidP="009865BF">
      <w:pPr>
        <w:pStyle w:val="Para1"/>
        <w:numPr>
          <w:ilvl w:val="0"/>
          <w:numId w:val="0"/>
        </w:numPr>
        <w:spacing w:before="0" w:after="0"/>
        <w:ind w:left="142" w:hanging="142"/>
        <w:jc w:val="left"/>
      </w:pPr>
      <w:r>
        <w:t>Polonia</w:t>
      </w:r>
    </w:p>
    <w:p w14:paraId="37F15E29" w14:textId="77777777" w:rsidR="005D6DC3" w:rsidRPr="009C3E84" w:rsidRDefault="005D6DC3" w:rsidP="009865BF">
      <w:pPr>
        <w:pStyle w:val="Para1"/>
        <w:numPr>
          <w:ilvl w:val="0"/>
          <w:numId w:val="0"/>
        </w:numPr>
        <w:spacing w:before="0" w:after="0"/>
        <w:ind w:left="142" w:hanging="142"/>
        <w:jc w:val="left"/>
      </w:pPr>
      <w:r>
        <w:t>Portugal</w:t>
      </w:r>
    </w:p>
    <w:p w14:paraId="41B60CAF" w14:textId="77777777" w:rsidR="005D6DC3" w:rsidRPr="009C3E84" w:rsidRDefault="005D6DC3" w:rsidP="009865BF">
      <w:pPr>
        <w:pStyle w:val="Para1"/>
        <w:numPr>
          <w:ilvl w:val="0"/>
          <w:numId w:val="0"/>
        </w:numPr>
        <w:spacing w:before="0" w:after="0"/>
        <w:ind w:left="142" w:hanging="142"/>
        <w:jc w:val="left"/>
      </w:pPr>
      <w:r>
        <w:t>Qatar</w:t>
      </w:r>
    </w:p>
    <w:p w14:paraId="00115B7D" w14:textId="77777777" w:rsidR="005D6DC3" w:rsidRPr="009C3E84" w:rsidRDefault="005D6DC3" w:rsidP="009865BF">
      <w:pPr>
        <w:pStyle w:val="Para1"/>
        <w:numPr>
          <w:ilvl w:val="0"/>
          <w:numId w:val="0"/>
        </w:numPr>
        <w:spacing w:before="0" w:after="0"/>
        <w:ind w:left="142" w:hanging="142"/>
        <w:jc w:val="left"/>
      </w:pPr>
      <w:r>
        <w:t>Reino Unido de Gran Bretaña e Irlanda del Norte</w:t>
      </w:r>
    </w:p>
    <w:p w14:paraId="34EF6995" w14:textId="77777777" w:rsidR="005D6DC3" w:rsidRPr="009C3E84" w:rsidRDefault="005D6DC3" w:rsidP="009865BF">
      <w:pPr>
        <w:pStyle w:val="Para1"/>
        <w:numPr>
          <w:ilvl w:val="0"/>
          <w:numId w:val="0"/>
        </w:numPr>
        <w:spacing w:before="0" w:after="0"/>
        <w:ind w:left="142" w:hanging="142"/>
        <w:jc w:val="left"/>
      </w:pPr>
      <w:r>
        <w:t>República Árabe Siria</w:t>
      </w:r>
    </w:p>
    <w:p w14:paraId="5FB2422F" w14:textId="77777777" w:rsidR="005D6DC3" w:rsidRPr="004259FB" w:rsidRDefault="005D6DC3" w:rsidP="009865BF">
      <w:pPr>
        <w:pStyle w:val="Para1"/>
        <w:numPr>
          <w:ilvl w:val="0"/>
          <w:numId w:val="0"/>
        </w:numPr>
        <w:spacing w:before="0" w:after="0"/>
        <w:ind w:left="142" w:hanging="142"/>
        <w:jc w:val="left"/>
      </w:pPr>
      <w:r>
        <w:t>República Centroafricana</w:t>
      </w:r>
    </w:p>
    <w:p w14:paraId="54A1F05F" w14:textId="77777777" w:rsidR="005D6DC3" w:rsidRPr="009C3E84" w:rsidRDefault="005D6DC3" w:rsidP="009865BF">
      <w:pPr>
        <w:pStyle w:val="Para1"/>
        <w:numPr>
          <w:ilvl w:val="0"/>
          <w:numId w:val="0"/>
        </w:numPr>
        <w:spacing w:before="0" w:after="0"/>
        <w:ind w:left="142" w:hanging="142"/>
        <w:jc w:val="left"/>
      </w:pPr>
      <w:r>
        <w:t>República de Corea</w:t>
      </w:r>
    </w:p>
    <w:p w14:paraId="638F4A8B" w14:textId="77777777" w:rsidR="005D6DC3" w:rsidRPr="009C3E84" w:rsidRDefault="005D6DC3" w:rsidP="009865BF">
      <w:pPr>
        <w:pStyle w:val="Para1"/>
        <w:numPr>
          <w:ilvl w:val="0"/>
          <w:numId w:val="0"/>
        </w:numPr>
        <w:spacing w:before="0" w:after="0"/>
        <w:ind w:left="142" w:hanging="142"/>
        <w:jc w:val="left"/>
      </w:pPr>
      <w:r>
        <w:t>República de Moldova</w:t>
      </w:r>
    </w:p>
    <w:p w14:paraId="0B2BB521" w14:textId="77777777" w:rsidR="005D6DC3" w:rsidRPr="009C3E84" w:rsidRDefault="005D6DC3" w:rsidP="009865BF">
      <w:pPr>
        <w:pStyle w:val="Para1"/>
        <w:numPr>
          <w:ilvl w:val="0"/>
          <w:numId w:val="0"/>
        </w:numPr>
        <w:spacing w:before="0" w:after="0"/>
        <w:ind w:left="142" w:hanging="142"/>
        <w:jc w:val="left"/>
      </w:pPr>
      <w:r>
        <w:t>República Democrática del Congo</w:t>
      </w:r>
    </w:p>
    <w:p w14:paraId="26D0656B" w14:textId="77777777" w:rsidR="005D6DC3" w:rsidRPr="009C3E84" w:rsidRDefault="005D6DC3" w:rsidP="009865BF">
      <w:pPr>
        <w:pStyle w:val="Para1"/>
        <w:numPr>
          <w:ilvl w:val="0"/>
          <w:numId w:val="0"/>
        </w:numPr>
        <w:spacing w:before="0" w:after="0"/>
        <w:ind w:left="142" w:hanging="142"/>
        <w:jc w:val="left"/>
      </w:pPr>
      <w:r>
        <w:t>República Democrática Popular Lao</w:t>
      </w:r>
    </w:p>
    <w:p w14:paraId="23CF76B7" w14:textId="77777777" w:rsidR="005D6DC3" w:rsidRPr="004259FB" w:rsidRDefault="005D6DC3" w:rsidP="009865BF">
      <w:pPr>
        <w:pStyle w:val="Para1"/>
        <w:numPr>
          <w:ilvl w:val="0"/>
          <w:numId w:val="0"/>
        </w:numPr>
        <w:spacing w:before="0" w:after="0"/>
        <w:ind w:left="142" w:hanging="142"/>
        <w:jc w:val="left"/>
      </w:pPr>
      <w:r>
        <w:t>República Dominicana</w:t>
      </w:r>
    </w:p>
    <w:p w14:paraId="690A10D6" w14:textId="77777777" w:rsidR="005D6DC3" w:rsidRPr="009C3E84" w:rsidRDefault="005D6DC3" w:rsidP="009865BF">
      <w:pPr>
        <w:pStyle w:val="Para1"/>
        <w:numPr>
          <w:ilvl w:val="0"/>
          <w:numId w:val="0"/>
        </w:numPr>
        <w:spacing w:before="0" w:after="0"/>
        <w:ind w:left="142" w:hanging="142"/>
        <w:jc w:val="left"/>
      </w:pPr>
      <w:r>
        <w:t>República Popular Democrática de Corea</w:t>
      </w:r>
    </w:p>
    <w:p w14:paraId="4234D116" w14:textId="77777777" w:rsidR="005D6DC3" w:rsidRPr="009C3E84" w:rsidRDefault="005D6DC3" w:rsidP="009865BF">
      <w:pPr>
        <w:pStyle w:val="Para1"/>
        <w:numPr>
          <w:ilvl w:val="0"/>
          <w:numId w:val="0"/>
        </w:numPr>
        <w:spacing w:before="0" w:after="0"/>
        <w:ind w:left="142" w:hanging="142"/>
        <w:jc w:val="left"/>
      </w:pPr>
      <w:r>
        <w:t>República Unida de Tanzanía</w:t>
      </w:r>
    </w:p>
    <w:p w14:paraId="7F460FAE" w14:textId="77777777" w:rsidR="005D6DC3" w:rsidRPr="005D6DC3" w:rsidRDefault="005D6DC3" w:rsidP="009865BF">
      <w:pPr>
        <w:pStyle w:val="Para1"/>
        <w:numPr>
          <w:ilvl w:val="0"/>
          <w:numId w:val="0"/>
        </w:numPr>
        <w:spacing w:before="0" w:after="0"/>
        <w:ind w:left="142" w:hanging="142"/>
        <w:jc w:val="left"/>
        <w:rPr>
          <w:lang w:val="en-US"/>
        </w:rPr>
      </w:pPr>
      <w:r w:rsidRPr="005D6DC3">
        <w:rPr>
          <w:lang w:val="en-US"/>
        </w:rPr>
        <w:t>Rumania</w:t>
      </w:r>
    </w:p>
    <w:p w14:paraId="3DD48C7C" w14:textId="77777777" w:rsidR="005D6DC3" w:rsidRPr="005D6DC3" w:rsidRDefault="005D6DC3" w:rsidP="009865BF">
      <w:pPr>
        <w:pStyle w:val="Para1"/>
        <w:numPr>
          <w:ilvl w:val="0"/>
          <w:numId w:val="0"/>
        </w:numPr>
        <w:spacing w:before="0" w:after="0"/>
        <w:ind w:left="142" w:hanging="142"/>
        <w:jc w:val="left"/>
        <w:rPr>
          <w:lang w:val="en-US"/>
        </w:rPr>
      </w:pPr>
      <w:r w:rsidRPr="005D6DC3">
        <w:rPr>
          <w:lang w:val="en-US"/>
        </w:rPr>
        <w:t>Rwanda</w:t>
      </w:r>
    </w:p>
    <w:p w14:paraId="1E1E37B5" w14:textId="77777777" w:rsidR="005D6DC3" w:rsidRPr="005D6DC3" w:rsidRDefault="005D6DC3" w:rsidP="009865BF">
      <w:pPr>
        <w:pStyle w:val="Para1"/>
        <w:numPr>
          <w:ilvl w:val="0"/>
          <w:numId w:val="0"/>
        </w:numPr>
        <w:spacing w:before="0" w:after="0"/>
        <w:ind w:left="142" w:hanging="142"/>
        <w:jc w:val="left"/>
        <w:rPr>
          <w:lang w:val="en-US"/>
        </w:rPr>
      </w:pPr>
      <w:r w:rsidRPr="005D6DC3">
        <w:rPr>
          <w:lang w:val="en-US"/>
        </w:rPr>
        <w:t>Saint Kitts y Nevis</w:t>
      </w:r>
    </w:p>
    <w:p w14:paraId="084BD93F" w14:textId="77777777" w:rsidR="005D6DC3" w:rsidRPr="004259FB" w:rsidRDefault="005D6DC3" w:rsidP="009865BF">
      <w:pPr>
        <w:pStyle w:val="Para1"/>
        <w:numPr>
          <w:ilvl w:val="0"/>
          <w:numId w:val="0"/>
        </w:numPr>
        <w:spacing w:before="0" w:after="0"/>
        <w:ind w:left="142" w:hanging="142"/>
        <w:jc w:val="left"/>
      </w:pPr>
      <w:r>
        <w:t>Samoa</w:t>
      </w:r>
    </w:p>
    <w:p w14:paraId="60DA0C18" w14:textId="77777777" w:rsidR="005D6DC3" w:rsidRPr="009C3E84" w:rsidRDefault="005D6DC3" w:rsidP="009865BF">
      <w:pPr>
        <w:pStyle w:val="Para1"/>
        <w:numPr>
          <w:ilvl w:val="0"/>
          <w:numId w:val="0"/>
        </w:numPr>
        <w:spacing w:before="0" w:after="0"/>
        <w:ind w:left="142" w:hanging="142"/>
        <w:jc w:val="left"/>
      </w:pPr>
      <w:r>
        <w:t>San Vicente y las Granadinas</w:t>
      </w:r>
    </w:p>
    <w:p w14:paraId="280ED621" w14:textId="77777777" w:rsidR="005D6DC3" w:rsidRPr="009C3E84" w:rsidRDefault="005D6DC3" w:rsidP="009865BF">
      <w:pPr>
        <w:pStyle w:val="Para1"/>
        <w:numPr>
          <w:ilvl w:val="0"/>
          <w:numId w:val="0"/>
        </w:numPr>
        <w:spacing w:before="0" w:after="0"/>
        <w:ind w:left="142" w:hanging="142"/>
        <w:jc w:val="left"/>
      </w:pPr>
      <w:r>
        <w:t>Santa Lucía</w:t>
      </w:r>
    </w:p>
    <w:p w14:paraId="5C39688F" w14:textId="77777777" w:rsidR="005D6DC3" w:rsidRPr="004259FB" w:rsidRDefault="005D6DC3" w:rsidP="009865BF">
      <w:pPr>
        <w:pStyle w:val="Para1"/>
        <w:numPr>
          <w:ilvl w:val="0"/>
          <w:numId w:val="0"/>
        </w:numPr>
        <w:spacing w:before="0" w:after="0"/>
        <w:ind w:left="142" w:hanging="142"/>
        <w:jc w:val="left"/>
      </w:pPr>
      <w:r>
        <w:t>Senegal</w:t>
      </w:r>
    </w:p>
    <w:p w14:paraId="216D151C" w14:textId="77777777" w:rsidR="005D6DC3" w:rsidRPr="004259FB" w:rsidRDefault="005D6DC3" w:rsidP="009865BF">
      <w:pPr>
        <w:pStyle w:val="Para1"/>
        <w:numPr>
          <w:ilvl w:val="0"/>
          <w:numId w:val="0"/>
        </w:numPr>
        <w:spacing w:before="0" w:after="0"/>
        <w:ind w:left="142" w:hanging="142"/>
        <w:jc w:val="left"/>
      </w:pPr>
      <w:r>
        <w:lastRenderedPageBreak/>
        <w:t>Serbia</w:t>
      </w:r>
    </w:p>
    <w:p w14:paraId="70CFA0DF" w14:textId="77777777" w:rsidR="005D6DC3" w:rsidRPr="004259FB" w:rsidRDefault="005D6DC3" w:rsidP="009865BF">
      <w:pPr>
        <w:pStyle w:val="Para1"/>
        <w:numPr>
          <w:ilvl w:val="0"/>
          <w:numId w:val="0"/>
        </w:numPr>
        <w:spacing w:before="0" w:after="0"/>
        <w:ind w:left="142" w:hanging="142"/>
        <w:jc w:val="left"/>
      </w:pPr>
      <w:r>
        <w:t>Seychelles</w:t>
      </w:r>
    </w:p>
    <w:p w14:paraId="685B72B6" w14:textId="77777777" w:rsidR="005D6DC3" w:rsidRPr="004259FB" w:rsidRDefault="005D6DC3" w:rsidP="009865BF">
      <w:pPr>
        <w:pStyle w:val="Para1"/>
        <w:numPr>
          <w:ilvl w:val="0"/>
          <w:numId w:val="0"/>
        </w:numPr>
        <w:spacing w:before="0" w:after="0"/>
        <w:ind w:left="142" w:hanging="142"/>
        <w:jc w:val="left"/>
      </w:pPr>
      <w:r>
        <w:t>Sierra Leona</w:t>
      </w:r>
    </w:p>
    <w:p w14:paraId="174C98F2" w14:textId="77777777" w:rsidR="005D6DC3" w:rsidRPr="009C3E84" w:rsidRDefault="005D6DC3" w:rsidP="009865BF">
      <w:pPr>
        <w:pStyle w:val="Para1"/>
        <w:numPr>
          <w:ilvl w:val="0"/>
          <w:numId w:val="0"/>
        </w:numPr>
        <w:spacing w:before="0" w:after="0"/>
        <w:ind w:left="142" w:hanging="142"/>
        <w:jc w:val="left"/>
      </w:pPr>
      <w:r>
        <w:t>Somalia</w:t>
      </w:r>
    </w:p>
    <w:p w14:paraId="709433CF" w14:textId="77777777" w:rsidR="005D6DC3" w:rsidRPr="009C3E84" w:rsidRDefault="005D6DC3" w:rsidP="009865BF">
      <w:pPr>
        <w:pStyle w:val="Para1"/>
        <w:numPr>
          <w:ilvl w:val="0"/>
          <w:numId w:val="0"/>
        </w:numPr>
        <w:spacing w:before="0" w:after="0"/>
        <w:ind w:left="142" w:hanging="142"/>
        <w:jc w:val="left"/>
      </w:pPr>
      <w:r>
        <w:t>Sri Lanka</w:t>
      </w:r>
    </w:p>
    <w:p w14:paraId="00947960" w14:textId="77777777" w:rsidR="005D6DC3" w:rsidRPr="009C3E84" w:rsidRDefault="005D6DC3" w:rsidP="009865BF">
      <w:pPr>
        <w:pStyle w:val="Para1"/>
        <w:numPr>
          <w:ilvl w:val="0"/>
          <w:numId w:val="0"/>
        </w:numPr>
        <w:spacing w:before="0" w:after="0"/>
        <w:ind w:left="142" w:hanging="142"/>
        <w:jc w:val="left"/>
      </w:pPr>
      <w:r>
        <w:t>Sudáfrica</w:t>
      </w:r>
    </w:p>
    <w:p w14:paraId="5B00FE03" w14:textId="77777777" w:rsidR="005D6DC3" w:rsidRPr="009C3E84" w:rsidRDefault="005D6DC3" w:rsidP="009865BF">
      <w:pPr>
        <w:pStyle w:val="Para1"/>
        <w:numPr>
          <w:ilvl w:val="0"/>
          <w:numId w:val="0"/>
        </w:numPr>
        <w:spacing w:before="0" w:after="0"/>
        <w:ind w:left="142" w:hanging="142"/>
        <w:jc w:val="left"/>
      </w:pPr>
      <w:r>
        <w:t>Sudán</w:t>
      </w:r>
    </w:p>
    <w:p w14:paraId="501DA463" w14:textId="77777777" w:rsidR="005D6DC3" w:rsidRPr="009C3E84" w:rsidRDefault="005D6DC3" w:rsidP="009865BF">
      <w:pPr>
        <w:pStyle w:val="Para1"/>
        <w:numPr>
          <w:ilvl w:val="0"/>
          <w:numId w:val="0"/>
        </w:numPr>
        <w:spacing w:before="0" w:after="0"/>
        <w:ind w:left="142" w:hanging="142"/>
        <w:jc w:val="left"/>
      </w:pPr>
      <w:r>
        <w:t>Suecia</w:t>
      </w:r>
    </w:p>
    <w:p w14:paraId="1C385377" w14:textId="77777777" w:rsidR="005D6DC3" w:rsidRPr="009C3E84" w:rsidRDefault="005D6DC3" w:rsidP="009865BF">
      <w:pPr>
        <w:pStyle w:val="Para1"/>
        <w:numPr>
          <w:ilvl w:val="0"/>
          <w:numId w:val="0"/>
        </w:numPr>
        <w:spacing w:before="0" w:after="0"/>
        <w:ind w:left="142" w:hanging="142"/>
        <w:jc w:val="left"/>
      </w:pPr>
      <w:r>
        <w:t>Suiza</w:t>
      </w:r>
    </w:p>
    <w:p w14:paraId="37E6CC7B" w14:textId="77777777" w:rsidR="005D6DC3" w:rsidRPr="009C3E84" w:rsidRDefault="005D6DC3" w:rsidP="009865BF">
      <w:pPr>
        <w:pStyle w:val="Para1"/>
        <w:numPr>
          <w:ilvl w:val="0"/>
          <w:numId w:val="0"/>
        </w:numPr>
        <w:spacing w:before="0" w:after="0"/>
        <w:ind w:left="142" w:hanging="142"/>
        <w:jc w:val="left"/>
      </w:pPr>
      <w:r>
        <w:t>Suriname</w:t>
      </w:r>
    </w:p>
    <w:p w14:paraId="2C3F52C4" w14:textId="77777777" w:rsidR="005D6DC3" w:rsidRPr="009C3E84" w:rsidRDefault="005D6DC3" w:rsidP="009865BF">
      <w:pPr>
        <w:pStyle w:val="Para1"/>
        <w:numPr>
          <w:ilvl w:val="0"/>
          <w:numId w:val="0"/>
        </w:numPr>
        <w:spacing w:before="0" w:after="0"/>
        <w:ind w:left="142" w:hanging="142"/>
        <w:jc w:val="left"/>
      </w:pPr>
      <w:r>
        <w:t>Tailandia</w:t>
      </w:r>
    </w:p>
    <w:p w14:paraId="1456F901" w14:textId="77777777" w:rsidR="005D6DC3" w:rsidRPr="009C3E84" w:rsidRDefault="005D6DC3" w:rsidP="009865BF">
      <w:pPr>
        <w:pStyle w:val="Para1"/>
        <w:numPr>
          <w:ilvl w:val="0"/>
          <w:numId w:val="0"/>
        </w:numPr>
        <w:spacing w:before="0" w:after="0"/>
        <w:ind w:left="142" w:hanging="142"/>
        <w:jc w:val="left"/>
      </w:pPr>
      <w:r>
        <w:t>Tayikistán</w:t>
      </w:r>
    </w:p>
    <w:p w14:paraId="679B5FFF" w14:textId="77777777" w:rsidR="005D6DC3" w:rsidRPr="009C3E84" w:rsidRDefault="005D6DC3" w:rsidP="009865BF">
      <w:pPr>
        <w:pStyle w:val="Para1"/>
        <w:numPr>
          <w:ilvl w:val="0"/>
          <w:numId w:val="0"/>
        </w:numPr>
        <w:spacing w:before="0" w:after="0"/>
        <w:ind w:left="142" w:hanging="142"/>
        <w:jc w:val="left"/>
      </w:pPr>
      <w:r>
        <w:t>Timor-Leste</w:t>
      </w:r>
    </w:p>
    <w:p w14:paraId="4EBEA229" w14:textId="77777777" w:rsidR="005D6DC3" w:rsidRPr="009C3E84" w:rsidRDefault="005D6DC3" w:rsidP="009865BF">
      <w:pPr>
        <w:pStyle w:val="Para1"/>
        <w:numPr>
          <w:ilvl w:val="0"/>
          <w:numId w:val="0"/>
        </w:numPr>
        <w:spacing w:before="0" w:after="0"/>
        <w:ind w:left="142" w:hanging="142"/>
        <w:jc w:val="left"/>
      </w:pPr>
      <w:r>
        <w:t>Togo</w:t>
      </w:r>
    </w:p>
    <w:p w14:paraId="025FE7A6" w14:textId="77777777" w:rsidR="005D6DC3" w:rsidRPr="009C3E84" w:rsidRDefault="005D6DC3" w:rsidP="009865BF">
      <w:pPr>
        <w:pStyle w:val="Para1"/>
        <w:numPr>
          <w:ilvl w:val="0"/>
          <w:numId w:val="0"/>
        </w:numPr>
        <w:spacing w:before="0" w:after="0"/>
        <w:ind w:left="142" w:hanging="142"/>
        <w:jc w:val="left"/>
      </w:pPr>
      <w:r>
        <w:t>Tonga</w:t>
      </w:r>
    </w:p>
    <w:p w14:paraId="34467C3C" w14:textId="77777777" w:rsidR="005D6DC3" w:rsidRPr="009C3E84" w:rsidRDefault="005D6DC3" w:rsidP="009865BF">
      <w:pPr>
        <w:pStyle w:val="Para1"/>
        <w:numPr>
          <w:ilvl w:val="0"/>
          <w:numId w:val="0"/>
        </w:numPr>
        <w:spacing w:before="0" w:after="0"/>
        <w:ind w:left="142" w:hanging="142"/>
        <w:jc w:val="left"/>
      </w:pPr>
      <w:r>
        <w:t>Trinidad y Tabago</w:t>
      </w:r>
    </w:p>
    <w:p w14:paraId="0F18D4BB" w14:textId="77777777" w:rsidR="005D6DC3" w:rsidRPr="009C3E84" w:rsidRDefault="005D6DC3" w:rsidP="009865BF">
      <w:pPr>
        <w:pStyle w:val="Para1"/>
        <w:numPr>
          <w:ilvl w:val="0"/>
          <w:numId w:val="0"/>
        </w:numPr>
        <w:spacing w:before="0" w:after="0"/>
        <w:ind w:left="142" w:hanging="142"/>
        <w:jc w:val="left"/>
      </w:pPr>
      <w:r>
        <w:t>Túnez</w:t>
      </w:r>
    </w:p>
    <w:p w14:paraId="46A5C6A0" w14:textId="77777777" w:rsidR="005D6DC3" w:rsidRPr="009C3E84" w:rsidRDefault="005D6DC3" w:rsidP="009865BF">
      <w:pPr>
        <w:pStyle w:val="Para1"/>
        <w:numPr>
          <w:ilvl w:val="0"/>
          <w:numId w:val="0"/>
        </w:numPr>
        <w:spacing w:before="0" w:after="0"/>
        <w:ind w:left="142" w:hanging="142"/>
        <w:jc w:val="left"/>
      </w:pPr>
      <w:r>
        <w:t>Türkiye</w:t>
      </w:r>
    </w:p>
    <w:p w14:paraId="60C1C6E8" w14:textId="77777777" w:rsidR="005D6DC3" w:rsidRPr="009C3E84" w:rsidRDefault="005D6DC3" w:rsidP="009865BF">
      <w:pPr>
        <w:pStyle w:val="Para1"/>
        <w:numPr>
          <w:ilvl w:val="0"/>
          <w:numId w:val="0"/>
        </w:numPr>
        <w:spacing w:before="0" w:after="0"/>
        <w:ind w:left="142" w:hanging="142"/>
        <w:jc w:val="left"/>
      </w:pPr>
      <w:r>
        <w:t>Turkmenistán</w:t>
      </w:r>
    </w:p>
    <w:p w14:paraId="04F8A9DF" w14:textId="77777777" w:rsidR="005D6DC3" w:rsidRPr="009C3E84" w:rsidRDefault="005D6DC3" w:rsidP="009865BF">
      <w:pPr>
        <w:pStyle w:val="Para1"/>
        <w:numPr>
          <w:ilvl w:val="0"/>
          <w:numId w:val="0"/>
        </w:numPr>
        <w:spacing w:before="0" w:after="0"/>
        <w:ind w:left="142" w:hanging="142"/>
        <w:jc w:val="left"/>
      </w:pPr>
      <w:r>
        <w:t>Tuvalu</w:t>
      </w:r>
    </w:p>
    <w:p w14:paraId="52997F97" w14:textId="77777777" w:rsidR="005D6DC3" w:rsidRPr="009C3E84" w:rsidRDefault="005D6DC3" w:rsidP="009865BF">
      <w:pPr>
        <w:pStyle w:val="Para1"/>
        <w:numPr>
          <w:ilvl w:val="0"/>
          <w:numId w:val="0"/>
        </w:numPr>
        <w:spacing w:before="0" w:after="0"/>
        <w:ind w:left="142" w:hanging="142"/>
        <w:jc w:val="left"/>
      </w:pPr>
      <w:r>
        <w:t>Ucrania</w:t>
      </w:r>
    </w:p>
    <w:p w14:paraId="65C0AACE" w14:textId="77777777" w:rsidR="005D6DC3" w:rsidRPr="009C3E84" w:rsidRDefault="005D6DC3" w:rsidP="009865BF">
      <w:pPr>
        <w:pStyle w:val="Para1"/>
        <w:numPr>
          <w:ilvl w:val="0"/>
          <w:numId w:val="0"/>
        </w:numPr>
        <w:spacing w:before="0" w:after="0"/>
        <w:ind w:left="142" w:hanging="142"/>
        <w:jc w:val="left"/>
      </w:pPr>
      <w:r>
        <w:t>Uganda</w:t>
      </w:r>
    </w:p>
    <w:p w14:paraId="2B6590B5" w14:textId="77777777" w:rsidR="005D6DC3" w:rsidRPr="009C3E84" w:rsidRDefault="005D6DC3" w:rsidP="009865BF">
      <w:pPr>
        <w:pStyle w:val="Para1"/>
        <w:numPr>
          <w:ilvl w:val="0"/>
          <w:numId w:val="0"/>
        </w:numPr>
        <w:spacing w:before="0" w:after="0"/>
        <w:ind w:left="142" w:hanging="142"/>
        <w:jc w:val="left"/>
      </w:pPr>
      <w:r>
        <w:t>Unión Europea</w:t>
      </w:r>
    </w:p>
    <w:p w14:paraId="726D2A7F" w14:textId="77777777" w:rsidR="005D6DC3" w:rsidRPr="009C3E84" w:rsidRDefault="005D6DC3" w:rsidP="009865BF">
      <w:pPr>
        <w:pStyle w:val="Para1"/>
        <w:numPr>
          <w:ilvl w:val="0"/>
          <w:numId w:val="0"/>
        </w:numPr>
        <w:spacing w:before="0" w:after="0"/>
        <w:ind w:left="142" w:hanging="142"/>
        <w:jc w:val="left"/>
      </w:pPr>
      <w:r>
        <w:t>Uruguay</w:t>
      </w:r>
    </w:p>
    <w:p w14:paraId="6104338F" w14:textId="77777777" w:rsidR="005D6DC3" w:rsidRPr="009C3E84" w:rsidRDefault="005D6DC3" w:rsidP="009865BF">
      <w:pPr>
        <w:pStyle w:val="Para1"/>
        <w:numPr>
          <w:ilvl w:val="0"/>
          <w:numId w:val="0"/>
        </w:numPr>
        <w:spacing w:before="0" w:after="0"/>
        <w:ind w:left="142" w:hanging="142"/>
        <w:jc w:val="left"/>
      </w:pPr>
      <w:r>
        <w:t>Uzbekistán</w:t>
      </w:r>
    </w:p>
    <w:p w14:paraId="793AE4AA" w14:textId="77777777" w:rsidR="005D6DC3" w:rsidRPr="009C3E84" w:rsidRDefault="005D6DC3" w:rsidP="009865BF">
      <w:pPr>
        <w:pStyle w:val="Para1"/>
        <w:numPr>
          <w:ilvl w:val="0"/>
          <w:numId w:val="0"/>
        </w:numPr>
        <w:spacing w:before="0" w:after="0"/>
        <w:ind w:left="142" w:hanging="142"/>
        <w:jc w:val="left"/>
      </w:pPr>
      <w:r>
        <w:t>Venezuela (República Bolivariana de)</w:t>
      </w:r>
    </w:p>
    <w:p w14:paraId="6363474A" w14:textId="77777777" w:rsidR="005D6DC3" w:rsidRPr="009C3E84" w:rsidRDefault="005D6DC3" w:rsidP="009865BF">
      <w:pPr>
        <w:pStyle w:val="Para1"/>
        <w:numPr>
          <w:ilvl w:val="0"/>
          <w:numId w:val="0"/>
        </w:numPr>
        <w:spacing w:before="0" w:after="0"/>
        <w:ind w:left="142" w:hanging="142"/>
        <w:jc w:val="left"/>
      </w:pPr>
      <w:r>
        <w:t>Viet Nam</w:t>
      </w:r>
    </w:p>
    <w:p w14:paraId="72B2D3B2" w14:textId="77777777" w:rsidR="005D6DC3" w:rsidRPr="009C3E84" w:rsidRDefault="005D6DC3" w:rsidP="009865BF">
      <w:pPr>
        <w:pStyle w:val="Para1"/>
        <w:numPr>
          <w:ilvl w:val="0"/>
          <w:numId w:val="0"/>
        </w:numPr>
        <w:spacing w:before="0" w:after="0"/>
        <w:ind w:left="142" w:hanging="142"/>
        <w:jc w:val="left"/>
      </w:pPr>
      <w:r>
        <w:t>Yemen</w:t>
      </w:r>
    </w:p>
    <w:p w14:paraId="5170507E" w14:textId="77777777" w:rsidR="005D6DC3" w:rsidRPr="009C3E84" w:rsidRDefault="005D6DC3" w:rsidP="009865BF">
      <w:pPr>
        <w:pStyle w:val="Para1"/>
        <w:numPr>
          <w:ilvl w:val="0"/>
          <w:numId w:val="0"/>
        </w:numPr>
        <w:spacing w:before="0" w:after="0"/>
        <w:ind w:left="142" w:hanging="142"/>
        <w:jc w:val="left"/>
      </w:pPr>
      <w:r>
        <w:t>Zambia</w:t>
      </w:r>
    </w:p>
    <w:p w14:paraId="5CCCE34A" w14:textId="77777777" w:rsidR="005D6DC3" w:rsidRPr="009C3E84" w:rsidRDefault="005D6DC3" w:rsidP="002E3292">
      <w:pPr>
        <w:pStyle w:val="Para1"/>
        <w:numPr>
          <w:ilvl w:val="0"/>
          <w:numId w:val="0"/>
        </w:numPr>
        <w:spacing w:before="0"/>
        <w:ind w:left="142" w:hanging="142"/>
      </w:pPr>
      <w:r>
        <w:t>Zimbabwe</w:t>
      </w:r>
    </w:p>
    <w:p w14:paraId="365C128D" w14:textId="77777777" w:rsidR="00E3562C" w:rsidRPr="009C3E84" w:rsidRDefault="00E3562C" w:rsidP="002E3292">
      <w:pPr>
        <w:pStyle w:val="Para1"/>
        <w:numPr>
          <w:ilvl w:val="0"/>
          <w:numId w:val="0"/>
        </w:numPr>
        <w:sectPr w:rsidR="00E3562C" w:rsidRPr="009C3E84" w:rsidSect="00E622EA">
          <w:type w:val="continuous"/>
          <w:pgSz w:w="12240" w:h="15840"/>
          <w:pgMar w:top="1021" w:right="1440" w:bottom="1021" w:left="1440" w:header="459" w:footer="720" w:gutter="0"/>
          <w:cols w:num="3" w:space="708"/>
          <w:docGrid w:linePitch="360"/>
        </w:sectPr>
      </w:pPr>
    </w:p>
    <w:p w14:paraId="60EADAAE" w14:textId="77777777" w:rsidR="007C64EF" w:rsidRPr="009C3E84" w:rsidRDefault="007C64EF" w:rsidP="007C64EF">
      <w:pPr>
        <w:pStyle w:val="Para1"/>
        <w:numPr>
          <w:ilvl w:val="0"/>
          <w:numId w:val="0"/>
        </w:numPr>
        <w:rPr>
          <w:i/>
          <w:iCs/>
          <w:sz w:val="18"/>
          <w:szCs w:val="18"/>
        </w:rPr>
      </w:pPr>
    </w:p>
    <w:p w14:paraId="5EAEF261" w14:textId="3D284BE0" w:rsidR="00471731" w:rsidRPr="009C3E84" w:rsidRDefault="0028788F" w:rsidP="007C64EF">
      <w:pPr>
        <w:pStyle w:val="Para1"/>
        <w:numPr>
          <w:ilvl w:val="0"/>
          <w:numId w:val="0"/>
        </w:numPr>
        <w:rPr>
          <w:sz w:val="18"/>
          <w:szCs w:val="18"/>
        </w:rPr>
      </w:pPr>
      <w:r>
        <w:rPr>
          <w:i/>
          <w:sz w:val="18"/>
        </w:rPr>
        <w:t>Nota</w:t>
      </w:r>
      <w:r>
        <w:rPr>
          <w:sz w:val="18"/>
        </w:rPr>
        <w:t>: Las Partes indicadas con un “1” estuvieron representadas en la segunda parte de la reunión únicamente; aquellas indicadas con un “2” estuvieron representadas en la continuación de la segunda parte únicamente; y aquellas que no tienen ningún indicador estuvieron representadas en ambas. [Se añadirán las indicaciones]</w:t>
      </w:r>
    </w:p>
    <w:p w14:paraId="5BC82612" w14:textId="4D8E7DE3" w:rsidR="00E3562C" w:rsidRPr="009C3E84" w:rsidRDefault="00E3562C" w:rsidP="009865BF">
      <w:pPr>
        <w:pStyle w:val="Para1"/>
      </w:pPr>
      <w:r>
        <w:t>Los siguientes Estados que no son Partes en el Protocolo de Cartagena también estuvieron representados tanto en la segunda parte como en la continuación de la segunda parte. Argentina, Australia, Canadá, Chile, Estados Unidos de América, Guinea Ecuatorial, Federación de Rusia, Haití, Islas Cook, Islandia, Liechtenstein, Micronesia (Estados Federados de), Mónaco, Nepal, Santa Sede, Santo Tomé y Príncipe, Singapur, Sudán del Sur y Vanuatu. [se actualizará]</w:t>
      </w:r>
    </w:p>
    <w:p w14:paraId="01A4715B" w14:textId="4C24F706" w:rsidR="0071239B" w:rsidRPr="009C3E84" w:rsidRDefault="0071239B" w:rsidP="00E622EA">
      <w:pPr>
        <w:numPr>
          <w:ilvl w:val="0"/>
          <w:numId w:val="36"/>
        </w:numPr>
        <w:suppressLineNumbers/>
        <w:tabs>
          <w:tab w:val="left" w:pos="720"/>
        </w:tabs>
        <w:suppressAutoHyphens/>
        <w:kinsoku w:val="0"/>
        <w:overflowPunct w:val="0"/>
        <w:autoSpaceDE w:val="0"/>
        <w:autoSpaceDN w:val="0"/>
        <w:adjustRightInd w:val="0"/>
        <w:snapToGrid w:val="0"/>
        <w:spacing w:before="120" w:after="120"/>
      </w:pPr>
      <w:r>
        <w:t xml:space="preserve">La lista de organizaciones representadas en la reunión figura en el anexo I del informe de la 15.ª reunión de la Conferencia de las Partes </w:t>
      </w:r>
    </w:p>
    <w:bookmarkEnd w:id="1"/>
    <w:p w14:paraId="20322965" w14:textId="6D983FF8" w:rsidR="00E3562C" w:rsidRPr="009C3E84" w:rsidRDefault="00E3562C" w:rsidP="002D6D61">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b/>
          <w:snapToGrid w:val="0"/>
        </w:rPr>
        <w:t>Tema 1.</w:t>
      </w:r>
      <w:r>
        <w:rPr>
          <w:rFonts w:asciiTheme="majorBidi" w:hAnsiTheme="majorBidi"/>
          <w:b/>
          <w:snapToGrid w:val="0"/>
        </w:rPr>
        <w:tab/>
        <w:t xml:space="preserve">Apertura de la reunión </w:t>
      </w:r>
    </w:p>
    <w:p w14:paraId="778EB312" w14:textId="478F9A24" w:rsidR="00E3562C" w:rsidRPr="009C3E84" w:rsidRDefault="00E3562C" w:rsidP="003401C3">
      <w:pPr>
        <w:numPr>
          <w:ilvl w:val="0"/>
          <w:numId w:val="36"/>
        </w:numPr>
        <w:suppressLineNumbers/>
        <w:tabs>
          <w:tab w:val="left" w:pos="720"/>
        </w:tabs>
        <w:suppressAutoHyphens/>
        <w:kinsoku w:val="0"/>
        <w:overflowPunct w:val="0"/>
        <w:autoSpaceDE w:val="0"/>
        <w:autoSpaceDN w:val="0"/>
        <w:adjustRightInd w:val="0"/>
        <w:snapToGrid w:val="0"/>
        <w:spacing w:before="120" w:after="120"/>
        <w:rPr>
          <w:szCs w:val="22"/>
        </w:rPr>
      </w:pPr>
      <w:bookmarkStart w:id="2" w:name="_Hlk135294984"/>
      <w:bookmarkStart w:id="3" w:name="_Hlk121912763"/>
      <w:r>
        <w:t xml:space="preserve">La primera sesión plenaria se celebró conjuntamente con aquellas de la Conferencia de las Partes en el Convenio y de la Conferencia de las Partes que actúa como reunión de las Partes en el Protocolo de Nagoya, el 7 de diciembre de 2022. </w:t>
      </w:r>
      <w:bookmarkEnd w:id="2"/>
      <w:r>
        <w:t>El Presidente de los tres órganos, el Ministro de Ecología y Medio Ambiente de China, declaró inaugurada la segunda parte de las reuniones a las 10.25 horas</w:t>
      </w:r>
      <w:r w:rsidRPr="009C3E84">
        <w:rPr>
          <w:rStyle w:val="Refdenotaalpie"/>
          <w:szCs w:val="22"/>
          <w:u w:val="none"/>
          <w:vertAlign w:val="superscript"/>
        </w:rPr>
        <w:footnoteReference w:id="3"/>
      </w:r>
      <w:r>
        <w:t>.</w:t>
      </w:r>
      <w:bookmarkEnd w:id="3"/>
    </w:p>
    <w:p w14:paraId="75260B0C" w14:textId="77777777" w:rsidR="00D542D8" w:rsidRPr="009C3E84" w:rsidRDefault="00D542D8" w:rsidP="00D542D8">
      <w:pPr>
        <w:pStyle w:val="Ttulo4"/>
        <w:rPr>
          <w:rFonts w:asciiTheme="majorBidi" w:hAnsiTheme="majorBidi" w:cstheme="majorBidi"/>
          <w:b w:val="0"/>
          <w:bCs w:val="0"/>
          <w:iCs/>
          <w:snapToGrid w:val="0"/>
          <w:kern w:val="22"/>
        </w:rPr>
      </w:pPr>
      <w:r>
        <w:rPr>
          <w:rFonts w:asciiTheme="majorBidi" w:hAnsiTheme="majorBidi"/>
          <w:b w:val="0"/>
          <w:snapToGrid w:val="0"/>
        </w:rPr>
        <w:t>Continuación de la segunda parte</w:t>
      </w:r>
    </w:p>
    <w:p w14:paraId="4F82CA4A" w14:textId="459098DF" w:rsidR="00D542D8" w:rsidRPr="009C3E84" w:rsidRDefault="00D542D8" w:rsidP="00D542D8">
      <w:pPr>
        <w:pStyle w:val="Para1"/>
        <w:overflowPunct w:val="0"/>
        <w:autoSpaceDE w:val="0"/>
        <w:autoSpaceDN w:val="0"/>
        <w:snapToGrid w:val="0"/>
        <w:spacing w:before="0"/>
      </w:pPr>
      <w:r>
        <w:t xml:space="preserve">Tras la suspensión de la reunión el 19 de diciembre de 2022, esta se reanudó el 19 de octubre de 2023, en la sexta sesión plenaria de la Conferencia de las Partes que actúa como reunión de las Partes en el Protocolo de Cartagena. </w:t>
      </w:r>
    </w:p>
    <w:p w14:paraId="67974755" w14:textId="57457B6D" w:rsidR="00D542D8" w:rsidRPr="009C3E84" w:rsidRDefault="00D542D8" w:rsidP="00D542D8">
      <w:pPr>
        <w:pStyle w:val="Para1"/>
        <w:overflowPunct w:val="0"/>
        <w:autoSpaceDE w:val="0"/>
        <w:autoSpaceDN w:val="0"/>
        <w:snapToGrid w:val="0"/>
        <w:spacing w:before="0"/>
      </w:pPr>
      <w:r>
        <w:t>La continuación de la reunión fue inaugurada a las 16.05 horas por la Presidenta, Guomei Zhou, en representación del Presidente, Runqiu Huang, Ministro de Ecología y Medio Ambiente de China.</w:t>
      </w:r>
    </w:p>
    <w:p w14:paraId="1E7CDE74" w14:textId="41367EA9" w:rsidR="00D06672" w:rsidRPr="009C3E84" w:rsidRDefault="00D542D8" w:rsidP="00B07F4B">
      <w:pPr>
        <w:pStyle w:val="Para1"/>
        <w:overflowPunct w:val="0"/>
        <w:autoSpaceDE w:val="0"/>
        <w:autoSpaceDN w:val="0"/>
        <w:snapToGrid w:val="0"/>
        <w:spacing w:before="0"/>
      </w:pPr>
      <w:r>
        <w:t>Formularon declaraciones la Presidenta y Secretario Ejecutivo Interino del Convenio sobre la Diversidad Biológica, David Cooper.</w:t>
      </w:r>
    </w:p>
    <w:p w14:paraId="22EF6309" w14:textId="452B0573" w:rsidR="0036207C" w:rsidRPr="009C3E84" w:rsidRDefault="0036207C" w:rsidP="00D06672">
      <w:pPr>
        <w:pStyle w:val="Para1"/>
        <w:overflowPunct w:val="0"/>
        <w:autoSpaceDE w:val="0"/>
        <w:autoSpaceDN w:val="0"/>
        <w:snapToGrid w:val="0"/>
        <w:spacing w:before="0"/>
      </w:pPr>
      <w:r>
        <w:rPr>
          <w:rStyle w:val="ui-provider"/>
        </w:rPr>
        <w:t xml:space="preserve">En su </w:t>
      </w:r>
      <w:r>
        <w:t>declaración de apertura</w:t>
      </w:r>
      <w:r>
        <w:rPr>
          <w:rStyle w:val="ui-provider"/>
        </w:rPr>
        <w:t xml:space="preserve">, la Presidenta afirmó que la aplicación plena y efectiva del Marco Mundial de Biodiversidad de Kunming-Montreal, y cómo se traduciría el consenso en acciones, era un tema de interés común para la comunidad internacional. </w:t>
      </w:r>
      <w:r>
        <w:t>Hizo hincapié en que las Partes debían acelerar la actualización de sus estrategias y planes de acción nacionales en materia de biodiversidad en consonancia con el Marco, y acogió con satisfacción el Fondo para el Marco Mundial de Biodiversidad, que se había puesto en marcha en agosto de 2023 en la séptima Asamblea del Fondo para el Medio Ambiente Mundial.</w:t>
      </w:r>
      <w:r>
        <w:rPr>
          <w:rStyle w:val="ui-provider"/>
        </w:rPr>
        <w:t xml:space="preserve"> Afirmó que la comunidad internacional aguardaba con interés que la presente reunión concluyera con éxito, e hizo un llamamiento a todos los interesados para a que colaborasen en la implementación del Marco y en la recuperación de la biodiversidad mundial.</w:t>
      </w:r>
    </w:p>
    <w:p w14:paraId="79EDC264" w14:textId="6BBDD2BF" w:rsidR="00D542D8" w:rsidRPr="009C3E84" w:rsidRDefault="000F504D" w:rsidP="00D542D8">
      <w:pPr>
        <w:pStyle w:val="Para1"/>
        <w:overflowPunct w:val="0"/>
        <w:autoSpaceDE w:val="0"/>
        <w:autoSpaceDN w:val="0"/>
        <w:snapToGrid w:val="0"/>
        <w:spacing w:before="0"/>
      </w:pPr>
      <w:r>
        <w:rPr>
          <w:rStyle w:val="ui-provider"/>
        </w:rPr>
        <w:t xml:space="preserve">En su declaración de apertura, el Secretario Ejecutivo Interino reconoció los obstáculos de procedimiento que habían obligado a suspender la reunión de diciembre de 2022, e hizo un llamamiento a </w:t>
      </w:r>
      <w:r>
        <w:rPr>
          <w:rStyle w:val="ui-provider"/>
        </w:rPr>
        <w:lastRenderedPageBreak/>
        <w:t>la cooperación, la flexibilidad y la comprensión para garantizar la finalización de los temas pendientes, entre ellos la elección de la Mesa. Era esencial seguir reforzando el compromiso y el multilateralismo, trabajando juntos para alcanzar los objetivos y metas del Marco. Agradeció a los países donantes miembros de la Mesa su orientación y expresó su gratitud a las Partes que, mediante sus contribuciones financieras, habían permitido a la Secretaría convocar la presente reunión y habían apoyado la participación de representantes de países Partes con economías en desarrollo y en transición.</w:t>
      </w:r>
    </w:p>
    <w:p w14:paraId="5572CB05" w14:textId="024D402C" w:rsidR="00E3562C" w:rsidRPr="009C3E84" w:rsidRDefault="00E3562C" w:rsidP="002D6D61">
      <w:pPr>
        <w:tabs>
          <w:tab w:val="left" w:pos="851"/>
        </w:tabs>
        <w:kinsoku w:val="0"/>
        <w:overflowPunct w:val="0"/>
        <w:autoSpaceDE w:val="0"/>
        <w:autoSpaceDN w:val="0"/>
        <w:spacing w:before="120" w:after="240"/>
        <w:jc w:val="center"/>
        <w:rPr>
          <w:rFonts w:asciiTheme="majorBidi" w:hAnsiTheme="majorBidi" w:cstheme="majorBidi"/>
          <w:b/>
          <w:bCs/>
          <w:caps/>
          <w:snapToGrid w:val="0"/>
          <w:kern w:val="22"/>
        </w:rPr>
      </w:pPr>
      <w:r>
        <w:rPr>
          <w:rFonts w:asciiTheme="majorBidi" w:hAnsiTheme="majorBidi"/>
          <w:b/>
        </w:rPr>
        <w:t>Tema 2.</w:t>
      </w:r>
      <w:r>
        <w:rPr>
          <w:rFonts w:asciiTheme="majorBidi" w:hAnsiTheme="majorBidi"/>
          <w:b/>
          <w:caps/>
          <w:snapToGrid w:val="0"/>
        </w:rPr>
        <w:tab/>
      </w:r>
      <w:r>
        <w:rPr>
          <w:rFonts w:asciiTheme="majorBidi" w:hAnsiTheme="majorBidi"/>
          <w:b/>
          <w:snapToGrid w:val="0"/>
        </w:rPr>
        <w:t>Cuestiones de organización</w:t>
      </w:r>
    </w:p>
    <w:p w14:paraId="112ABD45" w14:textId="77777777" w:rsidR="00E3562C" w:rsidRPr="009C3E84" w:rsidRDefault="00E3562C" w:rsidP="00ED6C5E">
      <w:pPr>
        <w:pStyle w:val="Ttulo2"/>
        <w:rPr>
          <w:i w:val="0"/>
          <w:iCs w:val="0"/>
        </w:rPr>
      </w:pPr>
      <w:bookmarkStart w:id="4" w:name="_Hlk121913481"/>
      <w:r>
        <w:rPr>
          <w:i w:val="0"/>
        </w:rPr>
        <w:t>A.</w:t>
      </w:r>
      <w:r>
        <w:rPr>
          <w:i w:val="0"/>
        </w:rPr>
        <w:tab/>
        <w:t>Elección de la Mesa</w:t>
      </w:r>
    </w:p>
    <w:p w14:paraId="4B121EAB" w14:textId="6B1942BF" w:rsidR="00E3562C" w:rsidRPr="009C3E84" w:rsidRDefault="00E3562C"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De conformidad con el párrafo 3 del artículo 29 del Protocolo, la Mesa de la Conferencia de las Partes en el Convenio también actuó como Mesa de la Conferencia de las Partes que actúa como reunión de las Partes en el Protocolo de Cartagena.</w:t>
      </w:r>
      <w:r>
        <w:rPr>
          <w:color w:val="000000"/>
        </w:rPr>
        <w:t xml:space="preserve"> </w:t>
      </w:r>
    </w:p>
    <w:p w14:paraId="077FA7D8" w14:textId="53F0DA6D" w:rsidR="00E3562C" w:rsidRPr="009C3E84" w:rsidRDefault="00E3562C"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En su primera sesión plenaria, la Conferencia de las Partes que actúa como reunión de las Partes en el Protocolo de Cartagena tomó nota de que el Presidente, los Vicepresidentes y la Relatora, que habían ejercido esas funciones durante la primera parte de la 10ª reunión, seguirían desempeñándolas, con excepción de dos de los Vicepresidentes, que habían sido sustituidos desde entonces</w:t>
      </w:r>
      <w:r w:rsidRPr="009C3E84">
        <w:rPr>
          <w:rStyle w:val="Refdenotaalpie"/>
          <w:rFonts w:asciiTheme="majorBidi" w:hAnsiTheme="majorBidi" w:cstheme="majorBidi"/>
          <w:szCs w:val="18"/>
          <w:u w:val="none"/>
          <w:vertAlign w:val="superscript"/>
        </w:rPr>
        <w:footnoteReference w:id="4"/>
      </w:r>
      <w:r>
        <w:t xml:space="preserve">. </w:t>
      </w:r>
    </w:p>
    <w:p w14:paraId="2FABB8CA" w14:textId="5C1D3F02" w:rsidR="00E3562C" w:rsidRPr="009C3E84" w:rsidRDefault="00E3562C" w:rsidP="00502D1D">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En la 5ª sesión plenaria, el 19 de diciembre, tras la falta de consenso con respecto a las candidaturas de los miembros de la Mesa y de la Presidencia del Órgano Subsidiario de Asesoramiento Científico, Técnico y Tecnológico, así como la falta de quórum para tomar una decisión al respecto, el Presidente propuso suspender la segunda parte de las reuniones de los tres órganos para permitir que las Partes consideraran el asunto en una continuación de las reuniones, que se convocaría en una fecha posterior</w:t>
      </w:r>
      <w:r w:rsidRPr="009C3E84">
        <w:rPr>
          <w:rStyle w:val="Refdenotaalpie"/>
          <w:kern w:val="22"/>
          <w:szCs w:val="22"/>
          <w:u w:val="none"/>
          <w:vertAlign w:val="superscript"/>
        </w:rPr>
        <w:footnoteReference w:id="5"/>
      </w:r>
      <w:r>
        <w:t>.</w:t>
      </w:r>
    </w:p>
    <w:p w14:paraId="2F13C8AC" w14:textId="77777777" w:rsidR="00C36819" w:rsidRPr="009C3E84" w:rsidRDefault="00C36819" w:rsidP="00C36819">
      <w:pPr>
        <w:pStyle w:val="Para1"/>
        <w:numPr>
          <w:ilvl w:val="0"/>
          <w:numId w:val="0"/>
        </w:numPr>
        <w:rPr>
          <w:b/>
          <w:bCs/>
        </w:rPr>
      </w:pPr>
      <w:r>
        <w:rPr>
          <w:b/>
        </w:rPr>
        <w:t>Continuación de la segunda parte</w:t>
      </w:r>
    </w:p>
    <w:p w14:paraId="3DE3BBE8" w14:textId="78C4E73F" w:rsidR="00E622EA" w:rsidRPr="009C3E84" w:rsidRDefault="00E622EA" w:rsidP="00E622EA">
      <w:pPr>
        <w:pStyle w:val="Ttulo3"/>
        <w:tabs>
          <w:tab w:val="clear" w:pos="567"/>
        </w:tabs>
        <w:adjustRightInd w:val="0"/>
        <w:snapToGrid w:val="0"/>
        <w:jc w:val="left"/>
        <w:rPr>
          <w:snapToGrid w:val="0"/>
        </w:rPr>
      </w:pPr>
      <w:bookmarkStart w:id="5" w:name="_Toc879836"/>
      <w:r>
        <w:rPr>
          <w:snapToGrid w:val="0"/>
        </w:rPr>
        <w:t xml:space="preserve">Elección </w:t>
      </w:r>
      <w:bookmarkEnd w:id="5"/>
      <w:r w:rsidR="005D6DC3">
        <w:rPr>
          <w:snapToGrid w:val="0"/>
        </w:rPr>
        <w:t>del Presidente</w:t>
      </w:r>
    </w:p>
    <w:p w14:paraId="5784D410" w14:textId="5F76A104" w:rsidR="00C36819" w:rsidRPr="009C3E84" w:rsidRDefault="00C36819" w:rsidP="00C36819">
      <w:pPr>
        <w:pStyle w:val="Para1"/>
        <w:overflowPunct w:val="0"/>
        <w:autoSpaceDE w:val="0"/>
        <w:autoSpaceDN w:val="0"/>
        <w:snapToGrid w:val="0"/>
        <w:spacing w:before="0"/>
        <w:rPr>
          <w:snapToGrid/>
          <w:szCs w:val="24"/>
        </w:rPr>
      </w:pPr>
      <w:r>
        <w:t>[se completará]</w:t>
      </w:r>
    </w:p>
    <w:p w14:paraId="36055ADB" w14:textId="77777777" w:rsidR="00E622EA" w:rsidRPr="009C3E84" w:rsidRDefault="00E622EA" w:rsidP="00E622EA">
      <w:pPr>
        <w:keepNext/>
        <w:suppressLineNumbers/>
        <w:suppressAutoHyphens/>
        <w:kinsoku w:val="0"/>
        <w:overflowPunct w:val="0"/>
        <w:autoSpaceDE w:val="0"/>
        <w:autoSpaceDN w:val="0"/>
        <w:spacing w:before="120" w:after="120"/>
        <w:outlineLvl w:val="2"/>
        <w:rPr>
          <w:i/>
          <w:iCs/>
          <w:snapToGrid w:val="0"/>
          <w:kern w:val="22"/>
          <w:szCs w:val="22"/>
        </w:rPr>
      </w:pPr>
      <w:bookmarkStart w:id="6" w:name="_Toc879837"/>
      <w:bookmarkEnd w:id="4"/>
      <w:r>
        <w:rPr>
          <w:i/>
          <w:snapToGrid w:val="0"/>
        </w:rPr>
        <w:t>Elección de miembros sustitutos</w:t>
      </w:r>
      <w:bookmarkEnd w:id="6"/>
    </w:p>
    <w:p w14:paraId="1B8BFC6E" w14:textId="77777777" w:rsidR="00E622EA" w:rsidRPr="009C3E84" w:rsidRDefault="00E622EA" w:rsidP="00E622EA">
      <w:pPr>
        <w:pStyle w:val="Para1"/>
        <w:overflowPunct w:val="0"/>
        <w:autoSpaceDE w:val="0"/>
        <w:autoSpaceDN w:val="0"/>
        <w:snapToGrid w:val="0"/>
        <w:spacing w:before="0"/>
        <w:rPr>
          <w:snapToGrid/>
          <w:szCs w:val="24"/>
        </w:rPr>
      </w:pPr>
      <w:r>
        <w:t>[se completará]</w:t>
      </w:r>
    </w:p>
    <w:p w14:paraId="0B4AF43E" w14:textId="3C822401" w:rsidR="00E3562C" w:rsidRPr="009C3E84" w:rsidRDefault="00E3562C" w:rsidP="00ED6C5E">
      <w:pPr>
        <w:pStyle w:val="Ttulo2"/>
        <w:rPr>
          <w:i w:val="0"/>
          <w:iCs w:val="0"/>
          <w:szCs w:val="22"/>
        </w:rPr>
      </w:pPr>
      <w:r>
        <w:rPr>
          <w:i w:val="0"/>
        </w:rPr>
        <w:t>B.</w:t>
      </w:r>
      <w:r>
        <w:rPr>
          <w:i w:val="0"/>
        </w:rPr>
        <w:tab/>
        <w:t>Adopción del programa</w:t>
      </w:r>
    </w:p>
    <w:p w14:paraId="5D85F08A" w14:textId="519E1CD4" w:rsidR="00E3562C" w:rsidRPr="009C3E84" w:rsidRDefault="00E3562C" w:rsidP="009678B5">
      <w:pPr>
        <w:pStyle w:val="Para1"/>
        <w:rPr>
          <w:rFonts w:asciiTheme="majorBidi" w:eastAsiaTheme="minorEastAsia" w:hAnsiTheme="majorBidi" w:cstheme="majorBidi"/>
          <w:color w:val="000000" w:themeColor="text1"/>
        </w:rPr>
      </w:pPr>
      <w:bookmarkStart w:id="7" w:name="_Hlk121915715"/>
      <w:r>
        <w:t>El programa de la 10ª reunión de la Conferencia de las Partes que actúa como reunión de las Partes en el Protocolo de Cartagena, tal como fuera adoptado durante la primera parte de la reunión, fue el siguiente:</w:t>
      </w:r>
    </w:p>
    <w:p w14:paraId="293BEEF3" w14:textId="34AC97B8"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snapToGrid w:val="0"/>
        </w:rPr>
        <w:t>Apertura de la reunión.</w:t>
      </w:r>
    </w:p>
    <w:p w14:paraId="7B4ABC36" w14:textId="67E515A8"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snapToGrid w:val="0"/>
        </w:rPr>
        <w:t>Cuestiones de organización.</w:t>
      </w:r>
    </w:p>
    <w:p w14:paraId="7D235EF2" w14:textId="03C9BD99"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bookmarkStart w:id="8" w:name="_Hlk121915768"/>
      <w:bookmarkEnd w:id="7"/>
      <w:r>
        <w:rPr>
          <w:snapToGrid w:val="0"/>
        </w:rPr>
        <w:t>Informe sobre las credenciales de los representantes que participan en la 10ª reunión de la Conferencia de las Partes que actúa como reunión de las Partes en el Protocolo de Cartagena.</w:t>
      </w:r>
    </w:p>
    <w:p w14:paraId="50FE6984" w14:textId="73FB8428"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snapToGrid w:val="0"/>
        </w:rPr>
        <w:t>Informes de los órganos subsidiarios.</w:t>
      </w:r>
    </w:p>
    <w:p w14:paraId="4B22D3AE" w14:textId="4DCC1FDA"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snapToGrid w:val="0"/>
        </w:rPr>
        <w:t>Informe del Comité de Cumplimiento.</w:t>
      </w:r>
    </w:p>
    <w:p w14:paraId="121F952D" w14:textId="17B2D516" w:rsidR="00E3562C" w:rsidRPr="009C3E84" w:rsidRDefault="00E3562C" w:rsidP="007F0EAC">
      <w:pPr>
        <w:pStyle w:val="Prrafodelista"/>
        <w:numPr>
          <w:ilvl w:val="6"/>
          <w:numId w:val="36"/>
        </w:numPr>
        <w:kinsoku w:val="0"/>
        <w:overflowPunct w:val="0"/>
        <w:autoSpaceDE w:val="0"/>
        <w:autoSpaceDN w:val="0"/>
        <w:spacing w:before="120" w:after="120"/>
        <w:ind w:left="1152" w:hanging="720"/>
        <w:jc w:val="left"/>
        <w:rPr>
          <w:bCs/>
          <w:snapToGrid w:val="0"/>
          <w:kern w:val="22"/>
        </w:rPr>
      </w:pPr>
      <w:r>
        <w:rPr>
          <w:snapToGrid w:val="0"/>
        </w:rPr>
        <w:t>Administración del Protocolo y el presupuesto para los fondos fiduciarios.</w:t>
      </w:r>
    </w:p>
    <w:p w14:paraId="60AAA674" w14:textId="362DFD5C"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snapToGrid w:val="0"/>
          <w:kern w:val="22"/>
          <w:szCs w:val="22"/>
        </w:rPr>
      </w:pPr>
      <w:r>
        <w:rPr>
          <w:snapToGrid w:val="0"/>
        </w:rPr>
        <w:t>Plan de aplicación y plan de acción para la creación de capacidad para el Protocolo de Cartagena.</w:t>
      </w:r>
    </w:p>
    <w:p w14:paraId="0DC09872" w14:textId="2502B06E"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snapToGrid w:val="0"/>
        </w:rPr>
        <w:lastRenderedPageBreak/>
        <w:t>Vigilancia y presentación de informes (artículo 33).</w:t>
      </w:r>
    </w:p>
    <w:p w14:paraId="30A4FAE6" w14:textId="39C4DD83"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snapToGrid w:val="0"/>
        </w:rPr>
        <w:t>Evaluación y revisión de la eficacia del Protocolo (artículo 35) y evaluación final del Plan Estratégico para el Protocolo de Cartagena sobre Seguridad de la Biotecnología para el período 2011-2020.</w:t>
      </w:r>
    </w:p>
    <w:p w14:paraId="443A06D9" w14:textId="34322473"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snapToGrid w:val="0"/>
        </w:rPr>
        <w:t>Asuntos relacionados con el mecanismo financiero y los recursos financieros (artículo 28).</w:t>
      </w:r>
    </w:p>
    <w:p w14:paraId="01257CA4" w14:textId="24200636"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snapToGrid w:val="0"/>
        </w:rPr>
        <w:t>Funcionamiento y actividades del Centro de Intercambio de Información sobre Seguridad de la Biotecnología (artículo 20).</w:t>
      </w:r>
    </w:p>
    <w:p w14:paraId="162B4FD6" w14:textId="486A5FF4"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snapToGrid w:val="0"/>
        </w:rPr>
        <w:t>Cooperación con otras organizaciones, convenios e iniciativas.</w:t>
      </w:r>
    </w:p>
    <w:p w14:paraId="16A27753" w14:textId="7970025D"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snapToGrid w:val="0"/>
        </w:rPr>
        <w:t>Revisión de la eficacia de las estructuras y los procesos del Convenio y sus Protocolos.</w:t>
      </w:r>
    </w:p>
    <w:p w14:paraId="71C85B11" w14:textId="4513DC07"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snapToGrid w:val="0"/>
        </w:rPr>
        <w:t>Evaluación del riesgo y gestión del riesgo (artículos 15 y 16).</w:t>
      </w:r>
    </w:p>
    <w:p w14:paraId="2E5A8E4E" w14:textId="618E0151"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snapToGrid w:val="0"/>
        </w:rPr>
        <w:t>Detección e identificación de organismos vivos modificados.</w:t>
      </w:r>
    </w:p>
    <w:p w14:paraId="63121097" w14:textId="5072C507"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iCs/>
          <w:snapToGrid w:val="0"/>
          <w:kern w:val="22"/>
          <w:szCs w:val="22"/>
        </w:rPr>
      </w:pPr>
      <w:r>
        <w:rPr>
          <w:snapToGrid w:val="0"/>
        </w:rPr>
        <w:t>Consideraciones socioeconómicas (artículo 26).</w:t>
      </w:r>
    </w:p>
    <w:p w14:paraId="47134AEB" w14:textId="5DFD8099"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snapToGrid w:val="0"/>
        </w:rPr>
        <w:t>Protocolo Suplementario de Nagoya-Kuala Lumpur sobre Responsabilidad y Compensación.</w:t>
      </w:r>
    </w:p>
    <w:p w14:paraId="4A2DFFF3" w14:textId="6B45FF83"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snapToGrid w:val="0"/>
        </w:rPr>
        <w:t>Otros asuntos.</w:t>
      </w:r>
    </w:p>
    <w:p w14:paraId="61C0DA4D" w14:textId="7C769ED0" w:rsidR="00E3562C" w:rsidRPr="009C3E84" w:rsidRDefault="00E3562C" w:rsidP="007F0EAC">
      <w:pPr>
        <w:pStyle w:val="bodytextnoindent"/>
        <w:numPr>
          <w:ilvl w:val="6"/>
          <w:numId w:val="36"/>
        </w:numPr>
        <w:kinsoku w:val="0"/>
        <w:overflowPunct w:val="0"/>
        <w:autoSpaceDE w:val="0"/>
        <w:autoSpaceDN w:val="0"/>
        <w:spacing w:before="120" w:after="120"/>
        <w:ind w:left="1152" w:hanging="720"/>
        <w:jc w:val="left"/>
        <w:rPr>
          <w:bCs/>
          <w:snapToGrid w:val="0"/>
          <w:kern w:val="22"/>
          <w:szCs w:val="22"/>
        </w:rPr>
      </w:pPr>
      <w:r>
        <w:rPr>
          <w:snapToGrid w:val="0"/>
        </w:rPr>
        <w:t>Adopción del informe.</w:t>
      </w:r>
    </w:p>
    <w:p w14:paraId="3E83B1AF" w14:textId="06A52A1C" w:rsidR="00E3562C" w:rsidRPr="009C3E84" w:rsidRDefault="00E3562C" w:rsidP="007F0EAC">
      <w:pPr>
        <w:pStyle w:val="bodytextnoindent"/>
        <w:kinsoku w:val="0"/>
        <w:overflowPunct w:val="0"/>
        <w:autoSpaceDE w:val="0"/>
        <w:autoSpaceDN w:val="0"/>
        <w:spacing w:before="120" w:after="120"/>
        <w:ind w:left="1152"/>
        <w:jc w:val="left"/>
        <w:rPr>
          <w:bCs/>
          <w:snapToGrid w:val="0"/>
          <w:kern w:val="22"/>
          <w:szCs w:val="22"/>
        </w:rPr>
      </w:pPr>
      <w:r>
        <w:rPr>
          <w:snapToGrid w:val="0"/>
        </w:rPr>
        <w:t>20.</w:t>
      </w:r>
      <w:r>
        <w:rPr>
          <w:snapToGrid w:val="0"/>
        </w:rPr>
        <w:tab/>
        <w:t>Clausura de la reunión.</w:t>
      </w:r>
    </w:p>
    <w:bookmarkEnd w:id="8"/>
    <w:p w14:paraId="744E9C18" w14:textId="4BBBEB17" w:rsidR="00E3562C" w:rsidRPr="009C3E84" w:rsidRDefault="00E3562C" w:rsidP="00ED6C5E">
      <w:pPr>
        <w:pStyle w:val="Ttulo2"/>
        <w:rPr>
          <w:i w:val="0"/>
          <w:iCs w:val="0"/>
        </w:rPr>
      </w:pPr>
      <w:r>
        <w:rPr>
          <w:i w:val="0"/>
        </w:rPr>
        <w:t>C.</w:t>
      </w:r>
      <w:r>
        <w:rPr>
          <w:i w:val="0"/>
        </w:rPr>
        <w:tab/>
        <w:t>Organización de los trabajos</w:t>
      </w:r>
    </w:p>
    <w:p w14:paraId="53E0C83A" w14:textId="277D549C" w:rsidR="00E3562C" w:rsidRPr="009C3E84" w:rsidRDefault="00E3562C" w:rsidP="009678B5">
      <w:pPr>
        <w:numPr>
          <w:ilvl w:val="0"/>
          <w:numId w:val="36"/>
        </w:numPr>
        <w:suppressLineNumbers/>
        <w:suppressAutoHyphens/>
        <w:kinsoku w:val="0"/>
        <w:overflowPunct w:val="0"/>
        <w:autoSpaceDE w:val="0"/>
        <w:autoSpaceDN w:val="0"/>
        <w:adjustRightInd w:val="0"/>
        <w:snapToGrid w:val="0"/>
        <w:spacing w:before="120" w:after="120"/>
        <w:rPr>
          <w:snapToGrid w:val="0"/>
          <w:kern w:val="22"/>
          <w:szCs w:val="22"/>
        </w:rPr>
      </w:pPr>
      <w:bookmarkStart w:id="9" w:name="_Hlk122108880"/>
      <w:r>
        <w:t>En su primera sesión plenaria, la Conferencia de las Partes que actúa como reunión de las Partes en el Protocolo de Cartagena consideró una nota de la Secretaria Ejecutiva sobre la propuesta de organización de los trabajos para la segunda parte de su 10ª reunión (CBD/CP/MOP/10/1/Add.4/Rev.1) y convino en organizar su labor como se establecía en la nota. Los tres órganos, que celebraron la sesión en forma conjunta, establecieron dos grupos de trabajo que les prestarían asistencia y se eligió a Rosemary Paterson (Nueva Zelandia) como Presidenta del Grupo de Trabajo I y a Helena Jeffery Brown (Antigua y Barbuda) como Presidenta del Grupo de Trabajo II.</w:t>
      </w:r>
    </w:p>
    <w:p w14:paraId="7F567561" w14:textId="77777777" w:rsidR="00E3562C" w:rsidRPr="009C3E84" w:rsidRDefault="00E3562C" w:rsidP="003B1E1A">
      <w:pPr>
        <w:pStyle w:val="Ttulo6"/>
        <w:spacing w:before="120" w:after="120"/>
        <w:ind w:left="0"/>
        <w:rPr>
          <w:i/>
          <w:iCs/>
          <w:u w:val="none"/>
        </w:rPr>
      </w:pPr>
      <w:bookmarkStart w:id="10" w:name="_Hlk123387745"/>
      <w:bookmarkEnd w:id="9"/>
      <w:r>
        <w:rPr>
          <w:i/>
          <w:u w:val="none"/>
        </w:rPr>
        <w:t>Primera sesión de balance</w:t>
      </w:r>
    </w:p>
    <w:bookmarkEnd w:id="10"/>
    <w:p w14:paraId="32E1F995" w14:textId="40713249" w:rsidR="00E3562C" w:rsidRPr="009C3E84" w:rsidRDefault="00E3562C" w:rsidP="007D4B27">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El 10 de diciembre, la Conferencia de las Partes que actúa como reunión de las Partes en el Protocolo de Cartagena mantuvo su segunda sesión plenaria, que sirvió en parte como sesión de balance. La sesión se celebró conjuntamente con la Conferencia de las Partes en el Convenio y la Conferencia de las Partes que actúa como reunión de las Partes en el Protocolo de Nagoya, y las presidencias de los Grupos de Trabajo I y II y del grupo de contacto sobre el presupuesto informaron sobre los progresos realizados hasta esa fecha</w:t>
      </w:r>
      <w:r w:rsidRPr="009C3E84">
        <w:rPr>
          <w:rStyle w:val="Refdenotaalpie"/>
          <w:u w:val="none"/>
          <w:vertAlign w:val="superscript"/>
        </w:rPr>
        <w:footnoteReference w:id="6"/>
      </w:r>
      <w:r>
        <w:t>.</w:t>
      </w:r>
      <w:r>
        <w:rPr>
          <w:vertAlign w:val="superscript"/>
        </w:rPr>
        <w:t xml:space="preserve"> </w:t>
      </w:r>
    </w:p>
    <w:p w14:paraId="3E75DAF0" w14:textId="77777777" w:rsidR="00E3562C" w:rsidRPr="009C3E84" w:rsidRDefault="00E3562C" w:rsidP="003B1E1A">
      <w:pPr>
        <w:pStyle w:val="Ttulo6"/>
        <w:spacing w:before="120" w:after="120"/>
        <w:ind w:left="0"/>
        <w:rPr>
          <w:i/>
          <w:iCs/>
          <w:u w:val="none"/>
        </w:rPr>
      </w:pPr>
      <w:r>
        <w:rPr>
          <w:i/>
          <w:u w:val="none"/>
        </w:rPr>
        <w:t>Primera reunión de los jefes de delegación</w:t>
      </w:r>
    </w:p>
    <w:p w14:paraId="4A5D0DF7" w14:textId="5585D88C" w:rsidR="00E3562C" w:rsidRPr="009C3E84" w:rsidRDefault="00E3562C" w:rsidP="007D4B27">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El 14 de diciembre se celebró una reunión de los jefes de delegación conjuntamente con la Conferencia de las Partes en el Convenio y la Conferencia de las Partes que actúa como reunión de las Partes en el Protocolo de Nagoya a fin de discutir los progresos realizados hasta esa fecha en relación con las cuestiones clave que se estaban considerando</w:t>
      </w:r>
      <w:r w:rsidRPr="009C3E84">
        <w:rPr>
          <w:rStyle w:val="Refdenotaalpie"/>
          <w:u w:val="none"/>
          <w:vertAlign w:val="superscript"/>
        </w:rPr>
        <w:footnoteReference w:id="7"/>
      </w:r>
      <w:r>
        <w:t xml:space="preserve">. </w:t>
      </w:r>
    </w:p>
    <w:p w14:paraId="2D797C69" w14:textId="77777777" w:rsidR="00E3562C" w:rsidRPr="009C3E84" w:rsidRDefault="00E3562C" w:rsidP="003B1E1A">
      <w:pPr>
        <w:pStyle w:val="Ttulo6"/>
        <w:spacing w:before="120" w:after="120"/>
        <w:ind w:left="0"/>
        <w:rPr>
          <w:i/>
          <w:iCs/>
          <w:u w:val="none"/>
        </w:rPr>
      </w:pPr>
      <w:r>
        <w:rPr>
          <w:i/>
          <w:u w:val="none"/>
        </w:rPr>
        <w:t>Consultas ministeriales</w:t>
      </w:r>
    </w:p>
    <w:p w14:paraId="28A6806B" w14:textId="468B99DE" w:rsidR="00E3562C" w:rsidRPr="009C3E84" w:rsidRDefault="00E3562C" w:rsidP="007D4B27">
      <w:pPr>
        <w:pStyle w:val="Para1"/>
        <w:overflowPunct w:val="0"/>
        <w:autoSpaceDE w:val="0"/>
        <w:autoSpaceDN w:val="0"/>
        <w:snapToGrid w:val="0"/>
        <w:spacing w:before="0"/>
      </w:pPr>
      <w:r>
        <w:t xml:space="preserve">El 15 de diciembre, la Conferencia de las Partes que actúa como reunión de las Partes en el Protocolo de Cartagena celebró la sesión plenaria de apertura de la serie de sesiones de alto nivel de la </w:t>
      </w:r>
      <w:r>
        <w:lastRenderedPageBreak/>
        <w:t>reunión conjuntamente con la Conferencia de las Partes en el Convenio y la Conferencia de las Partes que actúa como reunión de las Partes en el Protocolo de Nagoya</w:t>
      </w:r>
      <w:r w:rsidRPr="009C3E84">
        <w:rPr>
          <w:rStyle w:val="Refdenotaalpie"/>
          <w:u w:val="none"/>
          <w:vertAlign w:val="superscript"/>
        </w:rPr>
        <w:footnoteReference w:id="8"/>
      </w:r>
      <w:r>
        <w:t xml:space="preserve">. </w:t>
      </w:r>
    </w:p>
    <w:p w14:paraId="16994C29" w14:textId="77777777" w:rsidR="00E3562C" w:rsidRPr="009C3E84" w:rsidRDefault="00E3562C" w:rsidP="00D978C9">
      <w:pPr>
        <w:pStyle w:val="Ttulo6"/>
        <w:spacing w:before="120" w:after="120"/>
        <w:ind w:left="0"/>
        <w:rPr>
          <w:i/>
          <w:iCs/>
          <w:u w:val="none"/>
        </w:rPr>
      </w:pPr>
      <w:r>
        <w:rPr>
          <w:i/>
          <w:u w:val="none"/>
        </w:rPr>
        <w:t>Segunda sesión de balance</w:t>
      </w:r>
    </w:p>
    <w:p w14:paraId="120B78B8" w14:textId="6C5B8989" w:rsidR="00E3562C" w:rsidRPr="009C3E84" w:rsidRDefault="00E3562C" w:rsidP="007D4B27">
      <w:pPr>
        <w:pStyle w:val="Para1"/>
        <w:overflowPunct w:val="0"/>
        <w:autoSpaceDE w:val="0"/>
        <w:autoSpaceDN w:val="0"/>
        <w:snapToGrid w:val="0"/>
        <w:spacing w:before="0"/>
      </w:pPr>
      <w:r>
        <w:t>El 17 de diciembre, la Conferencia de las Partes que actúa como reunión de las Partes en el Protocolo de Cartagena mantuvo su tercera sesión plenaria, que sirvió como una segunda sesión de balance. La sesión se celebró conjuntamente con la Conferencia de las Partes en el Convenio y la Conferencia de las Partes que actúa como reunión de las Partes en el Protocolo de Nagoya, y las presidencias de los Grupos de Trabajo I y II y del grupo de contacto sobre el presupuesto informaron sobre los progresos realizados hasta esa fecha</w:t>
      </w:r>
      <w:r w:rsidRPr="009C3E84">
        <w:rPr>
          <w:rStyle w:val="Refdenotaalpie"/>
          <w:u w:val="none"/>
          <w:vertAlign w:val="superscript"/>
        </w:rPr>
        <w:footnoteReference w:id="9"/>
      </w:r>
      <w:r>
        <w:t xml:space="preserve">. </w:t>
      </w:r>
      <w:bookmarkStart w:id="11" w:name="_Hlk122179754"/>
      <w:bookmarkStart w:id="12" w:name="_Hlk122192162"/>
    </w:p>
    <w:p w14:paraId="1A299D88" w14:textId="77777777" w:rsidR="00E3562C" w:rsidRPr="009C3E84" w:rsidRDefault="00E3562C" w:rsidP="00D978C9">
      <w:pPr>
        <w:pStyle w:val="Ttulo6"/>
        <w:spacing w:before="120" w:after="120"/>
        <w:ind w:left="0"/>
        <w:rPr>
          <w:i/>
          <w:iCs/>
          <w:u w:val="none"/>
        </w:rPr>
      </w:pPr>
      <w:r>
        <w:rPr>
          <w:i/>
          <w:u w:val="none"/>
        </w:rPr>
        <w:t>Segunda reunión de los jefes de delegación</w:t>
      </w:r>
    </w:p>
    <w:p w14:paraId="498D1E7B" w14:textId="2868FD4B" w:rsidR="00E3562C" w:rsidRPr="009C3E84" w:rsidRDefault="00E3562C" w:rsidP="007D4B27">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El 18 de diciembre se celebró una segunda reunión de los jefes de delegación conjuntamente con la Conferencia de las Partes en el Convenio y la Conferencia de las Partes que actúa como reunión de las Partes en el Protocolo de Nagoya a fin de examinar los proyectos de decisión preparados por el Presidente para los temas del programa fundamentales en relación con el marco mundial de la diversidad biológica posterior a 2020</w:t>
      </w:r>
      <w:r w:rsidRPr="009C3E84">
        <w:rPr>
          <w:rStyle w:val="Refdenotaalpie"/>
          <w:u w:val="none"/>
          <w:vertAlign w:val="superscript"/>
        </w:rPr>
        <w:footnoteReference w:id="10"/>
      </w:r>
      <w:r>
        <w:t>.</w:t>
      </w:r>
      <w:r>
        <w:rPr>
          <w:vertAlign w:val="superscript"/>
        </w:rPr>
        <w:t xml:space="preserve"> </w:t>
      </w:r>
    </w:p>
    <w:bookmarkEnd w:id="11"/>
    <w:bookmarkEnd w:id="12"/>
    <w:p w14:paraId="3C38ED91" w14:textId="77777777" w:rsidR="00CF061B" w:rsidRPr="009C3E84" w:rsidRDefault="00CF061B" w:rsidP="00CF061B">
      <w:pPr>
        <w:pStyle w:val="Para1"/>
        <w:numPr>
          <w:ilvl w:val="0"/>
          <w:numId w:val="0"/>
        </w:numPr>
        <w:rPr>
          <w:i/>
          <w:iCs/>
        </w:rPr>
      </w:pPr>
      <w:r>
        <w:rPr>
          <w:i/>
        </w:rPr>
        <w:t>Continuación de la segunda parte</w:t>
      </w:r>
    </w:p>
    <w:p w14:paraId="086C04CE" w14:textId="7D1F9E51" w:rsidR="00DD330E" w:rsidRPr="009C3E84" w:rsidRDefault="00CF061B" w:rsidP="00775CC2">
      <w:pPr>
        <w:pStyle w:val="Para1"/>
        <w:overflowPunct w:val="0"/>
        <w:autoSpaceDE w:val="0"/>
        <w:autoSpaceDN w:val="0"/>
        <w:snapToGrid w:val="0"/>
        <w:spacing w:before="0"/>
        <w:rPr>
          <w:snapToGrid/>
          <w:szCs w:val="24"/>
        </w:rPr>
      </w:pPr>
      <w:r>
        <w:t>En su sexta sesión plenaria, el 19 de octubre de 2023, la Conferencia de las Partes que actúa como reunión de las Partes en el Protocolo de Cartagena consideró un documento preparado por la Secretaría sobre la propuesta de organización de los trabajos para la continuación de la segunda parte de su décima reunión (CBD/CP/MOP/10/1/Add.6, anexo II) y acordó organizar sus trabajos como se indica la propuesta, con la</w:t>
      </w:r>
      <w:r>
        <w:rPr>
          <w:rStyle w:val="ui-provider"/>
        </w:rPr>
        <w:t xml:space="preserve"> excepción de que la elección de la Mesa, en relación con el tema 2 del programa, se celebraría inmediatamente después del examen de las credenciales (tema 3 del programa).</w:t>
      </w:r>
    </w:p>
    <w:p w14:paraId="2FE36BB0" w14:textId="1D9B821B" w:rsidR="00E3562C" w:rsidRPr="009C3E84" w:rsidRDefault="00E3562C" w:rsidP="002D6D61">
      <w:pPr>
        <w:kinsoku w:val="0"/>
        <w:overflowPunct w:val="0"/>
        <w:autoSpaceDE w:val="0"/>
        <w:autoSpaceDN w:val="0"/>
        <w:spacing w:before="240" w:after="120"/>
        <w:ind w:left="1276" w:hanging="1080"/>
        <w:jc w:val="left"/>
        <w:rPr>
          <w:rFonts w:asciiTheme="majorBidi" w:eastAsia="MS Mincho" w:hAnsiTheme="majorBidi" w:cstheme="majorBidi"/>
          <w:b/>
          <w:caps/>
          <w:snapToGrid w:val="0"/>
          <w:kern w:val="22"/>
          <w:szCs w:val="22"/>
        </w:rPr>
      </w:pPr>
      <w:r>
        <w:rPr>
          <w:rFonts w:asciiTheme="majorBidi" w:hAnsiTheme="majorBidi"/>
          <w:b/>
          <w:snapToGrid w:val="0"/>
        </w:rPr>
        <w:t>Tema 3.</w:t>
      </w:r>
      <w:r>
        <w:rPr>
          <w:rFonts w:asciiTheme="majorBidi" w:hAnsiTheme="majorBidi"/>
          <w:b/>
          <w:snapToGrid w:val="0"/>
        </w:rPr>
        <w:tab/>
        <w:t>Informe sobre las credenciales de los representantes que participan en la décima reunión de la Conferencia de las Partes que actúa como reunión de las Partes en el Protocolo de Cartagena</w:t>
      </w:r>
    </w:p>
    <w:p w14:paraId="7ED4751C" w14:textId="71DAFD07" w:rsidR="00E3562C" w:rsidRPr="009C3E84" w:rsidRDefault="00E3562C" w:rsidP="009678B5">
      <w:pPr>
        <w:pStyle w:val="Para1"/>
        <w:overflowPunct w:val="0"/>
        <w:autoSpaceDE w:val="0"/>
        <w:autoSpaceDN w:val="0"/>
        <w:snapToGrid w:val="0"/>
        <w:spacing w:before="0"/>
      </w:pPr>
      <w:bookmarkStart w:id="13" w:name="_Hlk122171160"/>
      <w:r>
        <w:t>En su primera sesión plenaria, la Conferencia de las Partes que actúa como reunión de las Partes en el Protocolo de Cartagena tomó nota de que, de conformidad con el reglamento pertinente para las reuniones de la Conferencia de las Partes, la Mesa había examinado la lista de observadores admitidos a la reunión (CBD/COP/15/INF/2) y examinaría las credenciales de las delegaciones, e informaría al respecto en una sesión posterior.</w:t>
      </w:r>
    </w:p>
    <w:p w14:paraId="6536F7D2" w14:textId="7929F0B9" w:rsidR="00E3562C" w:rsidRPr="009C3E84" w:rsidRDefault="00E3562C">
      <w:pPr>
        <w:pStyle w:val="Para1"/>
      </w:pPr>
      <w:r>
        <w:t>En consecuencia, en la segunda sesión plenaria, Eric Okoree (Ghana), designado por la Mesa durante la primera parte de la décima reunión como su representante para informar sobre las credenciales, informó a la Conferencia de las Partes que actúa como reunión de las Partes en el Protocolo de Cartagena que 161 Partes estaban inscritas como asistentes a la reunión. La Mesa había examinado las credenciales de los representantes de 122 Partes que asistían a la reunión. Las credenciales de 103 delegaciones se ajustaban plenamente al artículo 18 del Reglamento, mientras que aquellas de 17 delegaciones no lo cumplían plenamente y otras 39 delegaciones no habían presentado sus credenciales hasta esa fecha.</w:t>
      </w:r>
    </w:p>
    <w:p w14:paraId="5287E3DA" w14:textId="2EBE4DC4" w:rsidR="00E3562C" w:rsidRPr="009C3E84" w:rsidRDefault="00E3562C" w:rsidP="006C2BCD">
      <w:pPr>
        <w:pStyle w:val="Para1"/>
        <w:tabs>
          <w:tab w:val="clear" w:pos="720"/>
        </w:tabs>
      </w:pPr>
      <w:bookmarkStart w:id="14" w:name="_Hlk122358179"/>
      <w:bookmarkStart w:id="15" w:name="_Hlk122372233"/>
      <w:bookmarkEnd w:id="13"/>
      <w:r>
        <w:t xml:space="preserve">En la cuarta sesión plenaria, el 19 de diciembre, la Sra. Jeffery Brown, hablando en nombre del Sr. Okoree, presentó el informe sobre las credenciales (CBD/CP/MOP/10/INF/9/Rev.1). Informó a la Conferencia de las Partes que actúa como reunión de las Partes en el Protocolo de Cartagena que 168 Partes estaban inscritas como asistentes a la reunión. La Mesa había examinado las credenciales de los representantes de 148 Partes que asistían a la reunión. Las credenciales de 135 delegaciones se ajustaban plenamente al artículo 18 del Reglamento, mientras que aquellas de 13 delegaciones no lo cumplían plenamente y otras 20 delegaciones no habían presentado sus credenciales hasta esa fecha. </w:t>
      </w:r>
      <w:bookmarkEnd w:id="14"/>
    </w:p>
    <w:p w14:paraId="30A142E1" w14:textId="1DF92323" w:rsidR="00E3562C" w:rsidRPr="009C3E84" w:rsidRDefault="00E3562C" w:rsidP="006C2BCD">
      <w:pPr>
        <w:pStyle w:val="Para1"/>
        <w:tabs>
          <w:tab w:val="clear" w:pos="720"/>
        </w:tabs>
      </w:pPr>
      <w:r>
        <w:lastRenderedPageBreak/>
        <w:t>Varios jefes de delegación habían firmado una declaración que indicaba que presentarían sus credenciales, en la forma apropiada y en su versión original, a la Secretaria Ejecutiva dentro de un plazo de 30 días después de la clausura de la reunión y a más tardar el 19 de enero de 2023. Conforme a la práctica seguida anteriormente, la Conferencia de las Partes que actúa como reunión de las Partes en el Protocolo de Cartagena aceptó la propuesta de la Mesa de que se permitiera a aquellas delegaciones que aún debían presentar sus credenciales o que habían presentado credenciales que no se ajustaban plenamente a las disposiciones del artículo 18 participar en la reunión en forma provisional.</w:t>
      </w:r>
    </w:p>
    <w:p w14:paraId="259D7B8D" w14:textId="4FD27415" w:rsidR="00E3562C" w:rsidRPr="009C3E84" w:rsidRDefault="00E3562C" w:rsidP="00F335A7">
      <w:pPr>
        <w:pStyle w:val="Para1"/>
      </w:pPr>
      <w:r>
        <w:t>Al 18 de diciembre de 2022, se habían presentado credenciales oficiales expedidas por el Jefe de Estado o de Gobierno o por el Ministro de Relaciones Exteriores o, en el caso de una organización de integración económica regional, por la autoridad competente, como se establecía en el artículo 18 del Reglamento, para los representantes de las siguientes 135 Partes que participaban en la segunda parte de la 10ª reunión: Albania, Alemania, Angola, Antigua y Barbuda, Argelia, Armenia, Austria, Azerbaiyán, Bahamas, Bahrein, Bangladesh, Barbados, Belarús, Bélgica, Belice, Benin, Bhután, Bolivia (Estado Plurinacional de), Bosnia y Herzegovina, Botswana, Brasil, Bulgaria, Burkina Faso, Cabo Verde, Camboya, Camerún, Chequia, China, Chipre, Colombia, Costa Rica, Côte d’Ivoire, Croacia, Cuba, Dinamarca, Ecuador, Egipto, El Salvador, Emiratos Árabes Unidos, Eritrea, Eslovaquia, Eslovenia, España, Estado de Palestina, Estonia, Eswatini, Etiopía, Fiji, Filipinas, Finlandia, Francia, Gambia, Georgia, Ghana, Granada, Grecia, Guatemala, Guinea Bissau, Guyana, Hungría, India, Indonesia, Irán (República Islámica del), Irlanda, Italia, Jamaica, Japón, Kenya, Kirguistán, Kiribati, Kuwait, Lesotho, Liberia, Lituania, Luxemburgo, Macedonia del Norte, Madagascar, Malawi, Maldivas, Malta, Marruecos, Mauricio, Mauritania, México, Mongolia, Mozambique, Namibia, Nicaragua, Níger, Nigeria, Niue, Noruega, Nueva Zelandia, Omán, Países Bajos, Palau, Panamá, Paraguay, Perú, Polonia, Portugal, Qatar, Reino Unido, República Árabe Siria, República de Corea, República de Moldova, República Dominicana, República Unida de Tanzanía, Rumania, Rwanda, Saint Kitts y Nevis, Samoa, Santa Lucía, Serbia, Seychelles, Sudáfrica, Sudán, Suecia, Suiza, Suriname, Tailandia, Tayikistán, Togo, Tonga, Trinidad y Tabago, Túnez, Türkiye, Uganda, Unión Europea, Uruguay, Uzbekistán, Viet Nam, Yemen, Zambia y Zimbabwe.</w:t>
      </w:r>
    </w:p>
    <w:p w14:paraId="7CE9D7A8" w14:textId="36113A98" w:rsidR="00E3562C" w:rsidRPr="009C3E84" w:rsidRDefault="00E3562C" w:rsidP="007C6892">
      <w:pPr>
        <w:pStyle w:val="Para1"/>
      </w:pPr>
      <w:r>
        <w:t>Al 19 de enero de 2023, otras ocho Partes habían presentado credenciales válidas, a saber: Arabia Saudita, Gabón, Honduras, Islas Salomón, Malasia, Malí, Sri Lanka y Venezuela (República Bolivariana de).</w:t>
      </w:r>
    </w:p>
    <w:p w14:paraId="484A134A" w14:textId="77777777" w:rsidR="00CF061B" w:rsidRPr="009C3E84" w:rsidRDefault="00CF061B" w:rsidP="00CF061B">
      <w:pPr>
        <w:pStyle w:val="Para1"/>
        <w:numPr>
          <w:ilvl w:val="0"/>
          <w:numId w:val="0"/>
        </w:numPr>
        <w:rPr>
          <w:i/>
          <w:iCs/>
        </w:rPr>
      </w:pPr>
      <w:bookmarkStart w:id="16" w:name="_Hlk148636745"/>
      <w:r>
        <w:rPr>
          <w:i/>
        </w:rPr>
        <w:t>Continuación de la segunda parte</w:t>
      </w:r>
    </w:p>
    <w:bookmarkEnd w:id="16"/>
    <w:p w14:paraId="5CD2DFD0" w14:textId="27AF7BDF" w:rsidR="00CF061B" w:rsidRPr="009C3E84" w:rsidRDefault="00CF061B" w:rsidP="00CF061B">
      <w:pPr>
        <w:pStyle w:val="Para1"/>
        <w:overflowPunct w:val="0"/>
        <w:autoSpaceDE w:val="0"/>
        <w:autoSpaceDN w:val="0"/>
        <w:snapToGrid w:val="0"/>
        <w:spacing w:before="0"/>
      </w:pPr>
      <w:r>
        <w:t>En la sexta sesión plenaria, el Sr. Okoree informó a la Conferencia de las Partes que actúa como reunión de las Partes en el Protocolo de Cartagena que 129 Partes estaban inscritas como asistentes a la continuación de la segunda parte de la reunión. La Mesa había examinado las credenciales de los representantes de 122 Partes que asistían a la reunión. Las credenciales de 120 delegaciones se ajustaban plenamente al artículo 18 del Reglamento, mientras que aquellas de 2 delegaciones no lo cumplían plenamente y otras 7 delegaciones no habían presentado sus credenciales hasta esa fecha.</w:t>
      </w:r>
    </w:p>
    <w:p w14:paraId="20E117EA" w14:textId="6DDDD252" w:rsidR="00CF061B" w:rsidRPr="009C3E84" w:rsidRDefault="00CF061B" w:rsidP="00CF061B">
      <w:pPr>
        <w:pStyle w:val="Para1"/>
        <w:overflowPunct w:val="0"/>
        <w:autoSpaceDE w:val="0"/>
        <w:autoSpaceDN w:val="0"/>
        <w:snapToGrid w:val="0"/>
        <w:spacing w:before="0"/>
        <w:rPr>
          <w:snapToGrid/>
          <w:szCs w:val="24"/>
        </w:rPr>
      </w:pPr>
      <w:r>
        <w:t xml:space="preserve">La Conferencia de las Partes que actúa como reunión de las Partes en el Protocolo de Cartagena sobre Seguridad de la Biotecnología tomó nota del informe sobre las credenciales. </w:t>
      </w:r>
    </w:p>
    <w:bookmarkEnd w:id="15"/>
    <w:p w14:paraId="42A715DB" w14:textId="55E53A40" w:rsidR="00E3562C" w:rsidRPr="009C3E84" w:rsidRDefault="00E3562C" w:rsidP="002D6D61">
      <w:pPr>
        <w:keepNext/>
        <w:tabs>
          <w:tab w:val="left" w:pos="851"/>
        </w:tabs>
        <w:kinsoku w:val="0"/>
        <w:overflowPunct w:val="0"/>
        <w:autoSpaceDE w:val="0"/>
        <w:autoSpaceDN w:val="0"/>
        <w:spacing w:before="240" w:after="120"/>
        <w:jc w:val="center"/>
        <w:rPr>
          <w:rFonts w:asciiTheme="majorBidi" w:hAnsiTheme="majorBidi" w:cstheme="majorBidi"/>
          <w:b/>
          <w:bCs/>
          <w:caps/>
          <w:snapToGrid w:val="0"/>
          <w:kern w:val="22"/>
        </w:rPr>
      </w:pPr>
      <w:r>
        <w:rPr>
          <w:rFonts w:asciiTheme="majorBidi" w:hAnsiTheme="majorBidi"/>
          <w:b/>
          <w:snapToGrid w:val="0"/>
        </w:rPr>
        <w:t>Tema 4.</w:t>
      </w:r>
      <w:r>
        <w:rPr>
          <w:rFonts w:asciiTheme="majorBidi" w:hAnsiTheme="majorBidi"/>
          <w:b/>
          <w:caps/>
          <w:snapToGrid w:val="0"/>
        </w:rPr>
        <w:tab/>
      </w:r>
      <w:r>
        <w:rPr>
          <w:rFonts w:asciiTheme="majorBidi" w:hAnsiTheme="majorBidi"/>
          <w:b/>
          <w:snapToGrid w:val="0"/>
        </w:rPr>
        <w:t>Informes de los órganos subsidiarios</w:t>
      </w:r>
    </w:p>
    <w:p w14:paraId="02BAEF38" w14:textId="7723E46A" w:rsidR="00E3562C" w:rsidRPr="009C3E84" w:rsidRDefault="00E3562C" w:rsidP="009678B5">
      <w:pPr>
        <w:pStyle w:val="Para1"/>
      </w:pPr>
      <w:bookmarkStart w:id="17" w:name="_Hlk122171820"/>
      <w:r>
        <w:t>En su primera sesión plenaria, la Conferencia de las Partes que actúa como reunión de las Partes en el Protocolo de Cartagena tuvo ante sí los informes sobre la labor realizada entre períodos de sesiones desde la primera parte de su 10ª reunión, a saber: el informe del Órgano Subsidiario de Asesoramiento Científico, Técnico y Tecnológico sobre su 24ª reunión (CBD/SBSTTA/24/12), el informe del Órgano Subsidiario sobre la Aplicación sobre su 3ª reunión (CBD/SBI/3/21) y los informes del Grupo de Trabajo de Composición Abierta sobre el Marco Mundial de la Diversidad Biológica posterior a 2020 sobre la segunda parte de su 3ª reunión y sobre sus reuniones 4ª y 5ª (CBD/WG2020/3/7, CBD/WG2020/4/4 y CBD/WG2020/5/5, respectivamente).</w:t>
      </w:r>
    </w:p>
    <w:p w14:paraId="24E5DD42" w14:textId="238311F7" w:rsidR="00E3562C" w:rsidRPr="009C3E84" w:rsidRDefault="00E3562C" w:rsidP="00541561">
      <w:pPr>
        <w:pStyle w:val="Para1"/>
        <w:overflowPunct w:val="0"/>
        <w:autoSpaceDE w:val="0"/>
        <w:autoSpaceDN w:val="0"/>
        <w:snapToGrid w:val="0"/>
        <w:spacing w:before="0"/>
      </w:pPr>
      <w:r>
        <w:t xml:space="preserve">Seguidamente, la Conferencia de las Partes que actúa como reunión de las Partes en el Protocolo de Cartagena escuchó informes orales de los Presidentes del Órgano Subsidiario de Asesoramiento </w:t>
      </w:r>
      <w:r>
        <w:lastRenderedPageBreak/>
        <w:t>Científico, Técnico y Tecnológico y del Órgano Subsidiario sobre la Aplicación y los Copresidentes del Grupo de Trabajo de Composición Abierta sobre el Marco Mundial de la Diversidad Biológica posterior a 2020.</w:t>
      </w:r>
    </w:p>
    <w:p w14:paraId="2165EFD1" w14:textId="43EEE544" w:rsidR="00E3562C" w:rsidRPr="009C3E84" w:rsidRDefault="00E3562C" w:rsidP="00541561">
      <w:pPr>
        <w:pStyle w:val="Para1"/>
        <w:overflowPunct w:val="0"/>
        <w:autoSpaceDE w:val="0"/>
        <w:autoSpaceDN w:val="0"/>
        <w:snapToGrid w:val="0"/>
        <w:spacing w:before="0"/>
      </w:pPr>
      <w:r>
        <w:t>La Conferencia de las Partes que actúa como reunión de las Partes en el Protocolo de Cartagena tomó nota de la información proporcionada y acordó considerar las recomendaciones de los órganos subsidiarios en relación con los temas pertinentes del programa.</w:t>
      </w:r>
    </w:p>
    <w:bookmarkEnd w:id="17"/>
    <w:p w14:paraId="1EFE4103" w14:textId="664E62CA" w:rsidR="00E3562C" w:rsidRPr="009C3E84" w:rsidRDefault="00E3562C" w:rsidP="002D6D61">
      <w:pPr>
        <w:keepNext/>
        <w:tabs>
          <w:tab w:val="left" w:pos="1134"/>
        </w:tabs>
        <w:kinsoku w:val="0"/>
        <w:overflowPunct w:val="0"/>
        <w:autoSpaceDE w:val="0"/>
        <w:autoSpaceDN w:val="0"/>
        <w:spacing w:before="240" w:after="120"/>
        <w:jc w:val="center"/>
        <w:outlineLvl w:val="0"/>
        <w:rPr>
          <w:rFonts w:asciiTheme="majorBidi" w:hAnsiTheme="majorBidi" w:cstheme="majorBidi"/>
          <w:b/>
          <w:bCs/>
          <w:caps/>
          <w:snapToGrid w:val="0"/>
          <w:kern w:val="22"/>
        </w:rPr>
      </w:pPr>
      <w:r>
        <w:rPr>
          <w:rFonts w:asciiTheme="majorBidi" w:hAnsiTheme="majorBidi"/>
          <w:b/>
          <w:snapToGrid w:val="0"/>
        </w:rPr>
        <w:t>Tema 5.</w:t>
      </w:r>
      <w:r>
        <w:rPr>
          <w:rFonts w:asciiTheme="majorBidi" w:hAnsiTheme="majorBidi"/>
          <w:b/>
          <w:snapToGrid w:val="0"/>
        </w:rPr>
        <w:tab/>
        <w:t>Informe del Comité de Cumplimiento</w:t>
      </w:r>
    </w:p>
    <w:p w14:paraId="01267023" w14:textId="19B03D09" w:rsidR="00E3562C" w:rsidRPr="009C3E84" w:rsidRDefault="00E3562C" w:rsidP="00575F20">
      <w:pPr>
        <w:pStyle w:val="Para1"/>
        <w:suppressLineNumbers/>
        <w:suppressAutoHyphens/>
        <w:kinsoku w:val="0"/>
        <w:overflowPunct w:val="0"/>
        <w:autoSpaceDE w:val="0"/>
        <w:autoSpaceDN w:val="0"/>
        <w:snapToGrid w:val="0"/>
      </w:pPr>
      <w:r>
        <w:t>En la primera sesión plenaria, la Presidencia del Comité de Cumplimiento del Protocolo de Cartagena hizo una breve reseña del informe del Comité de Cumplimiento sobre la labor realizada en sus reuniones 16ª y 17ª, que figuraba en el documento CBD/CP/MOP/10/2, y que se había presentado íntegramente durante la primera parte de la 10ª reunión de la Conferencia de las Partes que actúa como reunión de las Partes en el Protocolo de Cartagena.</w:t>
      </w:r>
      <w:r>
        <w:rPr>
          <w:rFonts w:asciiTheme="majorBidi" w:hAnsiTheme="majorBidi"/>
          <w:color w:val="000000"/>
        </w:rPr>
        <w:t xml:space="preserve"> De acuerdo con la organización de los trabajos, las cuestiones sustanciales derivadas del informe se remitieron a los Grupos de Trabajo I y II para su examen.</w:t>
      </w:r>
    </w:p>
    <w:p w14:paraId="3FAA6B02" w14:textId="6A4EB98B" w:rsidR="00671090" w:rsidRPr="009C3E84" w:rsidRDefault="00E3562C" w:rsidP="00671090">
      <w:pPr>
        <w:pStyle w:val="Para1"/>
      </w:pPr>
      <w:r>
        <w:t>En atención a una notificación emitida por la Secretaría el 1 de septiembre de 2022, la Conferencia de las Partes que actúa como reunión de las Partes en el Protocolo de Cartagena prorrogó el mandato de cinco miembros del Comité, uno de cada región, por dos años más. También se acordó que 10 nuevos miembros, dos de cada región, se elegirían en una etapa posterior de la reunión para sustituir a los 10 miembros mencionados en el anexo de la notificación, cuyos mandatos finalizarían el 31 de diciembre de 2022</w:t>
      </w:r>
      <w:r w:rsidRPr="009C3E84">
        <w:rPr>
          <w:rStyle w:val="Refdenotaalpie"/>
          <w:u w:val="none"/>
          <w:vertAlign w:val="superscript"/>
        </w:rPr>
        <w:footnoteReference w:id="11"/>
      </w:r>
      <w:r>
        <w:t xml:space="preserve">. </w:t>
      </w:r>
    </w:p>
    <w:p w14:paraId="1C1BF474" w14:textId="251086A9" w:rsidR="008C4661" w:rsidRPr="009C3E84" w:rsidRDefault="008C4661" w:rsidP="002D6D61">
      <w:pPr>
        <w:pStyle w:val="Para1"/>
        <w:rPr>
          <w:bCs/>
        </w:rPr>
      </w:pPr>
      <w:r>
        <w:t xml:space="preserve">El Grupo de Trabajo II consideró el tema 5 del programa en su segunda reunión, el 8 de diciembre. Tuvo ante sí un proyecto de decisión basado en las recomendaciones del Comité de Cumplimiento contenidas en el anexo del documento CBD/CP/MOP/10/2, que figuraba en la recopilación de proyectos de decisión (CBD/CP/MOP/10/1/Add.5). </w:t>
      </w:r>
    </w:p>
    <w:p w14:paraId="777DBDBC" w14:textId="77777777" w:rsidR="008C4661" w:rsidRPr="009C3E84" w:rsidRDefault="008C4661" w:rsidP="008C4661">
      <w:pPr>
        <w:pStyle w:val="Para1"/>
      </w:pPr>
      <w:r>
        <w:t xml:space="preserve">El representante de la Unión Europea y sus 27 Estados miembros formuló una declaración. </w:t>
      </w:r>
    </w:p>
    <w:p w14:paraId="2DE4CCF5" w14:textId="3E6CDECB" w:rsidR="008C4661" w:rsidRPr="009C3E84" w:rsidRDefault="00851BFC" w:rsidP="008C4661">
      <w:pPr>
        <w:pStyle w:val="Para1"/>
      </w:pPr>
      <w:r>
        <w:t>El Grupo de Trabajo II acordó que su Presidenta prepararía un proyecto de decisión revisado para su consideración, teniendo en cuenta la declaración formulada.</w:t>
      </w:r>
    </w:p>
    <w:p w14:paraId="56D38378" w14:textId="18C827B8" w:rsidR="008C4661" w:rsidRPr="009C3E84" w:rsidRDefault="008C4661" w:rsidP="002D6D61">
      <w:pPr>
        <w:pStyle w:val="Para1"/>
      </w:pPr>
      <w:r>
        <w:t>En su cuarta reunión, el 9 de diciembre, el Grupo de Trabajo II consideró el proyecto de decisión revisado presentado por su Presidenta y lo aprobó para que fuera remitido a la sesión plenaria como proyecto de decisión CBD/CP/MOP/10/L.3.</w:t>
      </w:r>
    </w:p>
    <w:p w14:paraId="153DAF2A" w14:textId="2AF5BCF2" w:rsidR="00CB4649" w:rsidRPr="009C3E84" w:rsidRDefault="00CB4649" w:rsidP="00CB4649">
      <w:pPr>
        <w:pStyle w:val="Para1"/>
        <w:suppressLineNumbers/>
        <w:suppressAutoHyphens/>
        <w:kinsoku w:val="0"/>
        <w:overflowPunct w:val="0"/>
        <w:autoSpaceDE w:val="0"/>
        <w:autoSpaceDN w:val="0"/>
        <w:snapToGrid w:val="0"/>
      </w:pPr>
      <w:r>
        <w:t>En su segunda sesión plenaria, la Conferencia de las Partes que actúa como reunión de las Partes en el Protocolo de Cartagena adoptó el proyecto de decisión como decisión CP</w:t>
      </w:r>
      <w:r>
        <w:noBreakHyphen/>
        <w:t>10/2.</w:t>
      </w:r>
      <w:r>
        <w:rPr>
          <w:rFonts w:asciiTheme="majorBidi" w:hAnsiTheme="majorBidi"/>
          <w:color w:val="000000"/>
        </w:rPr>
        <w:t xml:space="preserve"> </w:t>
      </w:r>
    </w:p>
    <w:p w14:paraId="68481991" w14:textId="77777777" w:rsidR="00E622EA" w:rsidRPr="009C3E84" w:rsidRDefault="00E622EA" w:rsidP="00E622EA">
      <w:pPr>
        <w:pStyle w:val="Para1"/>
        <w:numPr>
          <w:ilvl w:val="0"/>
          <w:numId w:val="0"/>
        </w:numPr>
        <w:rPr>
          <w:i/>
          <w:iCs/>
        </w:rPr>
      </w:pPr>
      <w:r>
        <w:rPr>
          <w:i/>
        </w:rPr>
        <w:t>Continuación de la segunda parte</w:t>
      </w:r>
    </w:p>
    <w:p w14:paraId="3109AE9C" w14:textId="77777777" w:rsidR="00E622EA" w:rsidRPr="009C3E84" w:rsidRDefault="00E622EA" w:rsidP="00E622EA">
      <w:pPr>
        <w:pStyle w:val="Para1"/>
        <w:overflowPunct w:val="0"/>
        <w:autoSpaceDE w:val="0"/>
        <w:autoSpaceDN w:val="0"/>
        <w:snapToGrid w:val="0"/>
        <w:spacing w:before="0"/>
        <w:rPr>
          <w:snapToGrid/>
          <w:szCs w:val="24"/>
        </w:rPr>
      </w:pPr>
      <w:r>
        <w:t>[se completará]</w:t>
      </w:r>
    </w:p>
    <w:p w14:paraId="1EEDD7E3" w14:textId="305E6123" w:rsidR="00D623E5" w:rsidRPr="009C3E84" w:rsidRDefault="00E0630E" w:rsidP="002D6D61">
      <w:pPr>
        <w:kinsoku w:val="0"/>
        <w:overflowPunct w:val="0"/>
        <w:autoSpaceDE w:val="0"/>
        <w:autoSpaceDN w:val="0"/>
        <w:spacing w:before="240" w:after="120"/>
        <w:ind w:right="4"/>
        <w:jc w:val="center"/>
        <w:outlineLvl w:val="0"/>
        <w:rPr>
          <w:rFonts w:asciiTheme="majorBidi" w:hAnsiTheme="majorBidi" w:cstheme="majorBidi"/>
          <w:b/>
          <w:bCs/>
          <w:caps/>
          <w:snapToGrid w:val="0"/>
          <w:kern w:val="22"/>
        </w:rPr>
      </w:pPr>
      <w:r>
        <w:rPr>
          <w:rFonts w:asciiTheme="majorBidi" w:hAnsiTheme="majorBidi"/>
          <w:b/>
          <w:snapToGrid w:val="0"/>
        </w:rPr>
        <w:t>Tema 6.</w:t>
      </w:r>
      <w:r>
        <w:rPr>
          <w:rFonts w:asciiTheme="majorBidi" w:hAnsiTheme="majorBidi"/>
          <w:b/>
          <w:snapToGrid w:val="0"/>
        </w:rPr>
        <w:tab/>
        <w:t>Administración del Protocolo y el presupuesto para los fondos fiduciarios</w:t>
      </w:r>
    </w:p>
    <w:p w14:paraId="7A7787C3" w14:textId="266680FC" w:rsidR="00BD4A18" w:rsidRPr="009C3E84" w:rsidRDefault="00BD4A18" w:rsidP="00BD4A18">
      <w:pPr>
        <w:pStyle w:val="Para1"/>
        <w:overflowPunct w:val="0"/>
        <w:autoSpaceDE w:val="0"/>
        <w:autoSpaceDN w:val="0"/>
        <w:snapToGrid w:val="0"/>
        <w:spacing w:before="0"/>
      </w:pPr>
      <w:r>
        <w:t>En la primera sesión plenaria, la Secretaria Ejecutiva informó sobre las actividades de la Secretaría y presentó el proyecto de presupuesto para los programas de trabajo del Convenio y sus Protocolos para el bienio 2023</w:t>
      </w:r>
      <w:r>
        <w:sym w:font="Symbol" w:char="F02D"/>
      </w:r>
      <w:r>
        <w:t xml:space="preserve">2024 (CBD/COP/15/7). </w:t>
      </w:r>
    </w:p>
    <w:p w14:paraId="56A03B0D" w14:textId="0DEADA56" w:rsidR="00BD4A18" w:rsidRPr="009C3E84" w:rsidRDefault="00BD4A18" w:rsidP="00BD4A18">
      <w:pPr>
        <w:pStyle w:val="Para1"/>
        <w:overflowPunct w:val="0"/>
        <w:autoSpaceDE w:val="0"/>
        <w:autoSpaceDN w:val="0"/>
        <w:snapToGrid w:val="0"/>
        <w:spacing w:before="0"/>
      </w:pPr>
      <w:bookmarkStart w:id="18" w:name="_Hlk122437381"/>
      <w:r>
        <w:t>Los tres órganos establecieron un grupo de contacto sobre el presupuesto, presidido por Hamdallah Zedan (Egipto), con el mandato de examinar el proyecto de presupuesto para el bienio 2023</w:t>
      </w:r>
      <w:r>
        <w:sym w:font="Symbol" w:char="F02D"/>
      </w:r>
      <w:r>
        <w:t>2024 en detalle.</w:t>
      </w:r>
    </w:p>
    <w:p w14:paraId="35727777" w14:textId="3952353F" w:rsidR="00D532B8" w:rsidRPr="009C3E84" w:rsidRDefault="00D532B8" w:rsidP="00D532B8">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lastRenderedPageBreak/>
        <w:t>El Presidente del grupo de contacto sobre el presupuesto informó sobre la labor del grupo en las dos sesiones plenarias de balance.</w:t>
      </w:r>
    </w:p>
    <w:p w14:paraId="035DE7C0" w14:textId="1450B53F" w:rsidR="00D532B8" w:rsidRPr="009C3E84" w:rsidRDefault="00D532B8" w:rsidP="00D532B8">
      <w:pPr>
        <w:numPr>
          <w:ilvl w:val="0"/>
          <w:numId w:val="36"/>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En la quinta sesión plenaria, el Presidente del grupo de contacto sobre el presupuesto presentó su informe final sobre la labor del grupo.</w:t>
      </w:r>
    </w:p>
    <w:p w14:paraId="670A4042" w14:textId="5E275673" w:rsidR="003210BF" w:rsidRPr="009C3E84" w:rsidRDefault="00E8261B" w:rsidP="003210BF">
      <w:pPr>
        <w:pStyle w:val="Para1"/>
      </w:pPr>
      <w:r>
        <w:t xml:space="preserve">Seguidamente, la Conferencia de las Partes que actúa como reunión de las Partes en el Protocolo de Cartagena consideró el proyecto de decisión CBD/CP/MOP/10/L.15 presentado por el Presidente del grupo de contacto sobre el presupuesto y lo adoptó como decisión CP-10/14. </w:t>
      </w:r>
    </w:p>
    <w:bookmarkEnd w:id="18"/>
    <w:p w14:paraId="682F999A" w14:textId="67107C65" w:rsidR="00827FC7" w:rsidRPr="009C3E84" w:rsidRDefault="00E0630E" w:rsidP="002D6D61">
      <w:pPr>
        <w:keepNext/>
        <w:tabs>
          <w:tab w:val="left" w:pos="851"/>
        </w:tabs>
        <w:kinsoku w:val="0"/>
        <w:overflowPunct w:val="0"/>
        <w:autoSpaceDE w:val="0"/>
        <w:autoSpaceDN w:val="0"/>
        <w:spacing w:before="240" w:after="120"/>
        <w:ind w:right="6"/>
        <w:jc w:val="center"/>
        <w:outlineLvl w:val="0"/>
        <w:rPr>
          <w:rFonts w:asciiTheme="majorBidi" w:hAnsiTheme="majorBidi" w:cstheme="majorBidi"/>
          <w:b/>
          <w:bCs/>
          <w:caps/>
          <w:snapToGrid w:val="0"/>
          <w:kern w:val="22"/>
        </w:rPr>
      </w:pPr>
      <w:r>
        <w:rPr>
          <w:rFonts w:asciiTheme="majorBidi" w:hAnsiTheme="majorBidi"/>
          <w:b/>
          <w:snapToGrid w:val="0"/>
        </w:rPr>
        <w:t>Tema 7.</w:t>
      </w:r>
      <w:r>
        <w:rPr>
          <w:rFonts w:asciiTheme="majorBidi" w:hAnsiTheme="majorBidi"/>
          <w:b/>
          <w:snapToGrid w:val="0"/>
        </w:rPr>
        <w:tab/>
        <w:t>Plan de aplicación y plan de acción para la creación de capacidad para el Protocolo de Cartagena</w:t>
      </w:r>
    </w:p>
    <w:p w14:paraId="252FFB64" w14:textId="19A48851" w:rsidR="00F511DD" w:rsidRPr="009C3E84" w:rsidRDefault="00F511DD" w:rsidP="002D6D61">
      <w:pPr>
        <w:pStyle w:val="Para1"/>
        <w:rPr>
          <w:bCs/>
        </w:rPr>
      </w:pPr>
      <w:r>
        <w:t>El Grupo de Trabajo II consideró el tema 7 del programa en su primera reunión, el 7 de diciembre. Tuvo ante sí dos proyectos de decisión basados en la recomendación 3/4 del Órgano Subsidiario sobre la Aplicación, que figuraban en la recopilación de proyectos de decisión.</w:t>
      </w:r>
      <w:r>
        <w:rPr>
          <w:i/>
          <w:color w:val="FF0000"/>
        </w:rPr>
        <w:t xml:space="preserve"> </w:t>
      </w:r>
    </w:p>
    <w:p w14:paraId="3CCBEC5E" w14:textId="77777777" w:rsidR="00F511DD" w:rsidRPr="009C3E84" w:rsidRDefault="00F511DD" w:rsidP="00F511DD">
      <w:pPr>
        <w:pStyle w:val="Para1"/>
      </w:pPr>
      <w:r>
        <w:t>Formularon declaraciones los representantes del Brasil, Noruega y la Unión Europea y sus 27 Estados miembros.</w:t>
      </w:r>
    </w:p>
    <w:p w14:paraId="76379F19" w14:textId="49113A7A" w:rsidR="00F511DD" w:rsidRPr="009C3E84" w:rsidRDefault="00615937" w:rsidP="00F511DD">
      <w:pPr>
        <w:pStyle w:val="Para1"/>
      </w:pPr>
      <w:r>
        <w:t xml:space="preserve">El Grupo de Trabajo II acordó establecer un grupo de contacto presidido por Rita Andorkò (Hungría) y Rigobert Ntep (Camerún) encargado de resolver las cuestiones relacionadas con el texto entre corchetes en los proyectos de decisión. </w:t>
      </w:r>
    </w:p>
    <w:p w14:paraId="4EDF70D3" w14:textId="580E512F" w:rsidR="00F511DD" w:rsidRPr="009C3E84" w:rsidRDefault="00F511DD" w:rsidP="00F511DD">
      <w:pPr>
        <w:pStyle w:val="Para1"/>
      </w:pPr>
      <w:r>
        <w:t>En su sexta reunión, el 10 de diciembre, el Grupo de Trabajo II escuchó un informe provisional sobre la labor del grupo de contacto.</w:t>
      </w:r>
    </w:p>
    <w:p w14:paraId="6CF83A79" w14:textId="384D5609" w:rsidR="00F511DD" w:rsidRPr="009C3E84" w:rsidRDefault="00F511DD" w:rsidP="00F511DD">
      <w:pPr>
        <w:pStyle w:val="Para1"/>
      </w:pPr>
      <w:r>
        <w:t>En su séptima reunión, el 13 de diciembre, el Grupo de Trabajo II escuchó otro informe sobre la labor del grupo de contacto.</w:t>
      </w:r>
    </w:p>
    <w:p w14:paraId="6CBD7189" w14:textId="09EA6892" w:rsidR="00F511DD" w:rsidRPr="009C3E84" w:rsidRDefault="00F511DD" w:rsidP="00F511DD">
      <w:pPr>
        <w:pStyle w:val="Para1"/>
      </w:pPr>
      <w:r>
        <w:t xml:space="preserve">En su octava reunión, el 13 de diciembre, el Grupo de Trabajo II consideró dos proyectos de decisión revisados presentados por su Presidenta y los aprobó, con las enmiendas efectuadas oralmente, para que fuera remitido a la sesión plenaria como proyectos de decisión CBD/CP/MOP/10/L.13 y CBD/CP/MOP/10/L.14. </w:t>
      </w:r>
    </w:p>
    <w:p w14:paraId="37F53174" w14:textId="12635D33" w:rsidR="00CF582B" w:rsidRPr="009C3E84" w:rsidRDefault="00CF582B" w:rsidP="00CF582B">
      <w:pPr>
        <w:pStyle w:val="Para1"/>
      </w:pPr>
      <w:r>
        <w:t>En su quinta sesión plenaria, la Conferencia de las Partes que actúa como reunión de las Partes en el Protocolo de Cartagena adoptó los proyectos de decisión como decisiones CP-10/3 y CP-10/4, respectivamente.</w:t>
      </w:r>
    </w:p>
    <w:p w14:paraId="167770C9" w14:textId="08FB2BDF" w:rsidR="00C85B3F" w:rsidRPr="009C3E84" w:rsidRDefault="00B43A65" w:rsidP="002D6D61">
      <w:pPr>
        <w:pStyle w:val="Ttulo1"/>
        <w:tabs>
          <w:tab w:val="clear" w:pos="720"/>
          <w:tab w:val="left" w:pos="851"/>
        </w:tabs>
        <w:rPr>
          <w:color w:val="000000" w:themeColor="text1"/>
        </w:rPr>
      </w:pPr>
      <w:r>
        <w:rPr>
          <w:caps w:val="0"/>
        </w:rPr>
        <w:t xml:space="preserve">Tema </w:t>
      </w:r>
      <w:r>
        <w:t>8.</w:t>
      </w:r>
      <w:r>
        <w:rPr>
          <w:caps w:val="0"/>
        </w:rPr>
        <w:tab/>
        <w:t>Vigilancia y presentación de informes (Artículo 33)</w:t>
      </w:r>
    </w:p>
    <w:p w14:paraId="38C5CEEA" w14:textId="48F7C207" w:rsidR="00066852" w:rsidRPr="009C3E84" w:rsidRDefault="00066852" w:rsidP="002D6D61">
      <w:pPr>
        <w:pStyle w:val="Para1"/>
        <w:rPr>
          <w:bCs/>
        </w:rPr>
      </w:pPr>
      <w:r>
        <w:t xml:space="preserve">El Grupo de Trabajo II consideró el tema 8 del programa en su primera reunión. Tuvo ante sí un proyecto de decisión, que figuraba en la recopilación de proyectos de decisión, una nota de la Secretaria Ejecutiva que contenía una descripción general del estado de presentación de los cuartos informes nacionales y el proyecto de formato de informe para los quintos informes nacionales (CBD/CP/MOP/10/5) y, como documento de información, un cuadro de referencia que muestra la correspondencia entre las preguntas del formato para el quinto informe nacional y las preguntas del cuarto informe (CBD/CP/MOP/10/INF/3). </w:t>
      </w:r>
    </w:p>
    <w:p w14:paraId="179FAEF1" w14:textId="77777777" w:rsidR="00066852" w:rsidRPr="009C3E84" w:rsidRDefault="00066852" w:rsidP="00066852">
      <w:pPr>
        <w:pStyle w:val="Para1"/>
      </w:pPr>
      <w:r>
        <w:t>Formularon declaraciones los representantes de Colombia, la India, Malasia, Nueva Zelandia, Sudáfrica y la Unión Europea y sus 27 Estados miembros.</w:t>
      </w:r>
    </w:p>
    <w:p w14:paraId="64071569" w14:textId="607CD2DE" w:rsidR="00066852" w:rsidRPr="009C3E84" w:rsidRDefault="00B01F38" w:rsidP="00066852">
      <w:pPr>
        <w:pStyle w:val="Para1"/>
      </w:pPr>
      <w:r>
        <w:t>El Grupo de Trabajo II acordó que su Presidenta prepararía un proyecto de decisión revisado para su consideración.</w:t>
      </w:r>
    </w:p>
    <w:p w14:paraId="3E79A25D" w14:textId="70EDEE34" w:rsidR="000A4410" w:rsidRPr="009C3E84" w:rsidRDefault="00066852" w:rsidP="00066852">
      <w:pPr>
        <w:pStyle w:val="Para1"/>
      </w:pPr>
      <w:r>
        <w:t>En su cuarta reunión, el Grupo de Trabajo II consideró el proyecto de decisión revisado presentado por su Presidenta y lo aprobó, con las enmiendas efectuadas oralmente, para que fuera remitido a la sesión plenaria como proyecto de decisión CBD/CP/MOP/10/L.4.</w:t>
      </w:r>
    </w:p>
    <w:p w14:paraId="547B640F" w14:textId="32F39C56" w:rsidR="00B566C9" w:rsidRPr="009C3E84" w:rsidRDefault="00B566C9" w:rsidP="00B566C9">
      <w:pPr>
        <w:pStyle w:val="Para1"/>
        <w:rPr>
          <w:color w:val="000000"/>
        </w:rPr>
      </w:pPr>
      <w:r>
        <w:t>En su segunda sesión plenaria, la Conferencia de las Partes que actúa como reunión de las Partes en el Protocolo de Cartagena adoptó el proyecto de decisión como decisión CP</w:t>
      </w:r>
      <w:r>
        <w:noBreakHyphen/>
        <w:t>10/9.</w:t>
      </w:r>
    </w:p>
    <w:p w14:paraId="7F3B7546" w14:textId="069C35C1" w:rsidR="00C40DD5" w:rsidRPr="009C3E84" w:rsidRDefault="00345D47" w:rsidP="008E1054">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Pr>
          <w:rFonts w:asciiTheme="majorBidi" w:hAnsiTheme="majorBidi"/>
          <w:b/>
          <w:snapToGrid w:val="0"/>
        </w:rPr>
        <w:lastRenderedPageBreak/>
        <w:t>Tema 9.</w:t>
      </w:r>
      <w:r>
        <w:rPr>
          <w:rFonts w:asciiTheme="majorBidi" w:hAnsiTheme="majorBidi"/>
          <w:b/>
          <w:snapToGrid w:val="0"/>
        </w:rPr>
        <w:tab/>
        <w:t>Evaluación y revisión de la eficacia del Protocolo (artículo 35) y evaluación final del Plan Estratégico para el Protocolo de Cartagena sobre Seguridad de la Biotecnología para el período 2011-2020</w:t>
      </w:r>
    </w:p>
    <w:p w14:paraId="670D885A" w14:textId="7C338940" w:rsidR="001062E3" w:rsidRPr="009C3E84" w:rsidRDefault="001062E3" w:rsidP="002D6D61">
      <w:pPr>
        <w:pStyle w:val="Para1"/>
        <w:rPr>
          <w:bCs/>
        </w:rPr>
      </w:pPr>
      <w:r>
        <w:t>El Grupo de Trabajo II consideró el tema 9 del programa en su primera reunión. Tuvo ante sí un proyecto de decisión basado en la recomendación 3/2 del Órgano Subsidiario sobre la Aplicación, que figuraba en la recopilación de proyectos de decisión y, como documento de información, una actualización del análisis de datos de los cuartos informes nacionales (CBD/CP/MOP/10/INF/2).</w:t>
      </w:r>
    </w:p>
    <w:p w14:paraId="0D34DB76" w14:textId="73F3CB8C" w:rsidR="001062E3" w:rsidRPr="009C3E84" w:rsidRDefault="001A3E6A" w:rsidP="001062E3">
      <w:pPr>
        <w:pStyle w:val="Para1"/>
      </w:pPr>
      <w:r>
        <w:t>El Grupo de Trabajo II acordó que su Presidenta prepararía un proyecto de decisión revisado para su consideración.</w:t>
      </w:r>
    </w:p>
    <w:p w14:paraId="16894788" w14:textId="60255F86" w:rsidR="001062E3" w:rsidRPr="009C3E84" w:rsidRDefault="001062E3" w:rsidP="001062E3">
      <w:pPr>
        <w:pStyle w:val="Para1"/>
      </w:pPr>
      <w:r>
        <w:t>En su cuarta reunión, el Grupo de Trabajo II consideró el proyecto de decisión revisado presentado por su Presidenta y lo aprobó, con las enmiendas efectuadas oralmente, para que fuera remitido a la sesión plenaria como proyecto de decisión CBD/CP/MOP/10/L.9.</w:t>
      </w:r>
    </w:p>
    <w:p w14:paraId="1137A968" w14:textId="317118CF" w:rsidR="00097EE2" w:rsidRPr="009C3E84" w:rsidRDefault="00097EE2">
      <w:pPr>
        <w:pStyle w:val="Para1"/>
        <w:suppressLineNumbers/>
        <w:suppressAutoHyphens/>
        <w:kinsoku w:val="0"/>
        <w:overflowPunct w:val="0"/>
        <w:autoSpaceDE w:val="0"/>
        <w:autoSpaceDN w:val="0"/>
        <w:snapToGrid w:val="0"/>
      </w:pPr>
      <w:r>
        <w:t>En su segunda sesión plenaria, la Conferencia de las Partes que actúa como reunión de las Partes en el Protocolo de Cartagena adoptó el proyecto de decisión, con las enmiendas efectuadas oralmente, como decisión CP-10/7.</w:t>
      </w:r>
    </w:p>
    <w:p w14:paraId="7B65D00E" w14:textId="5AD193AB" w:rsidR="006A1DE3" w:rsidRPr="009C3E84" w:rsidRDefault="00302224" w:rsidP="005D6DC3">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Pr>
          <w:rFonts w:asciiTheme="majorBidi" w:hAnsiTheme="majorBidi"/>
          <w:b/>
          <w:snapToGrid w:val="0"/>
        </w:rPr>
        <w:t>Tema 10.</w:t>
      </w:r>
      <w:r>
        <w:rPr>
          <w:rFonts w:asciiTheme="majorBidi" w:hAnsiTheme="majorBidi"/>
          <w:b/>
          <w:snapToGrid w:val="0"/>
        </w:rPr>
        <w:tab/>
        <w:t>Asuntos relacionados con el mecanismo financiero y los recursos financieros (artículo 28)</w:t>
      </w:r>
    </w:p>
    <w:p w14:paraId="6B0ADBD4" w14:textId="3DA7CBAF" w:rsidR="00831D49" w:rsidRPr="009C3E84" w:rsidRDefault="00831D49" w:rsidP="002D6D61">
      <w:pPr>
        <w:pStyle w:val="Para1"/>
      </w:pPr>
      <w:r>
        <w:t>El Grupo de Trabajo II consideró el tema 10 del programa en su segunda reunión. Tuvo ante sí un proyecto de decisión, que figuraba en la recopilación de proyectos de decisión, una nota de la Secretaria Ejecutiva (CBD/CP/MOP/10/6) y un informe del Consejo del Fondo para el Medio Ambiente Mundial a la 15ª reunión de la Conferencia de las Partes en el Convenio (CBD/COP/15/8).</w:t>
      </w:r>
    </w:p>
    <w:p w14:paraId="1AA033DA" w14:textId="4139D9E4" w:rsidR="00831D49" w:rsidRPr="009C3E84" w:rsidRDefault="00831D49" w:rsidP="00831D49">
      <w:pPr>
        <w:pStyle w:val="Para1"/>
      </w:pPr>
      <w:r>
        <w:t>Formularon declaraciones los representantes del Brasil, el Irán (República Islámica de), Sudáfrica y la Unión Europea y sus 27 Estados miembros.</w:t>
      </w:r>
    </w:p>
    <w:p w14:paraId="0EF1F1F6" w14:textId="5C8B8E41" w:rsidR="00831D49" w:rsidRPr="009C3E84" w:rsidRDefault="00E22208" w:rsidP="00831D49">
      <w:pPr>
        <w:pStyle w:val="Para1"/>
      </w:pPr>
      <w:r>
        <w:t>El Grupo de Trabajo II acordó que su Presidenta prepararía un proyecto de decisión revisado, teniendo en cuenta las declaraciones formuladas.</w:t>
      </w:r>
    </w:p>
    <w:p w14:paraId="54690FF3" w14:textId="0D267A04" w:rsidR="00831D49" w:rsidRPr="009C3E84" w:rsidRDefault="00831D49" w:rsidP="00E22208">
      <w:pPr>
        <w:numPr>
          <w:ilvl w:val="0"/>
          <w:numId w:val="36"/>
        </w:numPr>
        <w:spacing w:after="120"/>
        <w:rPr>
          <w:szCs w:val="22"/>
        </w:rPr>
      </w:pPr>
      <w:r>
        <w:t>En su octava reunión, el Grupo de Trabajo II consideró el proyecto de decisión revisado presentado por su Presidenta y lo aprobó, con las enmiendas efectuadas oralmente, para que fuera remitido a la sesión plenaria como proyecto de decisión CBD/CP/MOP/10/L.12.</w:t>
      </w:r>
    </w:p>
    <w:p w14:paraId="59EAB202" w14:textId="28AC0C9C" w:rsidR="00154491" w:rsidRPr="009C3E84" w:rsidRDefault="00154491" w:rsidP="00575F20">
      <w:pPr>
        <w:pStyle w:val="Para1"/>
        <w:suppressLineNumbers/>
        <w:suppressAutoHyphens/>
        <w:kinsoku w:val="0"/>
        <w:overflowPunct w:val="0"/>
        <w:autoSpaceDE w:val="0"/>
        <w:autoSpaceDN w:val="0"/>
        <w:snapToGrid w:val="0"/>
      </w:pPr>
      <w:r>
        <w:t>En su quinta sesión plenaria, la Conferencia de las Partes que actúa como reunión de las Partes en el Protocolo de Cartagena adoptó el proyecto de decisión como decisión CP-10/6.</w:t>
      </w:r>
    </w:p>
    <w:p w14:paraId="0BEBA300" w14:textId="6A7893CA" w:rsidR="006A1DE3" w:rsidRPr="009C3E84" w:rsidRDefault="00A716F5" w:rsidP="005D6DC3">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Pr>
          <w:rFonts w:asciiTheme="majorBidi" w:hAnsiTheme="majorBidi"/>
          <w:b/>
          <w:snapToGrid w:val="0"/>
        </w:rPr>
        <w:t>Tema 11.</w:t>
      </w:r>
      <w:r>
        <w:rPr>
          <w:rFonts w:asciiTheme="majorBidi" w:hAnsiTheme="majorBidi"/>
          <w:b/>
          <w:snapToGrid w:val="0"/>
        </w:rPr>
        <w:tab/>
        <w:t>Funcionamiento y actividades del Centro de Intercambio de Información sobre Seguridad de la Biotecnología (artículo 20)</w:t>
      </w:r>
    </w:p>
    <w:p w14:paraId="4DD130AD" w14:textId="416B97AC" w:rsidR="00C67928" w:rsidRPr="009C3E84" w:rsidRDefault="00C67928" w:rsidP="00A82D90">
      <w:pPr>
        <w:pStyle w:val="Para1"/>
        <w:suppressLineNumbers/>
        <w:suppressAutoHyphens/>
        <w:kinsoku w:val="0"/>
        <w:overflowPunct w:val="0"/>
        <w:autoSpaceDE w:val="0"/>
        <w:autoSpaceDN w:val="0"/>
        <w:snapToGrid w:val="0"/>
        <w:rPr>
          <w:bCs/>
        </w:rPr>
      </w:pPr>
      <w:r>
        <w:t xml:space="preserve">El Grupo de Trabajo II consideró el tema 11 del programa en su primera reunión. Tuvo ante sí un proyecto de decisión, que figuraba en la recopilación de proyectos de decisión, así como notas de la Secretaria Ejecutiva relativas al funcionamiento y las actividades del Centro de Intercambio de Información sobre Seguridad de la Biotecnología (CBD/CP/MOP/10/7), las características clave y los avances en la nueva plataforma del Centro de Intercambio de Información sobre Seguridad de la Biotecnología (CBD/CP/MOP/10/INF/7), y un informe sobre una encuesta de evaluación de necesidades en relación con el Centro de Intercambio de Información sobre Seguridad de la Biotecnología (CBD/CP/MOP/10/INF/8). </w:t>
      </w:r>
    </w:p>
    <w:p w14:paraId="6D454E70" w14:textId="77777777" w:rsidR="00C67928" w:rsidRPr="009C3E84" w:rsidRDefault="00C67928" w:rsidP="00C67928">
      <w:pPr>
        <w:pStyle w:val="Para1"/>
      </w:pPr>
      <w:r>
        <w:t>Formularon declaraciones los representantes de Belarús, el Brasil, Burkina Faso, Eswatini, Ghana, Guatemala, la India, Kenya, Malasia, Malawi, México, la República de Corea, la República Popular Democrática de Corea, la República Dominicana, Sudáfrica (en nombre de los Estados de África), Uganda y la Unión Europea y sus 27 Estados miembros.</w:t>
      </w:r>
    </w:p>
    <w:p w14:paraId="16DF069E" w14:textId="77777777" w:rsidR="00C67928" w:rsidRPr="009C3E84" w:rsidRDefault="00C67928" w:rsidP="00C67928">
      <w:pPr>
        <w:pStyle w:val="Para1"/>
      </w:pPr>
      <w:r>
        <w:t>El representante de la Organización de Cooperación y Desarrollo Económicos también formuló una declaración.</w:t>
      </w:r>
    </w:p>
    <w:p w14:paraId="050D8C7B" w14:textId="1CA18D3C" w:rsidR="00C67928" w:rsidRPr="009C3E84" w:rsidRDefault="002C7C85" w:rsidP="00C67928">
      <w:pPr>
        <w:pStyle w:val="Para1"/>
      </w:pPr>
      <w:r>
        <w:lastRenderedPageBreak/>
        <w:t>El Grupo de Trabajo II acordó que su Presidenta prepararía un proyecto de decisión revisado para su consideración.</w:t>
      </w:r>
    </w:p>
    <w:p w14:paraId="12C939E5" w14:textId="57A67999" w:rsidR="00C67928" w:rsidRPr="009C3E84" w:rsidRDefault="00C67928" w:rsidP="00C67928">
      <w:pPr>
        <w:pStyle w:val="Para1"/>
      </w:pPr>
      <w:r>
        <w:t>En su cuarta reunión, el Grupo de Trabajo II consideró el proyecto de decisión revisado presentado por su Presidenta y lo aprobó, con las enmiendas efectuadas oralmente, para que fuera remitido a la sesión plenaria como proyecto de decisión CBD/CP/MOP/10/L.7.</w:t>
      </w:r>
    </w:p>
    <w:p w14:paraId="7F26C0D9" w14:textId="29471200" w:rsidR="00097EE2" w:rsidRPr="009C3E84" w:rsidRDefault="00097EE2" w:rsidP="00575F20">
      <w:pPr>
        <w:pStyle w:val="Para1"/>
        <w:suppressLineNumbers/>
        <w:suppressAutoHyphens/>
        <w:kinsoku w:val="0"/>
        <w:overflowPunct w:val="0"/>
        <w:autoSpaceDE w:val="0"/>
        <w:autoSpaceDN w:val="0"/>
        <w:snapToGrid w:val="0"/>
      </w:pPr>
      <w:r>
        <w:t>En su segunda sesión plenaria, la Conferencia de las Partes que actúa como reunión de las Partes en el Protocolo de Cartagena adoptó el proyecto de decisión como decisión CP-10/5.</w:t>
      </w:r>
    </w:p>
    <w:p w14:paraId="59D3B5A2" w14:textId="5B78D934" w:rsidR="00D623E5" w:rsidRPr="009C3E84" w:rsidRDefault="00B21192" w:rsidP="002D6D61">
      <w:pPr>
        <w:kinsoku w:val="0"/>
        <w:overflowPunct w:val="0"/>
        <w:autoSpaceDE w:val="0"/>
        <w:autoSpaceDN w:val="0"/>
        <w:spacing w:before="240" w:after="120"/>
        <w:ind w:right="6"/>
        <w:jc w:val="center"/>
        <w:outlineLvl w:val="0"/>
        <w:rPr>
          <w:rFonts w:asciiTheme="majorBidi" w:hAnsiTheme="majorBidi" w:cstheme="majorBidi"/>
          <w:b/>
          <w:bCs/>
          <w:caps/>
          <w:snapToGrid w:val="0"/>
          <w:kern w:val="22"/>
        </w:rPr>
      </w:pPr>
      <w:r>
        <w:rPr>
          <w:rFonts w:asciiTheme="majorBidi" w:hAnsiTheme="majorBidi"/>
          <w:b/>
          <w:snapToGrid w:val="0"/>
        </w:rPr>
        <w:t>Tema 12.</w:t>
      </w:r>
      <w:r>
        <w:rPr>
          <w:rFonts w:asciiTheme="majorBidi" w:hAnsiTheme="majorBidi"/>
          <w:b/>
          <w:snapToGrid w:val="0"/>
        </w:rPr>
        <w:tab/>
        <w:t>Cooperación con otras organizaciones, convenios e iniciativas</w:t>
      </w:r>
    </w:p>
    <w:p w14:paraId="58C9B204" w14:textId="26BA0DF4" w:rsidR="00AB4979" w:rsidRPr="009C3E84" w:rsidRDefault="00AB4979" w:rsidP="00AB4979">
      <w:pPr>
        <w:pStyle w:val="Para1"/>
        <w:rPr>
          <w:bCs/>
        </w:rPr>
      </w:pPr>
      <w:r>
        <w:t>El Grupo de Trabajo II consideró el tema 12 del programa en su segunda reunión. Tuvo ante sí un informe sobre la cooperación con otros convenios, organizaciones e iniciativas internacionales (CBD/CP/MOP/10/8).</w:t>
      </w:r>
    </w:p>
    <w:p w14:paraId="60ECCBCE" w14:textId="40F9FD68" w:rsidR="00AB4979" w:rsidRPr="009C3E84" w:rsidRDefault="00BA610F" w:rsidP="00AB4979">
      <w:pPr>
        <w:pStyle w:val="Para1"/>
      </w:pPr>
      <w:r>
        <w:t>El Grupo de Trabajo II tomó nota de la información brindada.</w:t>
      </w:r>
    </w:p>
    <w:p w14:paraId="5D5D0582" w14:textId="4759AFEB" w:rsidR="00A11B01" w:rsidRPr="009C3E84" w:rsidRDefault="00B21192" w:rsidP="00E622EA">
      <w:pPr>
        <w:keepNext/>
        <w:kinsoku w:val="0"/>
        <w:overflowPunct w:val="0"/>
        <w:autoSpaceDE w:val="0"/>
        <w:autoSpaceDN w:val="0"/>
        <w:spacing w:before="240" w:after="120"/>
        <w:ind w:left="1984" w:right="289" w:hanging="992"/>
        <w:jc w:val="left"/>
        <w:outlineLvl w:val="0"/>
        <w:rPr>
          <w:rFonts w:asciiTheme="majorBidi" w:hAnsiTheme="majorBidi" w:cstheme="majorBidi"/>
          <w:b/>
          <w:bCs/>
          <w:caps/>
          <w:snapToGrid w:val="0"/>
          <w:kern w:val="22"/>
        </w:rPr>
      </w:pPr>
      <w:r>
        <w:rPr>
          <w:rFonts w:asciiTheme="majorBidi" w:hAnsiTheme="majorBidi"/>
          <w:b/>
          <w:snapToGrid w:val="0"/>
        </w:rPr>
        <w:t>Tema 13.</w:t>
      </w:r>
      <w:r>
        <w:rPr>
          <w:rFonts w:asciiTheme="majorBidi" w:hAnsiTheme="majorBidi"/>
          <w:b/>
          <w:snapToGrid w:val="0"/>
        </w:rPr>
        <w:tab/>
        <w:t>Revisión de la eficacia de las estructuras y los procesos del Convenio y sus Protocolos</w:t>
      </w:r>
    </w:p>
    <w:p w14:paraId="120E05E2" w14:textId="769D846C" w:rsidR="00F81F05" w:rsidRPr="009C3E84" w:rsidRDefault="00F81F05" w:rsidP="00F81F05">
      <w:pPr>
        <w:pStyle w:val="Para1"/>
        <w:rPr>
          <w:bCs/>
        </w:rPr>
      </w:pPr>
      <w:bookmarkStart w:id="19" w:name="_Hlk122182305"/>
      <w:r>
        <w:t>El Grupo de Trabajo II consideró el tema 13 del programa en su segunda reunión, junto con el tema 17 del programa de la 15ª reunión de la Conferencia de las Partes en el Convenio y el tema 12 del programa de la 4ª reunión de la Conferencia de las Partes que actúa como reunión de las Partes en el Protocolo de Nagoya. Tuvo ante sí un proyecto de decisión basado en la recomendación 3/13 del Órgano Subsidiario sobre la Aplicación, que figuraba en las recopilaciones de proyectos de decisión de los tres órganos (CBD/CP/MOP/10/1/Add.5, CBD/COP/15/2 y CBD/NP/MOP/4/1/Add.5, respectivamente).</w:t>
      </w:r>
    </w:p>
    <w:p w14:paraId="21581480" w14:textId="3F954F25" w:rsidR="00812B25" w:rsidRPr="009C3E84" w:rsidRDefault="00F81F05" w:rsidP="00F81F05">
      <w:pPr>
        <w:pStyle w:val="Para1"/>
      </w:pPr>
      <w:r>
        <w:t>En su sexta reunión, el Grupo de Trabajo II consideró un proyecto de decisión revisado presentado por su Presidenta en relación con el tema 17 del programa de la 15ª reunión de la Conferencia de las Partes en el Convenio y, tras la aprobación de esta última bajo ese tema del programa, también lo aprobó, con los cambios correspondientes, para que fuera remitido a la sesión plenaria como proyecto de decisión CBD/CP/MOP/10/L.11.</w:t>
      </w:r>
    </w:p>
    <w:p w14:paraId="7962747B" w14:textId="01CBBB7D" w:rsidR="00BF2DD6" w:rsidRPr="009C3E84" w:rsidRDefault="00BF2DD6" w:rsidP="00575F20">
      <w:pPr>
        <w:pStyle w:val="Para1"/>
        <w:suppressLineNumbers/>
        <w:suppressAutoHyphens/>
        <w:kinsoku w:val="0"/>
        <w:overflowPunct w:val="0"/>
        <w:autoSpaceDE w:val="0"/>
        <w:autoSpaceDN w:val="0"/>
        <w:snapToGrid w:val="0"/>
      </w:pPr>
      <w:r>
        <w:t>En su segunda sesión plenaria, la Conferencia de las Partes que actúa como reunión de las Partes en el Protocolo de Cartagena adoptó el proyecto de decisión como decisión CP-10/8.</w:t>
      </w:r>
    </w:p>
    <w:bookmarkEnd w:id="19"/>
    <w:p w14:paraId="48B1FA3A" w14:textId="7625F406" w:rsidR="00783258" w:rsidRPr="009C3E84" w:rsidRDefault="00B21192" w:rsidP="00B21192">
      <w:pPr>
        <w:pStyle w:val="Ttulo1"/>
      </w:pPr>
      <w:r>
        <w:rPr>
          <w:caps w:val="0"/>
        </w:rPr>
        <w:t xml:space="preserve">Tema </w:t>
      </w:r>
      <w:r>
        <w:t>14.</w:t>
      </w:r>
      <w:r>
        <w:rPr>
          <w:caps w:val="0"/>
        </w:rPr>
        <w:tab/>
        <w:t>Evaluación del riesgo y gestión del riesgo (artículos 15 y 16)</w:t>
      </w:r>
    </w:p>
    <w:p w14:paraId="3028A15B" w14:textId="53AA093F" w:rsidR="001B30CC" w:rsidRPr="009C3E84" w:rsidRDefault="001B30CC" w:rsidP="002D6D61">
      <w:pPr>
        <w:pStyle w:val="Para1"/>
        <w:rPr>
          <w:bCs/>
        </w:rPr>
      </w:pPr>
      <w:bookmarkStart w:id="20" w:name="_Hlk121578553"/>
      <w:r>
        <w:t xml:space="preserve">El Grupo de Trabajo II consideró el tema 14 del programa en su primera reunión. Tuvo ante sí un proyecto de decisión, basado en la recomendación 24/5 del Órgano Subsidiario de Asesoramiento Científico, Técnico y Tecnológico, que figuraba en la recopilación de proyectos de decisión. </w:t>
      </w:r>
    </w:p>
    <w:p w14:paraId="21C2EBD0" w14:textId="356E75B0" w:rsidR="001B30CC" w:rsidRPr="009C3E84" w:rsidRDefault="00C65A54" w:rsidP="001B30CC">
      <w:pPr>
        <w:pStyle w:val="Para1"/>
      </w:pPr>
      <w:r>
        <w:t>El Grupo de Trabajo II acordó establecer un grupo de contacto, copresidido por Ntakadzeni Tshidada (Sudáfrica) y Werner Schenkel (Alemania), encargado de resolver las cuestiones relacionadas con los textos entre corchetes en los párrafos 4, 6, 9 y 11 a) y el anexo del proyecto de decisión.</w:t>
      </w:r>
    </w:p>
    <w:p w14:paraId="4DDD568A" w14:textId="69A5A08D" w:rsidR="001B30CC" w:rsidRPr="009C3E84" w:rsidRDefault="001B30CC" w:rsidP="001B30CC">
      <w:pPr>
        <w:pStyle w:val="Para1"/>
      </w:pPr>
      <w:bookmarkStart w:id="21" w:name="_Hlk121578514"/>
      <w:bookmarkEnd w:id="20"/>
      <w:r>
        <w:t>En la segunda reunión del Grupo de Trabajo II, uno de los copresidentes del grupo de contacto informó que el grupo había finalizado su labor.</w:t>
      </w:r>
    </w:p>
    <w:p w14:paraId="4147D5E5" w14:textId="120D233B" w:rsidR="001B30CC" w:rsidRPr="009C3E84" w:rsidRDefault="001B30CC" w:rsidP="001B30CC">
      <w:pPr>
        <w:pStyle w:val="Para1"/>
      </w:pPr>
      <w:r>
        <w:t>En su cuarta reunión, el Grupo de Trabajo II consideró un proyecto de decisión revisado presentado por su Presidenta y lo aprobó, con las enmiendas efectuadas oralmente, para que fuera remitido a la sesión plenaria como proyecto de decisión CBD/CP/MOP/10/L.8.</w:t>
      </w:r>
      <w:bookmarkEnd w:id="21"/>
    </w:p>
    <w:p w14:paraId="5286970C" w14:textId="37CB4F8B" w:rsidR="00097EE2" w:rsidRPr="009C3E84" w:rsidRDefault="00097EE2" w:rsidP="00575F20">
      <w:pPr>
        <w:pStyle w:val="Para1"/>
        <w:suppressLineNumbers/>
        <w:suppressAutoHyphens/>
        <w:kinsoku w:val="0"/>
        <w:overflowPunct w:val="0"/>
        <w:autoSpaceDE w:val="0"/>
        <w:autoSpaceDN w:val="0"/>
        <w:snapToGrid w:val="0"/>
      </w:pPr>
      <w:r>
        <w:t>En su segunda sesión plenaria, la Conferencia de las Partes que actúa como reunión de las Partes en el Protocolo de Cartagena adoptó el proyecto de decisión como decisión CP-10/10.</w:t>
      </w:r>
    </w:p>
    <w:p w14:paraId="2AF61AF6" w14:textId="349F2C75" w:rsidR="00A11B01" w:rsidRPr="009C3E84" w:rsidRDefault="00B21192" w:rsidP="00B21192">
      <w:pPr>
        <w:pStyle w:val="Ttulo1"/>
      </w:pPr>
      <w:r>
        <w:rPr>
          <w:caps w:val="0"/>
        </w:rPr>
        <w:lastRenderedPageBreak/>
        <w:t xml:space="preserve">Tema </w:t>
      </w:r>
      <w:r>
        <w:t>15.</w:t>
      </w:r>
      <w:r>
        <w:tab/>
      </w:r>
      <w:r>
        <w:rPr>
          <w:caps w:val="0"/>
        </w:rPr>
        <w:t>Detección e identificación de organismos vivos modificados</w:t>
      </w:r>
    </w:p>
    <w:p w14:paraId="252A9AC1" w14:textId="22F8C0CA" w:rsidR="00360912" w:rsidRPr="009C3E84" w:rsidRDefault="00360912" w:rsidP="002D6D61">
      <w:pPr>
        <w:pStyle w:val="Para1"/>
        <w:rPr>
          <w:bCs/>
        </w:rPr>
      </w:pPr>
      <w:r>
        <w:t xml:space="preserve">El Grupo de Trabajo II consideró el tema 15 del programa en su primera reunión. Tuvo ante sí un proyecto de decisión, que figuraba en la recopilación de proyectos de decisión, así como notas de la Secretaria Ejecutiva sobre la detección e identificación de organismos vivos modificados (CBD/CP/MOP/10/10/Rev.1), una síntesis de información sobre detección e identificación de organismos vivos modificados (CBD/CP/MOP/10/INF/4) y un resumen de los debates en línea de la red de laboratorios para la detección e identificación de organismos vivos modificados (CBD/CP/MOP/10/INF/5). </w:t>
      </w:r>
    </w:p>
    <w:p w14:paraId="6E7FB148" w14:textId="77777777" w:rsidR="00360912" w:rsidRPr="009C3E84" w:rsidRDefault="00360912" w:rsidP="00360912">
      <w:pPr>
        <w:pStyle w:val="Para1"/>
      </w:pPr>
      <w:r>
        <w:t xml:space="preserve">Formularon declaraciones los representantes del Brasil, Colombia, Côte d’Ivoire, Egipto (en nombre de los Estados de África), Kenya, Malawi, Namibia, Nueva Zelandia, la República de Corea, Sudáfrica y la Unión Europea y sus 27 Estados miembros. </w:t>
      </w:r>
    </w:p>
    <w:p w14:paraId="33C108D3" w14:textId="77777777" w:rsidR="00360912" w:rsidRPr="009C3E84" w:rsidRDefault="00360912" w:rsidP="00360912">
      <w:pPr>
        <w:pStyle w:val="Para1"/>
      </w:pPr>
      <w:r>
        <w:t xml:space="preserve">El representante de la Argentina también formuló una declaración. </w:t>
      </w:r>
    </w:p>
    <w:p w14:paraId="0F7C4F43" w14:textId="398BE8D6" w:rsidR="00360912" w:rsidRPr="009C3E84" w:rsidRDefault="00C65A54" w:rsidP="00360912">
      <w:pPr>
        <w:pStyle w:val="Para1"/>
      </w:pPr>
      <w:r>
        <w:t>El Grupo de Trabajo II acordó que su Presidenta prepararía un proyecto de decisión revisado para su consideración, teniendo en cuenta las declaraciones formuladas.</w:t>
      </w:r>
    </w:p>
    <w:p w14:paraId="2EF97131" w14:textId="3C08CF7D" w:rsidR="00360912" w:rsidRPr="009C3E84" w:rsidRDefault="00360912" w:rsidP="00360912">
      <w:pPr>
        <w:pStyle w:val="Para1"/>
      </w:pPr>
      <w:r>
        <w:t>En su cuarta reunión, el Grupo de Trabajo II consideró el proyecto de decisión revisado presentado por su Presidenta.</w:t>
      </w:r>
    </w:p>
    <w:p w14:paraId="327832F4" w14:textId="390CBA8A" w:rsidR="00360912" w:rsidRPr="009C3E84" w:rsidRDefault="00360912" w:rsidP="00360912">
      <w:pPr>
        <w:pStyle w:val="Para1"/>
      </w:pPr>
      <w:r>
        <w:t>Formularon declaraciones los representantes de Antigua y Barbuda, Belarús, el Brasil, Burkina Faso, Colombia, Costa Rica, el Ecuador, Egipto (en nombre de los Estados de África), Kenya, el Pakistán, el Paraguay, la República Árabe Siria, Sudáfrica, Tayikistán y la Unión Europea y sus 27 Estados miembros.</w:t>
      </w:r>
    </w:p>
    <w:p w14:paraId="48477F6D" w14:textId="0C74C112" w:rsidR="00360912" w:rsidRPr="009C3E84" w:rsidRDefault="00C65A54" w:rsidP="00360912">
      <w:pPr>
        <w:pStyle w:val="Para1"/>
      </w:pPr>
      <w:r>
        <w:t>El Grupo de Trabajo II acordó que se mantendrían debates bilaterales según fuera necesario para resolver una cuestión pendiente.</w:t>
      </w:r>
    </w:p>
    <w:p w14:paraId="5D6F9BE7" w14:textId="641F5521" w:rsidR="00360912" w:rsidRPr="009C3E84" w:rsidRDefault="00360912" w:rsidP="00360912">
      <w:pPr>
        <w:pStyle w:val="Para1"/>
      </w:pPr>
      <w:r>
        <w:t>En su quinta reunión, el 9 de diciembre, el Grupo de Trabajo II reanudó su examen del proyecto de decisión revisado y lo aprobó, con las enmiendas efectuadas oralmente, para que fuera remitido a la sesión plenaria como proyecto de decisión CBD/CP/MOP/10/L.10.</w:t>
      </w:r>
    </w:p>
    <w:p w14:paraId="78241F9A" w14:textId="08E2F0EE" w:rsidR="00097EE2" w:rsidRPr="009C3E84" w:rsidRDefault="00097EE2">
      <w:pPr>
        <w:pStyle w:val="Para1"/>
      </w:pPr>
      <w:r>
        <w:t>En su segunda sesión plenaria, la Conferencia de las Partes que actúa como reunión de las Partes en el Protocolo de Cartagena adoptó el proyecto de decisión, con las enmiendas efectuadas oralmente, como decisión CP-10/11.</w:t>
      </w:r>
    </w:p>
    <w:p w14:paraId="0A037152" w14:textId="05418CF7" w:rsidR="00D623E5" w:rsidRPr="009C3E84" w:rsidRDefault="007775F6" w:rsidP="00A8208C">
      <w:pPr>
        <w:pStyle w:val="Ttulo1"/>
        <w:tabs>
          <w:tab w:val="clear" w:pos="720"/>
        </w:tabs>
      </w:pPr>
      <w:r>
        <w:rPr>
          <w:caps w:val="0"/>
        </w:rPr>
        <w:t xml:space="preserve">Tema </w:t>
      </w:r>
      <w:r>
        <w:t>16.</w:t>
      </w:r>
      <w:r>
        <w:rPr>
          <w:caps w:val="0"/>
        </w:rPr>
        <w:tab/>
        <w:t>Consideraciones socioeconómicas (artículo 26)</w:t>
      </w:r>
    </w:p>
    <w:p w14:paraId="13E6C616" w14:textId="2A5FBAB0" w:rsidR="002504AD" w:rsidRPr="009C3E84" w:rsidRDefault="002504AD" w:rsidP="002D6D61">
      <w:pPr>
        <w:pStyle w:val="Para1"/>
        <w:rPr>
          <w:bCs/>
        </w:rPr>
      </w:pPr>
      <w:r>
        <w:t>El Grupo de Trabajo II consideró el tema 16 del programa en su segunda reunión. Tuvo ante sí un proyecto de decisión, que figuraba en la recopilación de proyectos de decisión, y una nota de la Secretaria Ejecutiva (CBD/CP/MOP/10/11).</w:t>
      </w:r>
    </w:p>
    <w:p w14:paraId="1749E4C7" w14:textId="77777777" w:rsidR="002504AD" w:rsidRPr="009C3E84" w:rsidRDefault="002504AD" w:rsidP="002504AD">
      <w:pPr>
        <w:pStyle w:val="Para1"/>
        <w:rPr>
          <w:bCs/>
        </w:rPr>
      </w:pPr>
      <w:r>
        <w:t>Formularon declaraciones los representantes de Bolivia (Estado Plurinacional de), Botswana, el Brasil, Côte d’Ivoire, el Ecuador, Eswatini, Guatemala, Malasia, México, Namibia, Noruega, el Paraguay, la República de Corea, la República Unida de Tanzanía, Sudáfrica, la Unión Europea y sus 27 Estados miembros, el Uruguay y Zimbabwe (en nombre de los Estados de África).</w:t>
      </w:r>
    </w:p>
    <w:p w14:paraId="08DA7545" w14:textId="77777777" w:rsidR="002504AD" w:rsidRPr="009C3E84" w:rsidRDefault="002504AD" w:rsidP="002504AD">
      <w:pPr>
        <w:pStyle w:val="Para1"/>
        <w:rPr>
          <w:bCs/>
        </w:rPr>
      </w:pPr>
      <w:r>
        <w:t>El representante de la Argentina también formuló una declaración.</w:t>
      </w:r>
    </w:p>
    <w:p w14:paraId="3FD19CC7" w14:textId="3D1CED09" w:rsidR="002504AD" w:rsidRPr="009C3E84" w:rsidRDefault="007A1FEE" w:rsidP="002504AD">
      <w:pPr>
        <w:pStyle w:val="Para1"/>
        <w:rPr>
          <w:bCs/>
        </w:rPr>
      </w:pPr>
      <w:r>
        <w:t>El Grupo de Trabajo II acordó que su Presidenta prepararía un proyecto de decisión revisado para su consideración, teniendo en cuenta las declaraciones formuladas.</w:t>
      </w:r>
    </w:p>
    <w:p w14:paraId="4B517A98" w14:textId="3589B4D9" w:rsidR="002504AD" w:rsidRPr="009C3E84" w:rsidRDefault="002504AD" w:rsidP="002504AD">
      <w:pPr>
        <w:pStyle w:val="Para1"/>
      </w:pPr>
      <w:r>
        <w:t>En su cuarta reunión, el Grupo de Trabajo II consideró el proyecto de decisión revisado presentado por su Presidenta y lo aprobó, con las enmiendas efectuadas oralmente, para que fuera remitido a la sesión plenaria como proyecto de decisión CBD/CP/MOP/10/L.6.</w:t>
      </w:r>
    </w:p>
    <w:p w14:paraId="2BBD02B4" w14:textId="782E6958" w:rsidR="00575F20" w:rsidRPr="009C3E84" w:rsidRDefault="000E50F4" w:rsidP="00575F20">
      <w:pPr>
        <w:pStyle w:val="Para1"/>
        <w:suppressLineNumbers/>
        <w:suppressAutoHyphens/>
        <w:kinsoku w:val="0"/>
        <w:overflowPunct w:val="0"/>
        <w:autoSpaceDE w:val="0"/>
        <w:autoSpaceDN w:val="0"/>
        <w:snapToGrid w:val="0"/>
      </w:pPr>
      <w:r>
        <w:t>En su segunda sesión plenaria, la Conferencia de las Partes que actúa como reunión de las Partes en el Protocolo de Cartagena adoptó el proyecto de decisión como decisión CP-10/12.</w:t>
      </w:r>
    </w:p>
    <w:p w14:paraId="476397EA" w14:textId="5F2A39D6" w:rsidR="008C52BD" w:rsidRPr="009C3E84" w:rsidRDefault="007775F6" w:rsidP="005D6DC3">
      <w:pPr>
        <w:keepNext/>
        <w:keepLines/>
        <w:kinsoku w:val="0"/>
        <w:overflowPunct w:val="0"/>
        <w:autoSpaceDE w:val="0"/>
        <w:autoSpaceDN w:val="0"/>
        <w:spacing w:before="240" w:after="120"/>
        <w:ind w:left="1712" w:right="970" w:hanging="992"/>
        <w:jc w:val="left"/>
        <w:outlineLvl w:val="0"/>
        <w:rPr>
          <w:rFonts w:asciiTheme="majorBidi" w:hAnsiTheme="majorBidi" w:cstheme="majorBidi"/>
          <w:b/>
          <w:bCs/>
          <w:caps/>
          <w:snapToGrid w:val="0"/>
          <w:kern w:val="22"/>
        </w:rPr>
      </w:pPr>
      <w:r>
        <w:rPr>
          <w:rFonts w:asciiTheme="majorBidi" w:hAnsiTheme="majorBidi"/>
          <w:b/>
          <w:snapToGrid w:val="0"/>
        </w:rPr>
        <w:lastRenderedPageBreak/>
        <w:t>Tema 17.</w:t>
      </w:r>
      <w:r>
        <w:rPr>
          <w:rFonts w:asciiTheme="majorBidi" w:hAnsiTheme="majorBidi"/>
          <w:b/>
          <w:snapToGrid w:val="0"/>
        </w:rPr>
        <w:tab/>
        <w:t>Protocolo Suplementario de Nagoya-Kuala Lumpur sobre Responsabilidad y Compensación</w:t>
      </w:r>
    </w:p>
    <w:p w14:paraId="0734338A" w14:textId="436336CD" w:rsidR="003F7E9F" w:rsidRPr="009C3E84" w:rsidRDefault="003F7E9F" w:rsidP="002D6D61">
      <w:pPr>
        <w:pStyle w:val="Para1"/>
        <w:rPr>
          <w:bCs/>
        </w:rPr>
      </w:pPr>
      <w:r>
        <w:t>El Grupo de Trabajo II consideró el tema 17 del programa en su primera reunión. Tuvo ante sí un proyecto de decisión, que figuraba en la recopilación de proyectos de decisión, una nota de la Secretaria Ejecutiva (CBD/CP/MOP/10/9) y un estudio sobre mecanismos de garantía financiera (artículo 10 del Protocolo Suplementario de Nagoya-Kuala Lumpur sobre Responsabilidad y Compensación) (CBD/CP/MOP/10/INF/1).</w:t>
      </w:r>
    </w:p>
    <w:p w14:paraId="78A9FB43" w14:textId="77777777" w:rsidR="003F7E9F" w:rsidRPr="009C3E84" w:rsidRDefault="003F7E9F" w:rsidP="003F7E9F">
      <w:pPr>
        <w:pStyle w:val="Para1"/>
      </w:pPr>
      <w:r>
        <w:t>Formularon declaraciones los representantes del Brasil y la Unión Europea y sus 27 Estados miembros.</w:t>
      </w:r>
    </w:p>
    <w:p w14:paraId="2C193A25" w14:textId="263BDF3F" w:rsidR="003F7E9F" w:rsidRPr="009C3E84" w:rsidRDefault="007A1FEE" w:rsidP="003F7E9F">
      <w:pPr>
        <w:pStyle w:val="Para1"/>
      </w:pPr>
      <w:r>
        <w:t>El Grupo de Trabajo II acordó que su Presidenta prepararía un proyecto de decisión revisado para su consideración, teniendo en cuenta las declaraciones formuladas.</w:t>
      </w:r>
    </w:p>
    <w:p w14:paraId="4D1ED078" w14:textId="60AD3DA4" w:rsidR="003F7E9F" w:rsidRPr="009C3E84" w:rsidRDefault="003F7E9F" w:rsidP="003F7E9F">
      <w:pPr>
        <w:pStyle w:val="Para1"/>
      </w:pPr>
      <w:r>
        <w:t>En su cuarta reunión, el Grupo de Trabajo II consideró el proyecto de decisión revisado presentado por su Presidenta y lo aprobó, con las enmiendas efectuadas oralmente, para que fuera remitido a la sesión plenaria como proyecto de decisión CBD/CP/MOP/10/L.5.</w:t>
      </w:r>
    </w:p>
    <w:p w14:paraId="07314782" w14:textId="2EE49383" w:rsidR="00575F20" w:rsidRPr="009C3E84" w:rsidRDefault="00B566C9" w:rsidP="00575F20">
      <w:pPr>
        <w:pStyle w:val="Para1"/>
        <w:suppressLineNumbers/>
        <w:suppressAutoHyphens/>
        <w:kinsoku w:val="0"/>
        <w:overflowPunct w:val="0"/>
        <w:autoSpaceDE w:val="0"/>
        <w:autoSpaceDN w:val="0"/>
        <w:snapToGrid w:val="0"/>
      </w:pPr>
      <w:r>
        <w:t>En su segunda sesión plenaria, la Conferencia de las Partes que actúa como reunión de las Partes en el Protocolo de Cartagena adoptó el proyecto de decisión como decisión CP-10/13.</w:t>
      </w:r>
    </w:p>
    <w:p w14:paraId="03C38553" w14:textId="60E72411" w:rsidR="004C0A0D" w:rsidRPr="009C3E84" w:rsidRDefault="007775F6" w:rsidP="00575F20">
      <w:pPr>
        <w:pStyle w:val="Ttulo1"/>
        <w:rPr>
          <w:rFonts w:eastAsia="MS Mincho"/>
        </w:rPr>
      </w:pPr>
      <w:r>
        <w:rPr>
          <w:caps w:val="0"/>
        </w:rPr>
        <w:t xml:space="preserve">Tema </w:t>
      </w:r>
      <w:r>
        <w:t>18.</w:t>
      </w:r>
      <w:r>
        <w:rPr>
          <w:caps w:val="0"/>
        </w:rPr>
        <w:tab/>
        <w:t>Otros asuntos</w:t>
      </w:r>
    </w:p>
    <w:p w14:paraId="1865C559" w14:textId="4E2C3E83" w:rsidR="00B82035" w:rsidRPr="009C3E84" w:rsidRDefault="00B82035" w:rsidP="00B82035">
      <w:pPr>
        <w:pStyle w:val="Para1"/>
        <w:overflowPunct w:val="0"/>
        <w:autoSpaceDE w:val="0"/>
        <w:autoSpaceDN w:val="0"/>
        <w:snapToGrid w:val="0"/>
        <w:spacing w:before="0"/>
      </w:pPr>
      <w:bookmarkStart w:id="22" w:name="_Hlk123388366"/>
      <w:r>
        <w:t xml:space="preserve">Habida cuenta de la decisión del Presidente, con arreglo al subtema 2 A del programa, de suspender la reunión, la Conferencia de las Partes que actúa como reunión de las Partes en el Protocolo de Cartagena no examinó el tema 18 del programa. </w:t>
      </w:r>
    </w:p>
    <w:p w14:paraId="7749A961" w14:textId="77777777" w:rsidR="00E543AD" w:rsidRPr="009C3E84" w:rsidRDefault="00E543AD" w:rsidP="00E543AD">
      <w:pPr>
        <w:pStyle w:val="Para1"/>
        <w:numPr>
          <w:ilvl w:val="0"/>
          <w:numId w:val="0"/>
        </w:numPr>
        <w:rPr>
          <w:i/>
          <w:iCs/>
        </w:rPr>
      </w:pPr>
      <w:r>
        <w:rPr>
          <w:i/>
        </w:rPr>
        <w:t>Continuación de la segunda parte</w:t>
      </w:r>
    </w:p>
    <w:p w14:paraId="5FF3E90B" w14:textId="77777777" w:rsidR="00E543AD" w:rsidRPr="009C3E84" w:rsidRDefault="00E543AD" w:rsidP="00E543AD">
      <w:pPr>
        <w:pStyle w:val="Para1"/>
        <w:overflowPunct w:val="0"/>
        <w:autoSpaceDE w:val="0"/>
        <w:autoSpaceDN w:val="0"/>
        <w:snapToGrid w:val="0"/>
        <w:spacing w:before="0"/>
        <w:rPr>
          <w:snapToGrid/>
          <w:szCs w:val="24"/>
        </w:rPr>
      </w:pPr>
      <w:r>
        <w:t>[se completará]</w:t>
      </w:r>
    </w:p>
    <w:bookmarkEnd w:id="22"/>
    <w:p w14:paraId="2EA5DC6C" w14:textId="4270BE65" w:rsidR="00AD3AFD" w:rsidRPr="009C3E84" w:rsidRDefault="007775F6" w:rsidP="00C976E9">
      <w:pPr>
        <w:pStyle w:val="Ttulo1"/>
        <w:rPr>
          <w:caps w:val="0"/>
        </w:rPr>
      </w:pPr>
      <w:r>
        <w:rPr>
          <w:caps w:val="0"/>
        </w:rPr>
        <w:t>Tema 19. Adopción del informe</w:t>
      </w:r>
    </w:p>
    <w:p w14:paraId="5BC7725F" w14:textId="6876C5F3" w:rsidR="00B82035" w:rsidRPr="009C3E84" w:rsidRDefault="00B82035" w:rsidP="00B82035">
      <w:pPr>
        <w:pStyle w:val="Para1"/>
        <w:overflowPunct w:val="0"/>
        <w:autoSpaceDE w:val="0"/>
        <w:autoSpaceDN w:val="0"/>
        <w:snapToGrid w:val="0"/>
        <w:spacing w:before="0"/>
      </w:pPr>
      <w:r>
        <w:t xml:space="preserve">Habida cuenta de la decisión del Presidente, con arreglo al subtema 2 A del programa, de suspender la reunión, la Conferencia de las Partes que actúa como reunión de las Partes en el Protocolo de Cartagena no examinó el tema 19 del programa. </w:t>
      </w:r>
    </w:p>
    <w:p w14:paraId="29E70404" w14:textId="77777777" w:rsidR="00E543AD" w:rsidRPr="009C3E84" w:rsidRDefault="00E543AD" w:rsidP="00E543AD">
      <w:pPr>
        <w:pStyle w:val="Para1"/>
        <w:numPr>
          <w:ilvl w:val="0"/>
          <w:numId w:val="0"/>
        </w:numPr>
        <w:rPr>
          <w:i/>
          <w:iCs/>
        </w:rPr>
      </w:pPr>
      <w:r>
        <w:rPr>
          <w:i/>
        </w:rPr>
        <w:t>Continuación de la segunda parte</w:t>
      </w:r>
    </w:p>
    <w:p w14:paraId="1E91DD08" w14:textId="77777777" w:rsidR="00E543AD" w:rsidRPr="009C3E84" w:rsidRDefault="00E543AD" w:rsidP="00E543AD">
      <w:pPr>
        <w:pStyle w:val="Para1"/>
        <w:overflowPunct w:val="0"/>
        <w:autoSpaceDE w:val="0"/>
        <w:autoSpaceDN w:val="0"/>
        <w:snapToGrid w:val="0"/>
        <w:spacing w:before="0"/>
        <w:rPr>
          <w:snapToGrid/>
          <w:szCs w:val="24"/>
        </w:rPr>
      </w:pPr>
      <w:r>
        <w:t>[se completará]</w:t>
      </w:r>
    </w:p>
    <w:p w14:paraId="7C0C5F17" w14:textId="4E415009" w:rsidR="00D623E5" w:rsidRPr="009C3E84" w:rsidRDefault="007775F6" w:rsidP="00575F20">
      <w:pPr>
        <w:pStyle w:val="Ttulo1"/>
      </w:pPr>
      <w:r>
        <w:rPr>
          <w:caps w:val="0"/>
        </w:rPr>
        <w:t>Tema</w:t>
      </w:r>
      <w:r w:rsidR="009E219B">
        <w:rPr>
          <w:caps w:val="0"/>
        </w:rPr>
        <w:t> </w:t>
      </w:r>
      <w:r>
        <w:t>20.</w:t>
      </w:r>
      <w:r>
        <w:tab/>
      </w:r>
      <w:r>
        <w:rPr>
          <w:caps w:val="0"/>
        </w:rPr>
        <w:t>Clausura de la reunión</w:t>
      </w:r>
    </w:p>
    <w:p w14:paraId="22582A81" w14:textId="45ADE875" w:rsidR="009203DE" w:rsidRPr="009C3E84" w:rsidRDefault="009203DE" w:rsidP="009203DE">
      <w:pPr>
        <w:pStyle w:val="Para1"/>
        <w:overflowPunct w:val="0"/>
        <w:autoSpaceDE w:val="0"/>
        <w:autoSpaceDN w:val="0"/>
        <w:snapToGrid w:val="0"/>
        <w:spacing w:before="0"/>
      </w:pPr>
      <w:r>
        <w:t>Como se indica en relación con el subtema 2 A del programa, no resultó posible llevar a cabo la elección de la Mesa y concluir la segunda parte de la 10ª reunión de la Conferencia de las Partes que actúa como reunión de las Partes en el Protocolo de Cartagena en su quinta sesión plenaria.</w:t>
      </w:r>
    </w:p>
    <w:p w14:paraId="52DE6F79" w14:textId="009F793F" w:rsidR="009203DE" w:rsidRPr="009C3E84" w:rsidRDefault="009203DE" w:rsidP="002D6D61">
      <w:pPr>
        <w:pStyle w:val="Para1"/>
        <w:overflowPunct w:val="0"/>
        <w:autoSpaceDE w:val="0"/>
        <w:autoSpaceDN w:val="0"/>
        <w:snapToGrid w:val="0"/>
        <w:spacing w:before="0"/>
      </w:pPr>
      <w:r>
        <w:t xml:space="preserve">Por consiguiente, el Presidente propuso suspender la 10ª reunión a fin de permitir que las Partes resolvieran sus diferencias en relación con la elección de la Mesa en una continuación de la reunión, que se convocaría en una fecha posterior, y pidió a los miembros de la Mesa de la reunión y a los miembros de las Mesas de los otros órganos que se mantuvieran en funciones hasta la conclusión de la continuación de la reunión. Ninguna de las Partes expresó opiniones contrarias. </w:t>
      </w:r>
    </w:p>
    <w:p w14:paraId="786526A7" w14:textId="2F81A6A6" w:rsidR="00B82035" w:rsidRPr="009C3E84" w:rsidRDefault="00B82035" w:rsidP="00E1686B">
      <w:pPr>
        <w:pStyle w:val="Para1"/>
        <w:tabs>
          <w:tab w:val="clear" w:pos="720"/>
        </w:tabs>
      </w:pPr>
      <w:r>
        <w:t>Tras el intercambio de cortesías habitual, el Presidente suspendió la reunión el 20 de diciembre de 2022 a la 1.00 hora.</w:t>
      </w:r>
    </w:p>
    <w:p w14:paraId="3DF20B2F" w14:textId="77777777" w:rsidR="00E543AD" w:rsidRPr="009C3E84" w:rsidRDefault="00E543AD" w:rsidP="00E543AD">
      <w:pPr>
        <w:pStyle w:val="Para1"/>
        <w:numPr>
          <w:ilvl w:val="0"/>
          <w:numId w:val="0"/>
        </w:numPr>
        <w:rPr>
          <w:i/>
          <w:iCs/>
        </w:rPr>
      </w:pPr>
      <w:r>
        <w:rPr>
          <w:i/>
        </w:rPr>
        <w:t>Continuación de la segunda parte</w:t>
      </w:r>
    </w:p>
    <w:p w14:paraId="09A3D741" w14:textId="77777777" w:rsidR="00E543AD" w:rsidRPr="009C3E84" w:rsidRDefault="00E543AD" w:rsidP="00E543AD">
      <w:pPr>
        <w:pStyle w:val="Para1"/>
        <w:overflowPunct w:val="0"/>
        <w:autoSpaceDE w:val="0"/>
        <w:autoSpaceDN w:val="0"/>
        <w:snapToGrid w:val="0"/>
        <w:spacing w:before="0"/>
        <w:rPr>
          <w:snapToGrid/>
          <w:szCs w:val="24"/>
        </w:rPr>
      </w:pPr>
      <w:r>
        <w:t>[se completará]</w:t>
      </w:r>
    </w:p>
    <w:p w14:paraId="0BF1B3D9" w14:textId="77777777" w:rsidR="00B42FDB" w:rsidRPr="009C3E84" w:rsidRDefault="00B42FDB" w:rsidP="00E1686B">
      <w:pPr>
        <w:pStyle w:val="Para1"/>
        <w:tabs>
          <w:tab w:val="clear" w:pos="720"/>
        </w:tabs>
      </w:pPr>
    </w:p>
    <w:p w14:paraId="4C74D344" w14:textId="77777777" w:rsidR="00CE5B1F" w:rsidRPr="009C3E84" w:rsidRDefault="00CE5B1F" w:rsidP="00CE5B1F">
      <w:pPr>
        <w:jc w:val="center"/>
        <w:rPr>
          <w:snapToGrid w:val="0"/>
          <w:kern w:val="22"/>
          <w:szCs w:val="22"/>
        </w:rPr>
      </w:pPr>
      <w:r>
        <w:rPr>
          <w:snapToGrid w:val="0"/>
        </w:rPr>
        <w:lastRenderedPageBreak/>
        <w:t>__________</w:t>
      </w:r>
    </w:p>
    <w:p w14:paraId="40DDC3F8" w14:textId="1B4A120A" w:rsidR="007F2CFF" w:rsidRPr="009C3E84" w:rsidRDefault="007F2CFF" w:rsidP="00A847FC">
      <w:pPr>
        <w:rPr>
          <w:rFonts w:asciiTheme="majorBidi" w:eastAsia="MS Mincho" w:hAnsiTheme="majorBidi" w:cstheme="majorBidi"/>
          <w:snapToGrid w:val="0"/>
          <w:color w:val="000000"/>
          <w:kern w:val="22"/>
          <w:szCs w:val="22"/>
        </w:rPr>
      </w:pPr>
    </w:p>
    <w:sectPr w:rsidR="007F2CFF" w:rsidRPr="009C3E84" w:rsidSect="00BB6DDC">
      <w:headerReference w:type="even" r:id="rId17"/>
      <w:headerReference w:type="default" r:id="rId18"/>
      <w:type w:val="continuous"/>
      <w:pgSz w:w="12240" w:h="15840"/>
      <w:pgMar w:top="1021" w:right="1440" w:bottom="1021"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DEBC4A" w14:textId="77777777" w:rsidR="00254AA9" w:rsidRDefault="00254AA9" w:rsidP="00CF1848">
      <w:r>
        <w:separator/>
      </w:r>
    </w:p>
  </w:endnote>
  <w:endnote w:type="continuationSeparator" w:id="0">
    <w:p w14:paraId="5727D47F" w14:textId="77777777" w:rsidR="00254AA9" w:rsidRDefault="00254AA9" w:rsidP="00CF1848">
      <w:r>
        <w:continuationSeparator/>
      </w:r>
    </w:p>
  </w:endnote>
  <w:endnote w:type="continuationNotice" w:id="1">
    <w:p w14:paraId="36D06D22" w14:textId="77777777" w:rsidR="00254AA9" w:rsidRDefault="00254A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1B3A4B" w14:textId="77777777" w:rsidR="00254AA9" w:rsidRDefault="00254AA9" w:rsidP="00CF1848">
      <w:r>
        <w:separator/>
      </w:r>
    </w:p>
  </w:footnote>
  <w:footnote w:type="continuationSeparator" w:id="0">
    <w:p w14:paraId="29D5AE94" w14:textId="77777777" w:rsidR="00254AA9" w:rsidRDefault="00254AA9" w:rsidP="00CF1848">
      <w:r>
        <w:continuationSeparator/>
      </w:r>
    </w:p>
  </w:footnote>
  <w:footnote w:type="continuationNotice" w:id="1">
    <w:p w14:paraId="16655202" w14:textId="77777777" w:rsidR="00254AA9" w:rsidRDefault="00254AA9"/>
  </w:footnote>
  <w:footnote w:id="2">
    <w:p w14:paraId="54C83B00" w14:textId="50459B75" w:rsidR="00E3562C" w:rsidRPr="00E3562C" w:rsidRDefault="00E3562C" w:rsidP="002D6D61">
      <w:pPr>
        <w:pStyle w:val="Textonotapie"/>
        <w:ind w:firstLine="0"/>
      </w:pPr>
      <w:r>
        <w:rPr>
          <w:rStyle w:val="Refdenotaalpie"/>
          <w:u w:val="none"/>
          <w:vertAlign w:val="superscript"/>
        </w:rPr>
        <w:footnoteRef/>
      </w:r>
      <w:r>
        <w:t xml:space="preserve"> El informe de la primera parte de la décima reunión se publicó como documento CBD/CP/MOP/10/4.</w:t>
      </w:r>
    </w:p>
  </w:footnote>
  <w:footnote w:id="3">
    <w:p w14:paraId="736A3473" w14:textId="6C5E934A" w:rsidR="00E3562C" w:rsidRPr="00D25AFF" w:rsidRDefault="00E3562C" w:rsidP="00D25AFF">
      <w:pPr>
        <w:pStyle w:val="Textonotapie"/>
        <w:ind w:firstLine="0"/>
      </w:pPr>
      <w:r>
        <w:rPr>
          <w:rStyle w:val="Refdenotaalpie"/>
          <w:u w:val="none"/>
          <w:vertAlign w:val="superscript"/>
        </w:rPr>
        <w:footnoteRef/>
      </w:r>
      <w:r>
        <w:rPr>
          <w:vertAlign w:val="superscript"/>
        </w:rPr>
        <w:t xml:space="preserve"> </w:t>
      </w:r>
      <w:r>
        <w:t>Véase el documento CBD/COP/15/Part-II/L.1/Rev.1, párrs. 7 a 21, para consultar los discursos y las declaraciones de apertura.</w:t>
      </w:r>
    </w:p>
  </w:footnote>
  <w:footnote w:id="4">
    <w:p w14:paraId="5A28185B" w14:textId="3C9D0680" w:rsidR="00E3562C" w:rsidRPr="00D25AFF" w:rsidRDefault="00E3562C" w:rsidP="00D25AFF">
      <w:pPr>
        <w:pStyle w:val="Textonotapie"/>
        <w:ind w:firstLine="0"/>
      </w:pPr>
      <w:r>
        <w:rPr>
          <w:rStyle w:val="Refdenotaalpie"/>
          <w:u w:val="none"/>
          <w:vertAlign w:val="superscript"/>
        </w:rPr>
        <w:footnoteRef/>
      </w:r>
      <w:r>
        <w:rPr>
          <w:vertAlign w:val="superscript"/>
        </w:rPr>
        <w:t xml:space="preserve"> </w:t>
      </w:r>
      <w:r>
        <w:t>Vinod Mathur (India) fue sustituido por Naresh Pal Gangwar, y Andrea Meza Murillo (Costa Rica) fue sustituida por Eugenia Arguedas Montezuma.</w:t>
      </w:r>
    </w:p>
  </w:footnote>
  <w:footnote w:id="5">
    <w:p w14:paraId="7A3BABDF" w14:textId="5E5F8317" w:rsidR="00E3562C" w:rsidRPr="00D25AFF" w:rsidRDefault="00E3562C" w:rsidP="002D6D61">
      <w:pPr>
        <w:pStyle w:val="Textonotapie"/>
        <w:ind w:firstLine="0"/>
      </w:pPr>
      <w:r>
        <w:rPr>
          <w:rStyle w:val="Refdenotaalpie"/>
          <w:u w:val="none"/>
          <w:vertAlign w:val="superscript"/>
        </w:rPr>
        <w:footnoteRef/>
      </w:r>
      <w:r>
        <w:t xml:space="preserve"> Véase el documento CBD/COP/15/Part-II/L.1/Rev.1, párrs. 23 a 28, para más información.</w:t>
      </w:r>
    </w:p>
  </w:footnote>
  <w:footnote w:id="6">
    <w:p w14:paraId="3E0AFCA2" w14:textId="743EFB85" w:rsidR="00E3562C" w:rsidRPr="002D6D61" w:rsidRDefault="00E3562C" w:rsidP="002D6D61">
      <w:pPr>
        <w:pStyle w:val="Textonotapie"/>
        <w:ind w:firstLine="0"/>
      </w:pPr>
      <w:r>
        <w:rPr>
          <w:rStyle w:val="Refdenotaalpie"/>
          <w:u w:val="none"/>
          <w:vertAlign w:val="superscript"/>
        </w:rPr>
        <w:footnoteRef/>
      </w:r>
      <w:r>
        <w:rPr>
          <w:i/>
          <w:iCs/>
        </w:rPr>
        <w:t>Ibidem</w:t>
      </w:r>
      <w:r>
        <w:t>, párr. 32, para consultar las declaraciones.</w:t>
      </w:r>
    </w:p>
  </w:footnote>
  <w:footnote w:id="7">
    <w:p w14:paraId="672DC83C" w14:textId="2F440A90" w:rsidR="00E3562C" w:rsidRPr="002D6D61" w:rsidRDefault="00E3562C" w:rsidP="002D6D61">
      <w:pPr>
        <w:pStyle w:val="Textonotapie"/>
        <w:ind w:firstLine="0"/>
      </w:pPr>
      <w:r>
        <w:rPr>
          <w:rStyle w:val="Refdenotaalpie"/>
          <w:u w:val="none"/>
          <w:vertAlign w:val="superscript"/>
        </w:rPr>
        <w:footnoteRef/>
      </w:r>
      <w:r>
        <w:rPr>
          <w:i/>
          <w:iCs/>
        </w:rPr>
        <w:t>Ibidem</w:t>
      </w:r>
      <w:r>
        <w:t>, párr. 34, para consultar las declaraciones.</w:t>
      </w:r>
    </w:p>
  </w:footnote>
  <w:footnote w:id="8">
    <w:p w14:paraId="5D0FD0F1" w14:textId="605609DB" w:rsidR="00E3562C" w:rsidRPr="002D6D61" w:rsidRDefault="00E3562C" w:rsidP="002D6D61">
      <w:pPr>
        <w:pStyle w:val="Textonotapie"/>
        <w:ind w:firstLine="0"/>
      </w:pPr>
      <w:r>
        <w:rPr>
          <w:rStyle w:val="Refdenotaalpie"/>
          <w:u w:val="none"/>
          <w:vertAlign w:val="superscript"/>
        </w:rPr>
        <w:footnoteRef/>
      </w:r>
      <w:r>
        <w:rPr>
          <w:i/>
          <w:iCs/>
        </w:rPr>
        <w:t>Ibidem</w:t>
      </w:r>
      <w:r>
        <w:t>, párr. 35, para obtener más información sobre las consultas ministeriales.</w:t>
      </w:r>
    </w:p>
  </w:footnote>
  <w:footnote w:id="9">
    <w:p w14:paraId="67BABC9F" w14:textId="16CE3F3C" w:rsidR="00E3562C" w:rsidRPr="002D6D61" w:rsidRDefault="00E3562C" w:rsidP="00EF124D">
      <w:pPr>
        <w:pStyle w:val="Textonotapie"/>
        <w:ind w:firstLine="0"/>
      </w:pPr>
      <w:r>
        <w:rPr>
          <w:rStyle w:val="Refdenotaalpie"/>
          <w:u w:val="none"/>
          <w:vertAlign w:val="superscript"/>
        </w:rPr>
        <w:footnoteRef/>
      </w:r>
      <w:r>
        <w:t>Ibidem, párrs. 37 a 40, para obtener más información.</w:t>
      </w:r>
    </w:p>
  </w:footnote>
  <w:footnote w:id="10">
    <w:p w14:paraId="13019621" w14:textId="015C8BCF" w:rsidR="00E3562C" w:rsidRPr="00E3562C" w:rsidRDefault="00E3562C" w:rsidP="00EF124D">
      <w:pPr>
        <w:pStyle w:val="Textonotapie"/>
        <w:ind w:firstLine="0"/>
      </w:pPr>
      <w:r>
        <w:rPr>
          <w:rStyle w:val="Refdenotaalpie"/>
          <w:u w:val="none"/>
          <w:vertAlign w:val="superscript"/>
        </w:rPr>
        <w:footnoteRef/>
      </w:r>
      <w:r>
        <w:t>Ibidem, párr. 42, para consultar las declaraciones.</w:t>
      </w:r>
    </w:p>
  </w:footnote>
  <w:footnote w:id="11">
    <w:p w14:paraId="2B286F75" w14:textId="566C41B7" w:rsidR="00E3562C" w:rsidRPr="00E3562C" w:rsidRDefault="00E3562C" w:rsidP="002D6D61">
      <w:pPr>
        <w:pStyle w:val="Textonotapie"/>
        <w:ind w:firstLine="0"/>
      </w:pPr>
      <w:r>
        <w:rPr>
          <w:rStyle w:val="Refdenotaalpie"/>
          <w:u w:val="none"/>
          <w:vertAlign w:val="superscript"/>
        </w:rPr>
        <w:footnoteRef/>
      </w:r>
      <w:r>
        <w:t xml:space="preserve"> Debido a la suspensión de la 10ª reunión de la Conferencia de las Partes que actúa como reunión de las Partes en el Protocolo de Cartagena, finalmente no se celebró la elección de los miembros del Comité de Cumplimiento (véase CBD/COP/15/Part-II/L.1/Rev.1, párrs. 22 a 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759958486"/>
      <w:dataBinding w:prefixMappings="xmlns:ns0='http://purl.org/dc/elements/1.1/' xmlns:ns1='http://schemas.openxmlformats.org/package/2006/metadata/core-properties' " w:xpath="/ns1:coreProperties[1]/ns0:subject[1]" w:storeItemID="{6C3C8BC8-F283-45AE-878A-BAB7291924A1}"/>
      <w:text/>
    </w:sdtPr>
    <w:sdtContent>
      <w:p w14:paraId="2A733EEB" w14:textId="366B502E" w:rsidR="000950A3" w:rsidRPr="00E622EA" w:rsidRDefault="005F2581" w:rsidP="000950A3">
        <w:pPr>
          <w:pStyle w:val="Encabezado"/>
          <w:jc w:val="left"/>
          <w:rPr>
            <w:lang w:val="en-US"/>
          </w:rPr>
        </w:pPr>
        <w:r w:rsidRPr="00E622EA">
          <w:rPr>
            <w:lang w:val="en-US"/>
          </w:rPr>
          <w:t>CBD/CP/MOP/10/L.1/Rev.2</w:t>
        </w:r>
      </w:p>
    </w:sdtContent>
  </w:sdt>
  <w:p w14:paraId="1475AB84" w14:textId="77777777" w:rsidR="00E3562C" w:rsidRPr="00757192" w:rsidRDefault="00E3562C" w:rsidP="00910961">
    <w:pPr>
      <w:pStyle w:val="Encabezado"/>
      <w:tabs>
        <w:tab w:val="clear" w:pos="4320"/>
        <w:tab w:val="clear" w:pos="8640"/>
      </w:tabs>
    </w:pPr>
    <w:r>
      <w:t xml:space="preserve">Página </w:t>
    </w:r>
    <w:r>
      <w:fldChar w:fldCharType="begin"/>
    </w:r>
    <w:r w:rsidRPr="00757192">
      <w:instrText xml:space="preserve"> PAGE   \* MERGEFORMAT </w:instrText>
    </w:r>
    <w:r>
      <w:fldChar w:fldCharType="separate"/>
    </w:r>
    <w:r w:rsidRPr="002D6D61">
      <w:t>4</w:t>
    </w:r>
    <w:r>
      <w:fldChar w:fldCharType="end"/>
    </w:r>
  </w:p>
  <w:p w14:paraId="0141B21C" w14:textId="77777777" w:rsidR="00E3562C" w:rsidRPr="00757192" w:rsidRDefault="00E3562C" w:rsidP="00910961">
    <w:pPr>
      <w:pStyle w:val="Encabezado"/>
      <w:tabs>
        <w:tab w:val="clear" w:pos="4320"/>
        <w:tab w:val="clear" w:pos="8640"/>
      </w:tabs>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1944643786"/>
      <w:dataBinding w:prefixMappings="xmlns:ns0='http://purl.org/dc/elements/1.1/' xmlns:ns1='http://schemas.openxmlformats.org/package/2006/metadata/core-properties' " w:xpath="/ns1:coreProperties[1]/ns0:subject[1]" w:storeItemID="{6C3C8BC8-F283-45AE-878A-BAB7291924A1}"/>
      <w:text/>
    </w:sdtPr>
    <w:sdtContent>
      <w:p w14:paraId="3E56B8B1" w14:textId="6A329325" w:rsidR="00E3562C" w:rsidRPr="00E622EA" w:rsidRDefault="005F2581" w:rsidP="009505C9">
        <w:pPr>
          <w:pStyle w:val="Encabezado"/>
          <w:jc w:val="right"/>
          <w:rPr>
            <w:lang w:val="en-US"/>
          </w:rPr>
        </w:pPr>
        <w:r w:rsidRPr="00E622EA">
          <w:rPr>
            <w:lang w:val="en-US"/>
          </w:rPr>
          <w:t>CBD/CP/MOP/10/L.1/Rev.2</w:t>
        </w:r>
      </w:p>
    </w:sdtContent>
  </w:sdt>
  <w:p w14:paraId="1FF83B4A" w14:textId="77777777" w:rsidR="00E3562C" w:rsidRPr="008B46D4" w:rsidRDefault="00E3562C" w:rsidP="009505C9">
    <w:pPr>
      <w:pStyle w:val="Encabezado"/>
      <w:jc w:val="right"/>
    </w:pPr>
    <w:r>
      <w:t xml:space="preserve">Página </w:t>
    </w:r>
    <w:r>
      <w:fldChar w:fldCharType="begin"/>
    </w:r>
    <w:r w:rsidRPr="008B46D4">
      <w:instrText xml:space="preserve"> PAGE   \* MERGEFORMAT </w:instrText>
    </w:r>
    <w:r>
      <w:fldChar w:fldCharType="separate"/>
    </w:r>
    <w:r w:rsidRPr="008B46D4">
      <w:t>3</w:t>
    </w:r>
    <w:r>
      <w:fldChar w:fldCharType="end"/>
    </w:r>
  </w:p>
  <w:p w14:paraId="11074952" w14:textId="77777777" w:rsidR="00E3562C" w:rsidRPr="008B46D4" w:rsidRDefault="00E3562C">
    <w:pPr>
      <w:pStyle w:val="Encabezado"/>
      <w:rPr>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462623663"/>
      <w:dataBinding w:prefixMappings="xmlns:ns0='http://purl.org/dc/elements/1.1/' xmlns:ns1='http://schemas.openxmlformats.org/package/2006/metadata/core-properties' " w:xpath="/ns1:coreProperties[1]/ns0:subject[1]" w:storeItemID="{6C3C8BC8-F283-45AE-878A-BAB7291924A1}"/>
      <w:text/>
    </w:sdtPr>
    <w:sdtContent>
      <w:p w14:paraId="2EA65D35" w14:textId="34896A60" w:rsidR="000950A3" w:rsidRPr="00E622EA" w:rsidRDefault="005F2581" w:rsidP="000950A3">
        <w:pPr>
          <w:pStyle w:val="Encabezado"/>
          <w:jc w:val="left"/>
          <w:rPr>
            <w:lang w:val="en-US"/>
          </w:rPr>
        </w:pPr>
        <w:r w:rsidRPr="00E622EA">
          <w:rPr>
            <w:lang w:val="en-US"/>
          </w:rPr>
          <w:t>CBD/CP/MOP/10/L.1/Rev.2</w:t>
        </w:r>
      </w:p>
    </w:sdtContent>
  </w:sdt>
  <w:p w14:paraId="2417E9CA" w14:textId="77777777" w:rsidR="00112E28" w:rsidRPr="00757192" w:rsidRDefault="00112E28" w:rsidP="00910961">
    <w:pPr>
      <w:pStyle w:val="Encabezado"/>
      <w:tabs>
        <w:tab w:val="clear" w:pos="4320"/>
        <w:tab w:val="clear" w:pos="8640"/>
      </w:tabs>
    </w:pPr>
    <w:r>
      <w:t xml:space="preserve">Página </w:t>
    </w:r>
    <w:r>
      <w:fldChar w:fldCharType="begin"/>
    </w:r>
    <w:r w:rsidRPr="00757192">
      <w:instrText xml:space="preserve"> PAGE   \* MERGEFORMAT </w:instrText>
    </w:r>
    <w:r>
      <w:fldChar w:fldCharType="separate"/>
    </w:r>
    <w:r w:rsidRPr="002D6D61">
      <w:t>4</w:t>
    </w:r>
    <w:r>
      <w:fldChar w:fldCharType="end"/>
    </w:r>
  </w:p>
  <w:p w14:paraId="4470B071" w14:textId="77777777" w:rsidR="00112E28" w:rsidRPr="00757192" w:rsidRDefault="00112E28" w:rsidP="00910961">
    <w:pPr>
      <w:pStyle w:val="Encabezado"/>
      <w:tabs>
        <w:tab w:val="clear" w:pos="4320"/>
        <w:tab w:val="clear" w:pos="8640"/>
      </w:tabs>
      <w:rPr>
        <w:lang w:val="nl-N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E267F7F" w14:textId="5DA5A90B" w:rsidR="00112E28" w:rsidRPr="00E622EA" w:rsidRDefault="005F2581" w:rsidP="009505C9">
        <w:pPr>
          <w:pStyle w:val="Encabezado"/>
          <w:jc w:val="right"/>
          <w:rPr>
            <w:lang w:val="en-US"/>
          </w:rPr>
        </w:pPr>
        <w:r w:rsidRPr="00E622EA">
          <w:rPr>
            <w:lang w:val="en-US"/>
          </w:rPr>
          <w:t>CBD/CP/MOP/10/L.1/Rev.2</w:t>
        </w:r>
      </w:p>
    </w:sdtContent>
  </w:sdt>
  <w:p w14:paraId="45F5E32F" w14:textId="77777777" w:rsidR="00112E28" w:rsidRPr="008B46D4" w:rsidRDefault="00112E28" w:rsidP="009505C9">
    <w:pPr>
      <w:pStyle w:val="Encabezado"/>
      <w:jc w:val="right"/>
    </w:pPr>
    <w:r>
      <w:t xml:space="preserve">Página </w:t>
    </w:r>
    <w:r>
      <w:fldChar w:fldCharType="begin"/>
    </w:r>
    <w:r w:rsidRPr="008B46D4">
      <w:instrText xml:space="preserve"> PAGE   \* MERGEFORMAT </w:instrText>
    </w:r>
    <w:r>
      <w:fldChar w:fldCharType="separate"/>
    </w:r>
    <w:r w:rsidRPr="008B46D4">
      <w:t>3</w:t>
    </w:r>
    <w:r>
      <w:fldChar w:fldCharType="end"/>
    </w:r>
  </w:p>
  <w:p w14:paraId="051956D2" w14:textId="77777777" w:rsidR="00112E28" w:rsidRPr="008B46D4" w:rsidRDefault="00112E28">
    <w:pPr>
      <w:pStyle w:val="Encabezado"/>
      <w:rPr>
        <w:lang w:val="nl-NL"/>
      </w:rPr>
    </w:pPr>
  </w:p>
</w:hdr>
</file>

<file path=word/intelligence.xml><?xml version="1.0" encoding="utf-8"?>
<int:Intelligence xmlns:int="http://schemas.microsoft.com/office/intelligence/2019/intelligence">
  <int:IntelligenceSettings/>
  <int:Manifest>
    <int:WordHash hashCode="W66qY7TwKyCkFB" id="93xMvq2y"/>
  </int:Manifest>
  <int:Observations>
    <int:Content id="93xMvq2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6038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 w15:restartNumberingAfterBreak="0">
    <w:nsid w:val="03004D21"/>
    <w:multiLevelType w:val="hybridMultilevel"/>
    <w:tmpl w:val="768077D8"/>
    <w:lvl w:ilvl="0" w:tplc="EB6E5B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34D42A9"/>
    <w:multiLevelType w:val="hybridMultilevel"/>
    <w:tmpl w:val="0EA8B3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282506"/>
    <w:multiLevelType w:val="hybridMultilevel"/>
    <w:tmpl w:val="2452DE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69E07F0"/>
    <w:multiLevelType w:val="hybridMultilevel"/>
    <w:tmpl w:val="72B897F2"/>
    <w:lvl w:ilvl="0" w:tplc="90822FE6">
      <w:start w:val="1"/>
      <w:numFmt w:val="decimal"/>
      <w:lvlText w:val="%1."/>
      <w:lvlJc w:val="left"/>
      <w:pPr>
        <w:ind w:left="720" w:hanging="360"/>
      </w:pPr>
    </w:lvl>
    <w:lvl w:ilvl="1" w:tplc="F91AFEA0">
      <w:start w:val="1"/>
      <w:numFmt w:val="lowerLetter"/>
      <w:lvlText w:val="%2."/>
      <w:lvlJc w:val="left"/>
      <w:pPr>
        <w:ind w:left="1440" w:hanging="360"/>
      </w:pPr>
    </w:lvl>
    <w:lvl w:ilvl="2" w:tplc="D1EC091C">
      <w:start w:val="1"/>
      <w:numFmt w:val="lowerRoman"/>
      <w:lvlText w:val="%3."/>
      <w:lvlJc w:val="right"/>
      <w:pPr>
        <w:ind w:left="2160" w:hanging="180"/>
      </w:pPr>
    </w:lvl>
    <w:lvl w:ilvl="3" w:tplc="D6BC9E80">
      <w:start w:val="1"/>
      <w:numFmt w:val="decimal"/>
      <w:lvlText w:val="%4."/>
      <w:lvlJc w:val="left"/>
      <w:pPr>
        <w:ind w:left="2880" w:hanging="360"/>
      </w:pPr>
    </w:lvl>
    <w:lvl w:ilvl="4" w:tplc="1AB04332">
      <w:start w:val="1"/>
      <w:numFmt w:val="lowerLetter"/>
      <w:lvlText w:val="%5."/>
      <w:lvlJc w:val="left"/>
      <w:pPr>
        <w:ind w:left="3600" w:hanging="360"/>
      </w:pPr>
    </w:lvl>
    <w:lvl w:ilvl="5" w:tplc="4CC82CC2">
      <w:start w:val="1"/>
      <w:numFmt w:val="lowerRoman"/>
      <w:lvlText w:val="%6."/>
      <w:lvlJc w:val="right"/>
      <w:pPr>
        <w:ind w:left="4320" w:hanging="180"/>
      </w:pPr>
    </w:lvl>
    <w:lvl w:ilvl="6" w:tplc="7B2A6046">
      <w:start w:val="1"/>
      <w:numFmt w:val="decimal"/>
      <w:lvlText w:val="%7."/>
      <w:lvlJc w:val="left"/>
      <w:pPr>
        <w:ind w:left="5040" w:hanging="360"/>
      </w:pPr>
    </w:lvl>
    <w:lvl w:ilvl="7" w:tplc="F3DAB1C0">
      <w:start w:val="1"/>
      <w:numFmt w:val="lowerLetter"/>
      <w:lvlText w:val="%8."/>
      <w:lvlJc w:val="left"/>
      <w:pPr>
        <w:ind w:left="5760" w:hanging="360"/>
      </w:pPr>
    </w:lvl>
    <w:lvl w:ilvl="8" w:tplc="806E7178">
      <w:start w:val="1"/>
      <w:numFmt w:val="lowerRoman"/>
      <w:lvlText w:val="%9."/>
      <w:lvlJc w:val="right"/>
      <w:pPr>
        <w:ind w:left="6480" w:hanging="180"/>
      </w:pPr>
    </w:lvl>
  </w:abstractNum>
  <w:abstractNum w:abstractNumId="5" w15:restartNumberingAfterBreak="0">
    <w:nsid w:val="084A356D"/>
    <w:multiLevelType w:val="hybridMultilevel"/>
    <w:tmpl w:val="83C6AEE6"/>
    <w:lvl w:ilvl="0" w:tplc="10090001">
      <w:start w:val="1"/>
      <w:numFmt w:val="bullet"/>
      <w:lvlText w:val=""/>
      <w:lvlJc w:val="left"/>
      <w:pPr>
        <w:ind w:left="0" w:hanging="360"/>
      </w:pPr>
      <w:rPr>
        <w:rFonts w:ascii="Symbol" w:hAnsi="Symbol" w:hint="default"/>
      </w:rPr>
    </w:lvl>
    <w:lvl w:ilvl="1" w:tplc="10090003" w:tentative="1">
      <w:start w:val="1"/>
      <w:numFmt w:val="bullet"/>
      <w:lvlText w:val="o"/>
      <w:lvlJc w:val="left"/>
      <w:pPr>
        <w:ind w:left="720" w:hanging="360"/>
      </w:pPr>
      <w:rPr>
        <w:rFonts w:ascii="Courier New" w:hAnsi="Courier New" w:cs="Courier New" w:hint="default"/>
      </w:rPr>
    </w:lvl>
    <w:lvl w:ilvl="2" w:tplc="10090005" w:tentative="1">
      <w:start w:val="1"/>
      <w:numFmt w:val="bullet"/>
      <w:lvlText w:val=""/>
      <w:lvlJc w:val="left"/>
      <w:pPr>
        <w:ind w:left="1440" w:hanging="360"/>
      </w:pPr>
      <w:rPr>
        <w:rFonts w:ascii="Wingdings" w:hAnsi="Wingdings" w:hint="default"/>
      </w:rPr>
    </w:lvl>
    <w:lvl w:ilvl="3" w:tplc="10090001" w:tentative="1">
      <w:start w:val="1"/>
      <w:numFmt w:val="bullet"/>
      <w:lvlText w:val=""/>
      <w:lvlJc w:val="left"/>
      <w:pPr>
        <w:ind w:left="2160" w:hanging="360"/>
      </w:pPr>
      <w:rPr>
        <w:rFonts w:ascii="Symbol" w:hAnsi="Symbol" w:hint="default"/>
      </w:rPr>
    </w:lvl>
    <w:lvl w:ilvl="4" w:tplc="10090003" w:tentative="1">
      <w:start w:val="1"/>
      <w:numFmt w:val="bullet"/>
      <w:lvlText w:val="o"/>
      <w:lvlJc w:val="left"/>
      <w:pPr>
        <w:ind w:left="2880" w:hanging="360"/>
      </w:pPr>
      <w:rPr>
        <w:rFonts w:ascii="Courier New" w:hAnsi="Courier New" w:cs="Courier New" w:hint="default"/>
      </w:rPr>
    </w:lvl>
    <w:lvl w:ilvl="5" w:tplc="10090005" w:tentative="1">
      <w:start w:val="1"/>
      <w:numFmt w:val="bullet"/>
      <w:lvlText w:val=""/>
      <w:lvlJc w:val="left"/>
      <w:pPr>
        <w:ind w:left="3600" w:hanging="360"/>
      </w:pPr>
      <w:rPr>
        <w:rFonts w:ascii="Wingdings" w:hAnsi="Wingdings" w:hint="default"/>
      </w:rPr>
    </w:lvl>
    <w:lvl w:ilvl="6" w:tplc="10090001" w:tentative="1">
      <w:start w:val="1"/>
      <w:numFmt w:val="bullet"/>
      <w:lvlText w:val=""/>
      <w:lvlJc w:val="left"/>
      <w:pPr>
        <w:ind w:left="4320" w:hanging="360"/>
      </w:pPr>
      <w:rPr>
        <w:rFonts w:ascii="Symbol" w:hAnsi="Symbol" w:hint="default"/>
      </w:rPr>
    </w:lvl>
    <w:lvl w:ilvl="7" w:tplc="10090003" w:tentative="1">
      <w:start w:val="1"/>
      <w:numFmt w:val="bullet"/>
      <w:lvlText w:val="o"/>
      <w:lvlJc w:val="left"/>
      <w:pPr>
        <w:ind w:left="5040" w:hanging="360"/>
      </w:pPr>
      <w:rPr>
        <w:rFonts w:ascii="Courier New" w:hAnsi="Courier New" w:cs="Courier New" w:hint="default"/>
      </w:rPr>
    </w:lvl>
    <w:lvl w:ilvl="8" w:tplc="10090005" w:tentative="1">
      <w:start w:val="1"/>
      <w:numFmt w:val="bullet"/>
      <w:lvlText w:val=""/>
      <w:lvlJc w:val="left"/>
      <w:pPr>
        <w:ind w:left="5760" w:hanging="360"/>
      </w:pPr>
      <w:rPr>
        <w:rFonts w:ascii="Wingdings" w:hAnsi="Wingdings" w:hint="default"/>
      </w:rPr>
    </w:lvl>
  </w:abstractNum>
  <w:abstractNum w:abstractNumId="6" w15:restartNumberingAfterBreak="0">
    <w:nsid w:val="08747EAD"/>
    <w:multiLevelType w:val="multilevel"/>
    <w:tmpl w:val="060AF368"/>
    <w:lvl w:ilvl="0">
      <w:start w:val="2"/>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200"/>
        </w:tabs>
        <w:ind w:left="7200" w:hanging="1440"/>
      </w:pPr>
    </w:lvl>
  </w:abstractNum>
  <w:abstractNum w:abstractNumId="7" w15:restartNumberingAfterBreak="0">
    <w:nsid w:val="095D77D4"/>
    <w:multiLevelType w:val="hybridMultilevel"/>
    <w:tmpl w:val="9B5812BC"/>
    <w:lvl w:ilvl="0" w:tplc="3818830A">
      <w:start w:val="1"/>
      <w:numFmt w:val="decimal"/>
      <w:lvlText w:val="%1."/>
      <w:lvlJc w:val="left"/>
      <w:pPr>
        <w:ind w:left="720" w:hanging="360"/>
      </w:pPr>
    </w:lvl>
    <w:lvl w:ilvl="1" w:tplc="AC38550E">
      <w:start w:val="1"/>
      <w:numFmt w:val="decimal"/>
      <w:lvlText w:val="%2."/>
      <w:lvlJc w:val="left"/>
      <w:pPr>
        <w:ind w:left="1440" w:hanging="360"/>
      </w:pPr>
    </w:lvl>
    <w:lvl w:ilvl="2" w:tplc="67023AC8">
      <w:start w:val="1"/>
      <w:numFmt w:val="lowerRoman"/>
      <w:lvlText w:val="%3."/>
      <w:lvlJc w:val="right"/>
      <w:pPr>
        <w:ind w:left="2160" w:hanging="180"/>
      </w:pPr>
    </w:lvl>
    <w:lvl w:ilvl="3" w:tplc="89727DBE">
      <w:start w:val="1"/>
      <w:numFmt w:val="decimal"/>
      <w:lvlText w:val="%4."/>
      <w:lvlJc w:val="left"/>
      <w:pPr>
        <w:ind w:left="2880" w:hanging="360"/>
      </w:pPr>
    </w:lvl>
    <w:lvl w:ilvl="4" w:tplc="47B67938">
      <w:start w:val="1"/>
      <w:numFmt w:val="lowerLetter"/>
      <w:lvlText w:val="%5."/>
      <w:lvlJc w:val="left"/>
      <w:pPr>
        <w:ind w:left="3600" w:hanging="360"/>
      </w:pPr>
    </w:lvl>
    <w:lvl w:ilvl="5" w:tplc="F52098BC">
      <w:start w:val="1"/>
      <w:numFmt w:val="lowerRoman"/>
      <w:lvlText w:val="%6."/>
      <w:lvlJc w:val="right"/>
      <w:pPr>
        <w:ind w:left="4320" w:hanging="180"/>
      </w:pPr>
    </w:lvl>
    <w:lvl w:ilvl="6" w:tplc="E9BC8D0E">
      <w:start w:val="1"/>
      <w:numFmt w:val="decimal"/>
      <w:lvlText w:val="%7."/>
      <w:lvlJc w:val="left"/>
      <w:pPr>
        <w:ind w:left="5040" w:hanging="360"/>
      </w:pPr>
    </w:lvl>
    <w:lvl w:ilvl="7" w:tplc="F190E0B0">
      <w:start w:val="1"/>
      <w:numFmt w:val="lowerLetter"/>
      <w:lvlText w:val="%8."/>
      <w:lvlJc w:val="left"/>
      <w:pPr>
        <w:ind w:left="5760" w:hanging="360"/>
      </w:pPr>
    </w:lvl>
    <w:lvl w:ilvl="8" w:tplc="59C41310">
      <w:start w:val="1"/>
      <w:numFmt w:val="lowerRoman"/>
      <w:lvlText w:val="%9."/>
      <w:lvlJc w:val="right"/>
      <w:pPr>
        <w:ind w:left="6480" w:hanging="180"/>
      </w:pPr>
    </w:lvl>
  </w:abstractNum>
  <w:abstractNum w:abstractNumId="8"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0F49166C"/>
    <w:multiLevelType w:val="multilevel"/>
    <w:tmpl w:val="DC10CA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4177056"/>
    <w:multiLevelType w:val="hybridMultilevel"/>
    <w:tmpl w:val="CA7C80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5CC7928"/>
    <w:multiLevelType w:val="hybridMultilevel"/>
    <w:tmpl w:val="867E22E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5F8708E"/>
    <w:multiLevelType w:val="multilevel"/>
    <w:tmpl w:val="7848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6295DE0"/>
    <w:multiLevelType w:val="hybridMultilevel"/>
    <w:tmpl w:val="57248420"/>
    <w:lvl w:ilvl="0" w:tplc="49383AA2">
      <w:start w:val="1"/>
      <w:numFmt w:val="decimal"/>
      <w:lvlText w:val="%1."/>
      <w:lvlJc w:val="left"/>
      <w:pPr>
        <w:ind w:left="720" w:hanging="360"/>
      </w:pPr>
    </w:lvl>
    <w:lvl w:ilvl="1" w:tplc="A524EDFC">
      <w:start w:val="1"/>
      <w:numFmt w:val="lowerLetter"/>
      <w:lvlText w:val="%2."/>
      <w:lvlJc w:val="left"/>
      <w:pPr>
        <w:ind w:left="1440" w:hanging="360"/>
      </w:pPr>
    </w:lvl>
    <w:lvl w:ilvl="2" w:tplc="79228C1A">
      <w:start w:val="1"/>
      <w:numFmt w:val="lowerRoman"/>
      <w:lvlText w:val="%3."/>
      <w:lvlJc w:val="right"/>
      <w:pPr>
        <w:ind w:left="2160" w:hanging="180"/>
      </w:pPr>
    </w:lvl>
    <w:lvl w:ilvl="3" w:tplc="3A764998">
      <w:start w:val="1"/>
      <w:numFmt w:val="decimal"/>
      <w:lvlText w:val="%4."/>
      <w:lvlJc w:val="left"/>
      <w:pPr>
        <w:ind w:left="2880" w:hanging="360"/>
      </w:pPr>
    </w:lvl>
    <w:lvl w:ilvl="4" w:tplc="E09E990A">
      <w:start w:val="1"/>
      <w:numFmt w:val="lowerLetter"/>
      <w:lvlText w:val="%5."/>
      <w:lvlJc w:val="left"/>
      <w:pPr>
        <w:ind w:left="3600" w:hanging="360"/>
      </w:pPr>
    </w:lvl>
    <w:lvl w:ilvl="5" w:tplc="AE78B054">
      <w:start w:val="1"/>
      <w:numFmt w:val="lowerRoman"/>
      <w:lvlText w:val="%6."/>
      <w:lvlJc w:val="right"/>
      <w:pPr>
        <w:ind w:left="4320" w:hanging="180"/>
      </w:pPr>
    </w:lvl>
    <w:lvl w:ilvl="6" w:tplc="0368E804">
      <w:start w:val="1"/>
      <w:numFmt w:val="decimal"/>
      <w:lvlText w:val="%7."/>
      <w:lvlJc w:val="left"/>
      <w:pPr>
        <w:ind w:left="5040" w:hanging="360"/>
      </w:pPr>
    </w:lvl>
    <w:lvl w:ilvl="7" w:tplc="648E33A2">
      <w:start w:val="1"/>
      <w:numFmt w:val="lowerLetter"/>
      <w:lvlText w:val="%8."/>
      <w:lvlJc w:val="left"/>
      <w:pPr>
        <w:ind w:left="5760" w:hanging="360"/>
      </w:pPr>
    </w:lvl>
    <w:lvl w:ilvl="8" w:tplc="312E1168">
      <w:start w:val="1"/>
      <w:numFmt w:val="lowerRoman"/>
      <w:lvlText w:val="%9."/>
      <w:lvlJc w:val="right"/>
      <w:pPr>
        <w:ind w:left="6480" w:hanging="180"/>
      </w:pPr>
    </w:lvl>
  </w:abstractNum>
  <w:abstractNum w:abstractNumId="15"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15:restartNumberingAfterBreak="0">
    <w:nsid w:val="1B5B1FD2"/>
    <w:multiLevelType w:val="hybridMultilevel"/>
    <w:tmpl w:val="D52816E0"/>
    <w:lvl w:ilvl="0" w:tplc="E7E6E160">
      <w:start w:val="1"/>
      <w:numFmt w:val="decimal"/>
      <w:lvlText w:val="%1."/>
      <w:lvlJc w:val="left"/>
      <w:pPr>
        <w:ind w:left="720" w:hanging="360"/>
      </w:pPr>
    </w:lvl>
    <w:lvl w:ilvl="1" w:tplc="ABA2F202">
      <w:start w:val="1"/>
      <w:numFmt w:val="lowerLetter"/>
      <w:lvlText w:val="%2."/>
      <w:lvlJc w:val="left"/>
      <w:pPr>
        <w:ind w:left="1440" w:hanging="360"/>
      </w:pPr>
    </w:lvl>
    <w:lvl w:ilvl="2" w:tplc="D5827F3A">
      <w:start w:val="1"/>
      <w:numFmt w:val="lowerRoman"/>
      <w:lvlText w:val="%3."/>
      <w:lvlJc w:val="right"/>
      <w:pPr>
        <w:ind w:left="2160" w:hanging="180"/>
      </w:pPr>
    </w:lvl>
    <w:lvl w:ilvl="3" w:tplc="6480D9C0">
      <w:start w:val="1"/>
      <w:numFmt w:val="decimal"/>
      <w:lvlText w:val="%4."/>
      <w:lvlJc w:val="left"/>
      <w:pPr>
        <w:ind w:left="2880" w:hanging="360"/>
      </w:pPr>
    </w:lvl>
    <w:lvl w:ilvl="4" w:tplc="2032886A">
      <w:start w:val="1"/>
      <w:numFmt w:val="lowerLetter"/>
      <w:lvlText w:val="%5."/>
      <w:lvlJc w:val="left"/>
      <w:pPr>
        <w:ind w:left="3600" w:hanging="360"/>
      </w:pPr>
    </w:lvl>
    <w:lvl w:ilvl="5" w:tplc="D57813F8">
      <w:start w:val="1"/>
      <w:numFmt w:val="lowerRoman"/>
      <w:lvlText w:val="%6."/>
      <w:lvlJc w:val="right"/>
      <w:pPr>
        <w:ind w:left="4320" w:hanging="180"/>
      </w:pPr>
    </w:lvl>
    <w:lvl w:ilvl="6" w:tplc="72D0323E">
      <w:start w:val="1"/>
      <w:numFmt w:val="decimal"/>
      <w:lvlText w:val="%7."/>
      <w:lvlJc w:val="left"/>
      <w:pPr>
        <w:ind w:left="5040" w:hanging="360"/>
      </w:pPr>
    </w:lvl>
    <w:lvl w:ilvl="7" w:tplc="CD06E390">
      <w:start w:val="1"/>
      <w:numFmt w:val="lowerLetter"/>
      <w:lvlText w:val="%8."/>
      <w:lvlJc w:val="left"/>
      <w:pPr>
        <w:ind w:left="5760" w:hanging="360"/>
      </w:pPr>
    </w:lvl>
    <w:lvl w:ilvl="8" w:tplc="AE4E6490">
      <w:start w:val="1"/>
      <w:numFmt w:val="lowerRoman"/>
      <w:lvlText w:val="%9."/>
      <w:lvlJc w:val="right"/>
      <w:pPr>
        <w:ind w:left="6480" w:hanging="180"/>
      </w:pPr>
    </w:lvl>
  </w:abstractNum>
  <w:abstractNum w:abstractNumId="17" w15:restartNumberingAfterBreak="0">
    <w:nsid w:val="1B693F2D"/>
    <w:multiLevelType w:val="hybridMultilevel"/>
    <w:tmpl w:val="E43A47A4"/>
    <w:lvl w:ilvl="0" w:tplc="10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241450B9"/>
    <w:multiLevelType w:val="hybridMultilevel"/>
    <w:tmpl w:val="1486BBC0"/>
    <w:lvl w:ilvl="0" w:tplc="4C1C31FE">
      <w:start w:val="1"/>
      <w:numFmt w:val="decimal"/>
      <w:lvlText w:val="%1."/>
      <w:lvlJc w:val="left"/>
      <w:pPr>
        <w:ind w:left="720" w:hanging="360"/>
      </w:pPr>
    </w:lvl>
    <w:lvl w:ilvl="1" w:tplc="29E8F8CC">
      <w:start w:val="1"/>
      <w:numFmt w:val="lowerLetter"/>
      <w:lvlText w:val="%2."/>
      <w:lvlJc w:val="left"/>
      <w:pPr>
        <w:ind w:left="1440" w:hanging="360"/>
      </w:pPr>
    </w:lvl>
    <w:lvl w:ilvl="2" w:tplc="5E74ED0C">
      <w:start w:val="1"/>
      <w:numFmt w:val="lowerRoman"/>
      <w:lvlText w:val="%3."/>
      <w:lvlJc w:val="right"/>
      <w:pPr>
        <w:ind w:left="2160" w:hanging="180"/>
      </w:pPr>
    </w:lvl>
    <w:lvl w:ilvl="3" w:tplc="8146D462">
      <w:start w:val="1"/>
      <w:numFmt w:val="decimal"/>
      <w:lvlText w:val="%4."/>
      <w:lvlJc w:val="left"/>
      <w:pPr>
        <w:ind w:left="2880" w:hanging="360"/>
      </w:pPr>
    </w:lvl>
    <w:lvl w:ilvl="4" w:tplc="5FEC71AC">
      <w:start w:val="1"/>
      <w:numFmt w:val="lowerLetter"/>
      <w:lvlText w:val="%5."/>
      <w:lvlJc w:val="left"/>
      <w:pPr>
        <w:ind w:left="3600" w:hanging="360"/>
      </w:pPr>
    </w:lvl>
    <w:lvl w:ilvl="5" w:tplc="512EDC8E">
      <w:start w:val="1"/>
      <w:numFmt w:val="lowerRoman"/>
      <w:lvlText w:val="%6."/>
      <w:lvlJc w:val="right"/>
      <w:pPr>
        <w:ind w:left="4320" w:hanging="180"/>
      </w:pPr>
    </w:lvl>
    <w:lvl w:ilvl="6" w:tplc="E1643FE4">
      <w:start w:val="1"/>
      <w:numFmt w:val="decimal"/>
      <w:lvlText w:val="%7."/>
      <w:lvlJc w:val="left"/>
      <w:pPr>
        <w:ind w:left="5040" w:hanging="360"/>
      </w:pPr>
    </w:lvl>
    <w:lvl w:ilvl="7" w:tplc="7BCA6A36">
      <w:start w:val="1"/>
      <w:numFmt w:val="lowerLetter"/>
      <w:lvlText w:val="%8."/>
      <w:lvlJc w:val="left"/>
      <w:pPr>
        <w:ind w:left="5760" w:hanging="360"/>
      </w:pPr>
    </w:lvl>
    <w:lvl w:ilvl="8" w:tplc="346C983E">
      <w:start w:val="1"/>
      <w:numFmt w:val="lowerRoman"/>
      <w:lvlText w:val="%9."/>
      <w:lvlJc w:val="right"/>
      <w:pPr>
        <w:ind w:left="6480" w:hanging="180"/>
      </w:pPr>
    </w:lvl>
  </w:abstractNum>
  <w:abstractNum w:abstractNumId="19" w15:restartNumberingAfterBreak="0">
    <w:nsid w:val="24660570"/>
    <w:multiLevelType w:val="hybridMultilevel"/>
    <w:tmpl w:val="0A467666"/>
    <w:lvl w:ilvl="0" w:tplc="E30E0F4A">
      <w:start w:val="8"/>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0" w15:restartNumberingAfterBreak="0">
    <w:nsid w:val="27896A5D"/>
    <w:multiLevelType w:val="hybridMultilevel"/>
    <w:tmpl w:val="7D20AF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D012827"/>
    <w:multiLevelType w:val="hybridMultilevel"/>
    <w:tmpl w:val="393ABB9C"/>
    <w:lvl w:ilvl="0" w:tplc="DBD06F06">
      <w:start w:val="1"/>
      <w:numFmt w:val="decimal"/>
      <w:lvlText w:val="%1."/>
      <w:lvlJc w:val="left"/>
      <w:pPr>
        <w:ind w:left="720" w:hanging="360"/>
      </w:pPr>
    </w:lvl>
    <w:lvl w:ilvl="1" w:tplc="B316D31C">
      <w:start w:val="1"/>
      <w:numFmt w:val="lowerLetter"/>
      <w:lvlText w:val="%2."/>
      <w:lvlJc w:val="left"/>
      <w:pPr>
        <w:ind w:left="1440" w:hanging="360"/>
      </w:pPr>
    </w:lvl>
    <w:lvl w:ilvl="2" w:tplc="5EA2BF90">
      <w:start w:val="1"/>
      <w:numFmt w:val="lowerRoman"/>
      <w:lvlText w:val="%3."/>
      <w:lvlJc w:val="right"/>
      <w:pPr>
        <w:ind w:left="2160" w:hanging="180"/>
      </w:pPr>
    </w:lvl>
    <w:lvl w:ilvl="3" w:tplc="7EA4BB14">
      <w:start w:val="1"/>
      <w:numFmt w:val="decimal"/>
      <w:lvlText w:val="%4."/>
      <w:lvlJc w:val="left"/>
      <w:pPr>
        <w:ind w:left="2880" w:hanging="360"/>
      </w:pPr>
    </w:lvl>
    <w:lvl w:ilvl="4" w:tplc="6E4269F4">
      <w:start w:val="1"/>
      <w:numFmt w:val="lowerLetter"/>
      <w:lvlText w:val="%5."/>
      <w:lvlJc w:val="left"/>
      <w:pPr>
        <w:ind w:left="3600" w:hanging="360"/>
      </w:pPr>
    </w:lvl>
    <w:lvl w:ilvl="5" w:tplc="5566C0E2">
      <w:start w:val="1"/>
      <w:numFmt w:val="lowerRoman"/>
      <w:lvlText w:val="%6."/>
      <w:lvlJc w:val="right"/>
      <w:pPr>
        <w:ind w:left="4320" w:hanging="180"/>
      </w:pPr>
    </w:lvl>
    <w:lvl w:ilvl="6" w:tplc="26C4A32A">
      <w:start w:val="1"/>
      <w:numFmt w:val="decimal"/>
      <w:lvlText w:val="%7."/>
      <w:lvlJc w:val="left"/>
      <w:pPr>
        <w:ind w:left="5040" w:hanging="360"/>
      </w:pPr>
    </w:lvl>
    <w:lvl w:ilvl="7" w:tplc="33B2B0EC">
      <w:start w:val="1"/>
      <w:numFmt w:val="lowerLetter"/>
      <w:lvlText w:val="%8."/>
      <w:lvlJc w:val="left"/>
      <w:pPr>
        <w:ind w:left="5760" w:hanging="360"/>
      </w:pPr>
    </w:lvl>
    <w:lvl w:ilvl="8" w:tplc="E1BC8012">
      <w:start w:val="1"/>
      <w:numFmt w:val="lowerRoman"/>
      <w:lvlText w:val="%9."/>
      <w:lvlJc w:val="right"/>
      <w:pPr>
        <w:ind w:left="6480" w:hanging="180"/>
      </w:pPr>
    </w:lvl>
  </w:abstractNum>
  <w:abstractNum w:abstractNumId="22" w15:restartNumberingAfterBreak="0">
    <w:nsid w:val="2D3748C4"/>
    <w:multiLevelType w:val="hybridMultilevel"/>
    <w:tmpl w:val="B01A80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4" w15:restartNumberingAfterBreak="0">
    <w:nsid w:val="30FB3AC6"/>
    <w:multiLevelType w:val="hybridMultilevel"/>
    <w:tmpl w:val="1C8C84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335D28C0"/>
    <w:multiLevelType w:val="hybridMultilevel"/>
    <w:tmpl w:val="EFD8B3D2"/>
    <w:lvl w:ilvl="0" w:tplc="FDDA51FC">
      <w:start w:val="1"/>
      <w:numFmt w:val="decimal"/>
      <w:lvlText w:val="%1."/>
      <w:lvlJc w:val="left"/>
      <w:pPr>
        <w:ind w:left="720" w:hanging="360"/>
      </w:pPr>
    </w:lvl>
    <w:lvl w:ilvl="1" w:tplc="AFD2B4E6">
      <w:start w:val="1"/>
      <w:numFmt w:val="lowerLetter"/>
      <w:lvlText w:val="%2."/>
      <w:lvlJc w:val="left"/>
      <w:pPr>
        <w:ind w:left="1440" w:hanging="360"/>
      </w:pPr>
    </w:lvl>
    <w:lvl w:ilvl="2" w:tplc="52469F8C">
      <w:start w:val="1"/>
      <w:numFmt w:val="lowerRoman"/>
      <w:lvlText w:val="%3."/>
      <w:lvlJc w:val="right"/>
      <w:pPr>
        <w:ind w:left="2160" w:hanging="180"/>
      </w:pPr>
    </w:lvl>
    <w:lvl w:ilvl="3" w:tplc="5E9E5E44">
      <w:start w:val="1"/>
      <w:numFmt w:val="decimal"/>
      <w:lvlText w:val="%4."/>
      <w:lvlJc w:val="left"/>
      <w:pPr>
        <w:ind w:left="2880" w:hanging="360"/>
      </w:pPr>
    </w:lvl>
    <w:lvl w:ilvl="4" w:tplc="ACDC1A9A">
      <w:start w:val="1"/>
      <w:numFmt w:val="lowerLetter"/>
      <w:lvlText w:val="%5."/>
      <w:lvlJc w:val="left"/>
      <w:pPr>
        <w:ind w:left="3600" w:hanging="360"/>
      </w:pPr>
    </w:lvl>
    <w:lvl w:ilvl="5" w:tplc="0E400D40">
      <w:start w:val="1"/>
      <w:numFmt w:val="lowerRoman"/>
      <w:lvlText w:val="%6."/>
      <w:lvlJc w:val="right"/>
      <w:pPr>
        <w:ind w:left="4320" w:hanging="180"/>
      </w:pPr>
    </w:lvl>
    <w:lvl w:ilvl="6" w:tplc="99583844">
      <w:start w:val="1"/>
      <w:numFmt w:val="decimal"/>
      <w:lvlText w:val="%7."/>
      <w:lvlJc w:val="left"/>
      <w:pPr>
        <w:ind w:left="5040" w:hanging="360"/>
      </w:pPr>
    </w:lvl>
    <w:lvl w:ilvl="7" w:tplc="EC2E5CBC">
      <w:start w:val="1"/>
      <w:numFmt w:val="lowerLetter"/>
      <w:lvlText w:val="%8."/>
      <w:lvlJc w:val="left"/>
      <w:pPr>
        <w:ind w:left="5760" w:hanging="360"/>
      </w:pPr>
    </w:lvl>
    <w:lvl w:ilvl="8" w:tplc="1C9A99E8">
      <w:start w:val="1"/>
      <w:numFmt w:val="lowerRoman"/>
      <w:lvlText w:val="%9."/>
      <w:lvlJc w:val="right"/>
      <w:pPr>
        <w:ind w:left="6480" w:hanging="180"/>
      </w:pPr>
    </w:lvl>
  </w:abstractNum>
  <w:abstractNum w:abstractNumId="26" w15:restartNumberingAfterBreak="0">
    <w:nsid w:val="38B77952"/>
    <w:multiLevelType w:val="hybridMultilevel"/>
    <w:tmpl w:val="FF445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0A2C6D"/>
    <w:multiLevelType w:val="multilevel"/>
    <w:tmpl w:val="0F8E0504"/>
    <w:lvl w:ilvl="0">
      <w:start w:val="7"/>
      <w:numFmt w:val="decimal"/>
      <w:lvlText w:val="%1"/>
      <w:lvlJc w:val="left"/>
      <w:pPr>
        <w:ind w:left="360" w:hanging="360"/>
      </w:pPr>
      <w:rPr>
        <w:rFonts w:hint="default"/>
      </w:rPr>
    </w:lvl>
    <w:lvl w:ilvl="1">
      <w:start w:val="3"/>
      <w:numFmt w:val="decimal"/>
      <w:lvlText w:val="%1.%2"/>
      <w:lvlJc w:val="left"/>
      <w:pPr>
        <w:ind w:left="1777"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3BBB47D8"/>
    <w:multiLevelType w:val="hybridMultilevel"/>
    <w:tmpl w:val="BEFC75E2"/>
    <w:lvl w:ilvl="0" w:tplc="FFFFFFFF">
      <w:start w:val="1"/>
      <w:numFmt w:val="decimal"/>
      <w:lvlText w:val="%1."/>
      <w:lvlJc w:val="left"/>
      <w:pPr>
        <w:ind w:left="720" w:hanging="360"/>
      </w:pPr>
      <w:rPr>
        <w:rFonts w:asciiTheme="majorBidi" w:hAnsiTheme="majorBidi" w:cstheme="majorBidi" w:hint="default"/>
        <w:b w:val="0"/>
        <w:bCs w:val="0"/>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D536C58"/>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023EB3"/>
    <w:multiLevelType w:val="hybridMultilevel"/>
    <w:tmpl w:val="277E75E2"/>
    <w:lvl w:ilvl="0" w:tplc="D4348EDC">
      <w:start w:val="1"/>
      <w:numFmt w:val="decimal"/>
      <w:lvlText w:val="%1."/>
      <w:lvlJc w:val="left"/>
      <w:pPr>
        <w:ind w:left="720" w:hanging="360"/>
      </w:pPr>
    </w:lvl>
    <w:lvl w:ilvl="1" w:tplc="0418886A">
      <w:start w:val="1"/>
      <w:numFmt w:val="lowerLetter"/>
      <w:lvlText w:val="%2."/>
      <w:lvlJc w:val="left"/>
      <w:pPr>
        <w:ind w:left="1440" w:hanging="360"/>
      </w:pPr>
    </w:lvl>
    <w:lvl w:ilvl="2" w:tplc="B336C2AA">
      <w:start w:val="1"/>
      <w:numFmt w:val="lowerRoman"/>
      <w:lvlText w:val="%3."/>
      <w:lvlJc w:val="right"/>
      <w:pPr>
        <w:ind w:left="2160" w:hanging="180"/>
      </w:pPr>
    </w:lvl>
    <w:lvl w:ilvl="3" w:tplc="8682B372">
      <w:start w:val="1"/>
      <w:numFmt w:val="decimal"/>
      <w:lvlText w:val="%4."/>
      <w:lvlJc w:val="left"/>
      <w:pPr>
        <w:ind w:left="2880" w:hanging="360"/>
      </w:pPr>
    </w:lvl>
    <w:lvl w:ilvl="4" w:tplc="B3B813D0">
      <w:start w:val="1"/>
      <w:numFmt w:val="lowerLetter"/>
      <w:lvlText w:val="%5."/>
      <w:lvlJc w:val="left"/>
      <w:pPr>
        <w:ind w:left="3600" w:hanging="360"/>
      </w:pPr>
    </w:lvl>
    <w:lvl w:ilvl="5" w:tplc="5270FC4E">
      <w:start w:val="1"/>
      <w:numFmt w:val="lowerRoman"/>
      <w:lvlText w:val="%6."/>
      <w:lvlJc w:val="right"/>
      <w:pPr>
        <w:ind w:left="4320" w:hanging="180"/>
      </w:pPr>
    </w:lvl>
    <w:lvl w:ilvl="6" w:tplc="01080E46">
      <w:start w:val="1"/>
      <w:numFmt w:val="decimal"/>
      <w:lvlText w:val="%7."/>
      <w:lvlJc w:val="left"/>
      <w:pPr>
        <w:ind w:left="5040" w:hanging="360"/>
      </w:pPr>
    </w:lvl>
    <w:lvl w:ilvl="7" w:tplc="EF8C8E1E">
      <w:start w:val="1"/>
      <w:numFmt w:val="lowerLetter"/>
      <w:lvlText w:val="%8."/>
      <w:lvlJc w:val="left"/>
      <w:pPr>
        <w:ind w:left="5760" w:hanging="360"/>
      </w:pPr>
    </w:lvl>
    <w:lvl w:ilvl="8" w:tplc="964EAFA8">
      <w:start w:val="1"/>
      <w:numFmt w:val="lowerRoman"/>
      <w:lvlText w:val="%9."/>
      <w:lvlJc w:val="right"/>
      <w:pPr>
        <w:ind w:left="6480" w:hanging="180"/>
      </w:pPr>
    </w:lvl>
  </w:abstractNum>
  <w:abstractNum w:abstractNumId="31"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B385943"/>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4E9022BB"/>
    <w:multiLevelType w:val="hybridMultilevel"/>
    <w:tmpl w:val="2C12007E"/>
    <w:lvl w:ilvl="0" w:tplc="1F102DC4">
      <w:start w:val="1"/>
      <w:numFmt w:val="decimal"/>
      <w:lvlText w:val="%1."/>
      <w:lvlJc w:val="left"/>
      <w:pPr>
        <w:ind w:left="720" w:hanging="360"/>
      </w:pPr>
    </w:lvl>
    <w:lvl w:ilvl="1" w:tplc="05329352">
      <w:start w:val="1"/>
      <w:numFmt w:val="lowerLetter"/>
      <w:lvlText w:val="%2."/>
      <w:lvlJc w:val="left"/>
      <w:pPr>
        <w:ind w:left="1440" w:hanging="360"/>
      </w:pPr>
    </w:lvl>
    <w:lvl w:ilvl="2" w:tplc="5CC4652C">
      <w:start w:val="1"/>
      <w:numFmt w:val="lowerRoman"/>
      <w:lvlText w:val="%3."/>
      <w:lvlJc w:val="right"/>
      <w:pPr>
        <w:ind w:left="2160" w:hanging="180"/>
      </w:pPr>
    </w:lvl>
    <w:lvl w:ilvl="3" w:tplc="CF42A628">
      <w:start w:val="1"/>
      <w:numFmt w:val="decimal"/>
      <w:lvlText w:val="%4."/>
      <w:lvlJc w:val="left"/>
      <w:pPr>
        <w:ind w:left="2880" w:hanging="360"/>
      </w:pPr>
    </w:lvl>
    <w:lvl w:ilvl="4" w:tplc="C18A4636">
      <w:start w:val="1"/>
      <w:numFmt w:val="lowerLetter"/>
      <w:lvlText w:val="%5."/>
      <w:lvlJc w:val="left"/>
      <w:pPr>
        <w:ind w:left="3600" w:hanging="360"/>
      </w:pPr>
    </w:lvl>
    <w:lvl w:ilvl="5" w:tplc="DFEAA8EC">
      <w:start w:val="1"/>
      <w:numFmt w:val="lowerRoman"/>
      <w:lvlText w:val="%6."/>
      <w:lvlJc w:val="right"/>
      <w:pPr>
        <w:ind w:left="4320" w:hanging="180"/>
      </w:pPr>
    </w:lvl>
    <w:lvl w:ilvl="6" w:tplc="DAA223A8">
      <w:start w:val="1"/>
      <w:numFmt w:val="decimal"/>
      <w:lvlText w:val="%7."/>
      <w:lvlJc w:val="left"/>
      <w:pPr>
        <w:ind w:left="5040" w:hanging="360"/>
      </w:pPr>
    </w:lvl>
    <w:lvl w:ilvl="7" w:tplc="62061294">
      <w:start w:val="1"/>
      <w:numFmt w:val="lowerLetter"/>
      <w:lvlText w:val="%8."/>
      <w:lvlJc w:val="left"/>
      <w:pPr>
        <w:ind w:left="5760" w:hanging="360"/>
      </w:pPr>
    </w:lvl>
    <w:lvl w:ilvl="8" w:tplc="3508E1E0">
      <w:start w:val="1"/>
      <w:numFmt w:val="lowerRoman"/>
      <w:lvlText w:val="%9."/>
      <w:lvlJc w:val="right"/>
      <w:pPr>
        <w:ind w:left="6480" w:hanging="180"/>
      </w:pPr>
    </w:lvl>
  </w:abstractNum>
  <w:abstractNum w:abstractNumId="36" w15:restartNumberingAfterBreak="0">
    <w:nsid w:val="4FAF3874"/>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7" w15:restartNumberingAfterBreak="0">
    <w:nsid w:val="543F327C"/>
    <w:multiLevelType w:val="hybridMultilevel"/>
    <w:tmpl w:val="E39EBFCC"/>
    <w:lvl w:ilvl="0" w:tplc="7FB85216">
      <w:start w:val="1"/>
      <w:numFmt w:val="decimal"/>
      <w:lvlText w:val="%1."/>
      <w:lvlJc w:val="left"/>
      <w:pPr>
        <w:tabs>
          <w:tab w:val="num" w:pos="720"/>
        </w:tabs>
        <w:ind w:left="720" w:hanging="360"/>
      </w:pPr>
      <w:rPr>
        <w:b w:val="0"/>
      </w:rPr>
    </w:lvl>
    <w:lvl w:ilvl="1" w:tplc="929AB2E8">
      <w:numFmt w:val="none"/>
      <w:lvlText w:val=""/>
      <w:lvlJc w:val="left"/>
      <w:pPr>
        <w:tabs>
          <w:tab w:val="num" w:pos="360"/>
        </w:tabs>
        <w:ind w:left="0" w:firstLine="0"/>
      </w:pPr>
    </w:lvl>
    <w:lvl w:ilvl="2" w:tplc="F11C8352">
      <w:numFmt w:val="none"/>
      <w:lvlText w:val=""/>
      <w:lvlJc w:val="left"/>
      <w:pPr>
        <w:tabs>
          <w:tab w:val="num" w:pos="360"/>
        </w:tabs>
        <w:ind w:left="0" w:firstLine="0"/>
      </w:pPr>
    </w:lvl>
    <w:lvl w:ilvl="3" w:tplc="66DC63B6">
      <w:numFmt w:val="none"/>
      <w:lvlText w:val=""/>
      <w:lvlJc w:val="left"/>
      <w:pPr>
        <w:tabs>
          <w:tab w:val="num" w:pos="360"/>
        </w:tabs>
        <w:ind w:left="0" w:firstLine="0"/>
      </w:pPr>
    </w:lvl>
    <w:lvl w:ilvl="4" w:tplc="A788A2C4">
      <w:numFmt w:val="none"/>
      <w:lvlText w:val=""/>
      <w:lvlJc w:val="left"/>
      <w:pPr>
        <w:tabs>
          <w:tab w:val="num" w:pos="360"/>
        </w:tabs>
        <w:ind w:left="0" w:firstLine="0"/>
      </w:pPr>
    </w:lvl>
    <w:lvl w:ilvl="5" w:tplc="CA0A7470">
      <w:numFmt w:val="none"/>
      <w:lvlText w:val=""/>
      <w:lvlJc w:val="left"/>
      <w:pPr>
        <w:tabs>
          <w:tab w:val="num" w:pos="360"/>
        </w:tabs>
        <w:ind w:left="0" w:firstLine="0"/>
      </w:pPr>
    </w:lvl>
    <w:lvl w:ilvl="6" w:tplc="4E5A2374">
      <w:numFmt w:val="none"/>
      <w:lvlText w:val=""/>
      <w:lvlJc w:val="left"/>
      <w:pPr>
        <w:tabs>
          <w:tab w:val="num" w:pos="360"/>
        </w:tabs>
        <w:ind w:left="0" w:firstLine="0"/>
      </w:pPr>
    </w:lvl>
    <w:lvl w:ilvl="7" w:tplc="6B1C9520">
      <w:numFmt w:val="none"/>
      <w:lvlText w:val=""/>
      <w:lvlJc w:val="left"/>
      <w:pPr>
        <w:tabs>
          <w:tab w:val="num" w:pos="360"/>
        </w:tabs>
        <w:ind w:left="0" w:firstLine="0"/>
      </w:pPr>
    </w:lvl>
    <w:lvl w:ilvl="8" w:tplc="94BC9040">
      <w:numFmt w:val="none"/>
      <w:lvlText w:val=""/>
      <w:lvlJc w:val="left"/>
      <w:pPr>
        <w:tabs>
          <w:tab w:val="num" w:pos="360"/>
        </w:tabs>
        <w:ind w:left="0" w:firstLine="0"/>
      </w:pPr>
    </w:lvl>
  </w:abstractNum>
  <w:abstractNum w:abstractNumId="38" w15:restartNumberingAfterBreak="0">
    <w:nsid w:val="58C673FA"/>
    <w:multiLevelType w:val="hybridMultilevel"/>
    <w:tmpl w:val="10E20C08"/>
    <w:lvl w:ilvl="0" w:tplc="DBBA02DA">
      <w:start w:val="1"/>
      <w:numFmt w:val="decimal"/>
      <w:lvlText w:val="%1."/>
      <w:lvlJc w:val="left"/>
      <w:pPr>
        <w:ind w:left="720" w:hanging="360"/>
      </w:pPr>
    </w:lvl>
    <w:lvl w:ilvl="1" w:tplc="A8B4A5CE">
      <w:start w:val="1"/>
      <w:numFmt w:val="lowerLetter"/>
      <w:lvlText w:val="%2."/>
      <w:lvlJc w:val="left"/>
      <w:pPr>
        <w:ind w:left="1440" w:hanging="360"/>
      </w:pPr>
    </w:lvl>
    <w:lvl w:ilvl="2" w:tplc="451A442A">
      <w:start w:val="1"/>
      <w:numFmt w:val="lowerRoman"/>
      <w:lvlText w:val="%3."/>
      <w:lvlJc w:val="right"/>
      <w:pPr>
        <w:ind w:left="2160" w:hanging="180"/>
      </w:pPr>
    </w:lvl>
    <w:lvl w:ilvl="3" w:tplc="5E5A3936">
      <w:start w:val="1"/>
      <w:numFmt w:val="decimal"/>
      <w:lvlText w:val="%4."/>
      <w:lvlJc w:val="left"/>
      <w:pPr>
        <w:ind w:left="2880" w:hanging="360"/>
      </w:pPr>
    </w:lvl>
    <w:lvl w:ilvl="4" w:tplc="51160950">
      <w:start w:val="1"/>
      <w:numFmt w:val="lowerLetter"/>
      <w:lvlText w:val="%5."/>
      <w:lvlJc w:val="left"/>
      <w:pPr>
        <w:ind w:left="3600" w:hanging="360"/>
      </w:pPr>
    </w:lvl>
    <w:lvl w:ilvl="5" w:tplc="86AA8B9A">
      <w:start w:val="1"/>
      <w:numFmt w:val="lowerRoman"/>
      <w:lvlText w:val="%6."/>
      <w:lvlJc w:val="right"/>
      <w:pPr>
        <w:ind w:left="4320" w:hanging="180"/>
      </w:pPr>
    </w:lvl>
    <w:lvl w:ilvl="6" w:tplc="3D009C9C">
      <w:start w:val="1"/>
      <w:numFmt w:val="decimal"/>
      <w:lvlText w:val="%7."/>
      <w:lvlJc w:val="left"/>
      <w:pPr>
        <w:ind w:left="5040" w:hanging="360"/>
      </w:pPr>
    </w:lvl>
    <w:lvl w:ilvl="7" w:tplc="99969DB8">
      <w:start w:val="1"/>
      <w:numFmt w:val="lowerLetter"/>
      <w:lvlText w:val="%8."/>
      <w:lvlJc w:val="left"/>
      <w:pPr>
        <w:ind w:left="5760" w:hanging="360"/>
      </w:pPr>
    </w:lvl>
    <w:lvl w:ilvl="8" w:tplc="317EF6FE">
      <w:start w:val="1"/>
      <w:numFmt w:val="lowerRoman"/>
      <w:lvlText w:val="%9."/>
      <w:lvlJc w:val="right"/>
      <w:pPr>
        <w:ind w:left="6480" w:hanging="180"/>
      </w:pPr>
    </w:lvl>
  </w:abstractNum>
  <w:abstractNum w:abstractNumId="39" w15:restartNumberingAfterBreak="0">
    <w:nsid w:val="5EE37880"/>
    <w:multiLevelType w:val="hybridMultilevel"/>
    <w:tmpl w:val="1390BA00"/>
    <w:lvl w:ilvl="0" w:tplc="0409000F">
      <w:start w:val="1"/>
      <w:numFmt w:val="decimal"/>
      <w:lvlText w:val="%1."/>
      <w:lvlJc w:val="left"/>
      <w:pPr>
        <w:ind w:left="720" w:hanging="360"/>
      </w:pPr>
      <w:rPr>
        <w:rFonts w:hint="default"/>
      </w:rPr>
    </w:lvl>
    <w:lvl w:ilvl="1" w:tplc="069291EE">
      <w:start w:val="1"/>
      <w:numFmt w:val="lowerLetter"/>
      <w:lvlText w:val="(%2)"/>
      <w:lvlJc w:val="left"/>
      <w:pPr>
        <w:ind w:left="1440" w:hanging="360"/>
      </w:pPr>
      <w:rPr>
        <w:rFonts w:asciiTheme="majorBidi" w:eastAsia="Times New Roman" w:hAnsiTheme="majorBidi" w:cstheme="majorBid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E64678"/>
    <w:multiLevelType w:val="multilevel"/>
    <w:tmpl w:val="6D3647BC"/>
    <w:lvl w:ilvl="0">
      <w:start w:val="1"/>
      <w:numFmt w:val="bullet"/>
      <w:lvlText w:val=""/>
      <w:lvlJc w:val="left"/>
      <w:pPr>
        <w:tabs>
          <w:tab w:val="num" w:pos="450"/>
        </w:tabs>
        <w:ind w:left="90" w:firstLine="0"/>
      </w:pPr>
      <w:rPr>
        <w:rFonts w:ascii="Symbol" w:hAnsi="Symbol"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1" w15:restartNumberingAfterBreak="0">
    <w:nsid w:val="620D6AEB"/>
    <w:multiLevelType w:val="multilevel"/>
    <w:tmpl w:val="266202AA"/>
    <w:lvl w:ilvl="0">
      <w:start w:val="1"/>
      <w:numFmt w:val="decimal"/>
      <w:pStyle w:val="Para1"/>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62AC38F0"/>
    <w:multiLevelType w:val="hybridMultilevel"/>
    <w:tmpl w:val="3B0CC888"/>
    <w:lvl w:ilvl="0" w:tplc="ADB6C1D6">
      <w:start w:val="1"/>
      <w:numFmt w:val="decimal"/>
      <w:lvlText w:val="%1."/>
      <w:lvlJc w:val="left"/>
      <w:pPr>
        <w:ind w:left="720" w:hanging="360"/>
      </w:pPr>
    </w:lvl>
    <w:lvl w:ilvl="1" w:tplc="D09687A6">
      <w:start w:val="1"/>
      <w:numFmt w:val="lowerLetter"/>
      <w:lvlText w:val="%2."/>
      <w:lvlJc w:val="left"/>
      <w:pPr>
        <w:ind w:left="1440" w:hanging="360"/>
      </w:pPr>
    </w:lvl>
    <w:lvl w:ilvl="2" w:tplc="5630CBBE">
      <w:start w:val="1"/>
      <w:numFmt w:val="lowerRoman"/>
      <w:lvlText w:val="%3."/>
      <w:lvlJc w:val="right"/>
      <w:pPr>
        <w:ind w:left="2160" w:hanging="180"/>
      </w:pPr>
    </w:lvl>
    <w:lvl w:ilvl="3" w:tplc="E556C252">
      <w:start w:val="1"/>
      <w:numFmt w:val="decimal"/>
      <w:lvlText w:val="%4."/>
      <w:lvlJc w:val="left"/>
      <w:pPr>
        <w:ind w:left="2880" w:hanging="360"/>
      </w:pPr>
    </w:lvl>
    <w:lvl w:ilvl="4" w:tplc="5FA48376">
      <w:start w:val="1"/>
      <w:numFmt w:val="lowerLetter"/>
      <w:lvlText w:val="%5."/>
      <w:lvlJc w:val="left"/>
      <w:pPr>
        <w:ind w:left="3600" w:hanging="360"/>
      </w:pPr>
    </w:lvl>
    <w:lvl w:ilvl="5" w:tplc="CA06BBDC">
      <w:start w:val="1"/>
      <w:numFmt w:val="lowerRoman"/>
      <w:lvlText w:val="%6."/>
      <w:lvlJc w:val="right"/>
      <w:pPr>
        <w:ind w:left="4320" w:hanging="180"/>
      </w:pPr>
    </w:lvl>
    <w:lvl w:ilvl="6" w:tplc="94922820">
      <w:start w:val="1"/>
      <w:numFmt w:val="decimal"/>
      <w:lvlText w:val="%7."/>
      <w:lvlJc w:val="left"/>
      <w:pPr>
        <w:ind w:left="5040" w:hanging="360"/>
      </w:pPr>
    </w:lvl>
    <w:lvl w:ilvl="7" w:tplc="991EB7FC">
      <w:start w:val="1"/>
      <w:numFmt w:val="lowerLetter"/>
      <w:lvlText w:val="%8."/>
      <w:lvlJc w:val="left"/>
      <w:pPr>
        <w:ind w:left="5760" w:hanging="360"/>
      </w:pPr>
    </w:lvl>
    <w:lvl w:ilvl="8" w:tplc="CF02FA56">
      <w:start w:val="1"/>
      <w:numFmt w:val="lowerRoman"/>
      <w:lvlText w:val="%9."/>
      <w:lvlJc w:val="right"/>
      <w:pPr>
        <w:ind w:left="6480" w:hanging="180"/>
      </w:pPr>
    </w:lvl>
  </w:abstractNum>
  <w:abstractNum w:abstractNumId="43" w15:restartNumberingAfterBreak="0">
    <w:nsid w:val="64E200BE"/>
    <w:multiLevelType w:val="hybridMultilevel"/>
    <w:tmpl w:val="1236FA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4EE46A3"/>
    <w:multiLevelType w:val="hybridMultilevel"/>
    <w:tmpl w:val="12AEF0B4"/>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C81C91EC">
      <w:start w:val="1"/>
      <w:numFmt w:val="upperLetter"/>
      <w:lvlText w:val="%3."/>
      <w:lvlJc w:val="left"/>
      <w:pPr>
        <w:ind w:left="2700" w:hanging="720"/>
      </w:pPr>
      <w:rPr>
        <w:rFonts w:hint="default"/>
        <w:i w:val="0"/>
        <w:i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9287DA7"/>
    <w:multiLevelType w:val="hybridMultilevel"/>
    <w:tmpl w:val="7048E208"/>
    <w:lvl w:ilvl="0" w:tplc="E286E332">
      <w:start w:val="1"/>
      <w:numFmt w:val="decimal"/>
      <w:lvlText w:val="%1."/>
      <w:lvlJc w:val="left"/>
      <w:pPr>
        <w:ind w:left="720" w:hanging="360"/>
      </w:pPr>
    </w:lvl>
    <w:lvl w:ilvl="1" w:tplc="BB2C0D4E">
      <w:start w:val="1"/>
      <w:numFmt w:val="lowerLetter"/>
      <w:lvlText w:val="%2."/>
      <w:lvlJc w:val="left"/>
      <w:pPr>
        <w:ind w:left="1440" w:hanging="360"/>
      </w:pPr>
    </w:lvl>
    <w:lvl w:ilvl="2" w:tplc="C3DC66BA">
      <w:start w:val="1"/>
      <w:numFmt w:val="lowerRoman"/>
      <w:lvlText w:val="%3."/>
      <w:lvlJc w:val="right"/>
      <w:pPr>
        <w:ind w:left="2160" w:hanging="180"/>
      </w:pPr>
    </w:lvl>
    <w:lvl w:ilvl="3" w:tplc="462E9EFE">
      <w:start w:val="1"/>
      <w:numFmt w:val="decimal"/>
      <w:lvlText w:val="%4."/>
      <w:lvlJc w:val="left"/>
      <w:pPr>
        <w:ind w:left="2880" w:hanging="360"/>
      </w:pPr>
    </w:lvl>
    <w:lvl w:ilvl="4" w:tplc="E74039D2">
      <w:start w:val="1"/>
      <w:numFmt w:val="lowerLetter"/>
      <w:lvlText w:val="%5."/>
      <w:lvlJc w:val="left"/>
      <w:pPr>
        <w:ind w:left="3600" w:hanging="360"/>
      </w:pPr>
    </w:lvl>
    <w:lvl w:ilvl="5" w:tplc="9AFA0BBA">
      <w:start w:val="1"/>
      <w:numFmt w:val="lowerRoman"/>
      <w:lvlText w:val="%6."/>
      <w:lvlJc w:val="right"/>
      <w:pPr>
        <w:ind w:left="4320" w:hanging="180"/>
      </w:pPr>
    </w:lvl>
    <w:lvl w:ilvl="6" w:tplc="37DAF036">
      <w:start w:val="1"/>
      <w:numFmt w:val="decimal"/>
      <w:lvlText w:val="%7."/>
      <w:lvlJc w:val="left"/>
      <w:pPr>
        <w:ind w:left="5040" w:hanging="360"/>
      </w:pPr>
    </w:lvl>
    <w:lvl w:ilvl="7" w:tplc="F1643826">
      <w:start w:val="1"/>
      <w:numFmt w:val="lowerLetter"/>
      <w:lvlText w:val="%8."/>
      <w:lvlJc w:val="left"/>
      <w:pPr>
        <w:ind w:left="5760" w:hanging="360"/>
      </w:pPr>
    </w:lvl>
    <w:lvl w:ilvl="8" w:tplc="91481CB8">
      <w:start w:val="1"/>
      <w:numFmt w:val="lowerRoman"/>
      <w:lvlText w:val="%9."/>
      <w:lvlJc w:val="right"/>
      <w:pPr>
        <w:ind w:left="6480" w:hanging="180"/>
      </w:pPr>
    </w:lvl>
  </w:abstractNum>
  <w:abstractNum w:abstractNumId="46" w15:restartNumberingAfterBreak="0">
    <w:nsid w:val="69AF33F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7" w15:restartNumberingAfterBreak="0">
    <w:nsid w:val="6C3870A6"/>
    <w:multiLevelType w:val="hybridMultilevel"/>
    <w:tmpl w:val="E640B2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CD57C6E"/>
    <w:multiLevelType w:val="multilevel"/>
    <w:tmpl w:val="747AF608"/>
    <w:lvl w:ilvl="0">
      <w:start w:val="1"/>
      <w:numFmt w:val="decimal"/>
      <w:lvlText w:val="%1."/>
      <w:lvlJc w:val="left"/>
      <w:pPr>
        <w:tabs>
          <w:tab w:val="num" w:pos="1800"/>
        </w:tabs>
        <w:ind w:left="1800" w:hanging="360"/>
      </w:pPr>
      <w:rPr>
        <w:rFonts w:hint="default"/>
      </w:rPr>
    </w:lvl>
    <w:lvl w:ilvl="1">
      <w:start w:val="1"/>
      <w:numFmt w:val="decimal"/>
      <w:lvlText w:val="%1.%2."/>
      <w:lvlJc w:val="left"/>
      <w:pPr>
        <w:tabs>
          <w:tab w:val="num" w:pos="2232"/>
        </w:tabs>
        <w:ind w:left="2232" w:hanging="432"/>
      </w:pPr>
      <w:rPr>
        <w:rFonts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49" w15:restartNumberingAfterBreak="0">
    <w:nsid w:val="6CEE27AC"/>
    <w:multiLevelType w:val="hybridMultilevel"/>
    <w:tmpl w:val="311E91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8B1526"/>
    <w:multiLevelType w:val="multilevel"/>
    <w:tmpl w:val="2E42DF30"/>
    <w:lvl w:ilvl="0">
      <w:start w:val="7"/>
      <w:numFmt w:val="decimal"/>
      <w:lvlText w:val="%1"/>
      <w:lvlJc w:val="left"/>
      <w:pPr>
        <w:ind w:left="360" w:hanging="360"/>
      </w:pPr>
      <w:rPr>
        <w:rFonts w:hint="default"/>
      </w:rPr>
    </w:lvl>
    <w:lvl w:ilvl="1">
      <w:start w:val="2"/>
      <w:numFmt w:val="decimal"/>
      <w:lvlText w:val="%1.%2"/>
      <w:lvlJc w:val="left"/>
      <w:pPr>
        <w:ind w:left="1777" w:hanging="360"/>
      </w:pPr>
      <w:rPr>
        <w:rFonts w:hint="default"/>
      </w:rPr>
    </w:lvl>
    <w:lvl w:ilvl="2">
      <w:start w:val="1"/>
      <w:numFmt w:val="decimal"/>
      <w:lvlText w:val="%1.%2.%3"/>
      <w:lvlJc w:val="left"/>
      <w:pPr>
        <w:ind w:left="3554" w:hanging="720"/>
      </w:pPr>
      <w:rPr>
        <w:rFonts w:hint="default"/>
      </w:rPr>
    </w:lvl>
    <w:lvl w:ilvl="3">
      <w:start w:val="1"/>
      <w:numFmt w:val="decimal"/>
      <w:lvlText w:val="%1.%2.%3.%4"/>
      <w:lvlJc w:val="left"/>
      <w:pPr>
        <w:ind w:left="4971" w:hanging="720"/>
      </w:pPr>
      <w:rPr>
        <w:rFonts w:hint="default"/>
      </w:rPr>
    </w:lvl>
    <w:lvl w:ilvl="4">
      <w:start w:val="1"/>
      <w:numFmt w:val="decimal"/>
      <w:lvlText w:val="%1.%2.%3.%4.%5"/>
      <w:lvlJc w:val="left"/>
      <w:pPr>
        <w:ind w:left="6748" w:hanging="1080"/>
      </w:pPr>
      <w:rPr>
        <w:rFonts w:hint="default"/>
      </w:rPr>
    </w:lvl>
    <w:lvl w:ilvl="5">
      <w:start w:val="1"/>
      <w:numFmt w:val="decimal"/>
      <w:lvlText w:val="%1.%2.%3.%4.%5.%6"/>
      <w:lvlJc w:val="left"/>
      <w:pPr>
        <w:ind w:left="8165" w:hanging="1080"/>
      </w:pPr>
      <w:rPr>
        <w:rFonts w:hint="default"/>
      </w:rPr>
    </w:lvl>
    <w:lvl w:ilvl="6">
      <w:start w:val="1"/>
      <w:numFmt w:val="decimal"/>
      <w:lvlText w:val="%1.%2.%3.%4.%5.%6.%7"/>
      <w:lvlJc w:val="left"/>
      <w:pPr>
        <w:ind w:left="9942" w:hanging="1440"/>
      </w:pPr>
      <w:rPr>
        <w:rFonts w:hint="default"/>
      </w:rPr>
    </w:lvl>
    <w:lvl w:ilvl="7">
      <w:start w:val="1"/>
      <w:numFmt w:val="decimal"/>
      <w:lvlText w:val="%1.%2.%3.%4.%5.%6.%7.%8"/>
      <w:lvlJc w:val="left"/>
      <w:pPr>
        <w:ind w:left="11359" w:hanging="1440"/>
      </w:pPr>
      <w:rPr>
        <w:rFonts w:hint="default"/>
      </w:rPr>
    </w:lvl>
    <w:lvl w:ilvl="8">
      <w:start w:val="1"/>
      <w:numFmt w:val="decimal"/>
      <w:lvlText w:val="%1.%2.%3.%4.%5.%6.%7.%8.%9"/>
      <w:lvlJc w:val="left"/>
      <w:pPr>
        <w:ind w:left="12776" w:hanging="1440"/>
      </w:pPr>
      <w:rPr>
        <w:rFonts w:hint="default"/>
      </w:rPr>
    </w:lvl>
  </w:abstractNum>
  <w:abstractNum w:abstractNumId="51"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707D33B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3" w15:restartNumberingAfterBreak="0">
    <w:nsid w:val="70B76C3E"/>
    <w:multiLevelType w:val="hybridMultilevel"/>
    <w:tmpl w:val="17BE3FC2"/>
    <w:lvl w:ilvl="0" w:tplc="78D2A4DC">
      <w:start w:val="73"/>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5161CEE"/>
    <w:multiLevelType w:val="hybridMultilevel"/>
    <w:tmpl w:val="5FACD5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78D01785"/>
    <w:multiLevelType w:val="hybridMultilevel"/>
    <w:tmpl w:val="F61049F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6" w15:restartNumberingAfterBreak="0">
    <w:nsid w:val="79004F90"/>
    <w:multiLevelType w:val="multilevel"/>
    <w:tmpl w:val="C242F4CE"/>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7CF04D97"/>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8" w15:restartNumberingAfterBreak="0">
    <w:nsid w:val="7EEA1AB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9" w15:restartNumberingAfterBreak="0">
    <w:nsid w:val="7F780233"/>
    <w:multiLevelType w:val="hybridMultilevel"/>
    <w:tmpl w:val="237A5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31705816">
    <w:abstractNumId w:val="23"/>
  </w:num>
  <w:num w:numId="2" w16cid:durableId="254825821">
    <w:abstractNumId w:val="34"/>
  </w:num>
  <w:num w:numId="3" w16cid:durableId="1402559500">
    <w:abstractNumId w:val="31"/>
  </w:num>
  <w:num w:numId="4" w16cid:durableId="116414457">
    <w:abstractNumId w:val="34"/>
  </w:num>
  <w:num w:numId="5" w16cid:durableId="1814105783">
    <w:abstractNumId w:val="32"/>
  </w:num>
  <w:num w:numId="6" w16cid:durableId="2023555952">
    <w:abstractNumId w:val="9"/>
  </w:num>
  <w:num w:numId="7" w16cid:durableId="493686535">
    <w:abstractNumId w:val="15"/>
  </w:num>
  <w:num w:numId="8" w16cid:durableId="750467581">
    <w:abstractNumId w:val="31"/>
    <w:lvlOverride w:ilvl="0">
      <w:startOverride w:val="1"/>
    </w:lvlOverride>
  </w:num>
  <w:num w:numId="9" w16cid:durableId="1192189004">
    <w:abstractNumId w:val="51"/>
  </w:num>
  <w:num w:numId="10" w16cid:durableId="432281463">
    <w:abstractNumId w:val="31"/>
    <w:lvlOverride w:ilvl="0">
      <w:startOverride w:val="1"/>
    </w:lvlOverride>
  </w:num>
  <w:num w:numId="11" w16cid:durableId="70204018">
    <w:abstractNumId w:val="31"/>
    <w:lvlOverride w:ilvl="0">
      <w:startOverride w:val="1"/>
    </w:lvlOverride>
  </w:num>
  <w:num w:numId="12" w16cid:durableId="1209754986">
    <w:abstractNumId w:val="31"/>
    <w:lvlOverride w:ilvl="0">
      <w:startOverride w:val="1"/>
    </w:lvlOverride>
  </w:num>
  <w:num w:numId="13" w16cid:durableId="1661501422">
    <w:abstractNumId w:val="31"/>
    <w:lvlOverride w:ilvl="0">
      <w:startOverride w:val="1"/>
    </w:lvlOverride>
  </w:num>
  <w:num w:numId="14" w16cid:durableId="586886153">
    <w:abstractNumId w:val="37"/>
    <w:lvlOverride w:ilvl="0">
      <w:startOverride w:val="1"/>
    </w:lvlOverride>
    <w:lvlOverride w:ilvl="1"/>
    <w:lvlOverride w:ilvl="2"/>
    <w:lvlOverride w:ilvl="3"/>
    <w:lvlOverride w:ilvl="4"/>
    <w:lvlOverride w:ilvl="5"/>
    <w:lvlOverride w:ilvl="6"/>
    <w:lvlOverride w:ilvl="7"/>
    <w:lvlOverride w:ilvl="8"/>
  </w:num>
  <w:num w:numId="15" w16cid:durableId="770007940">
    <w:abstractNumId w:val="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0266435">
    <w:abstractNumId w:val="29"/>
  </w:num>
  <w:num w:numId="17" w16cid:durableId="1643584992">
    <w:abstractNumId w:val="48"/>
  </w:num>
  <w:num w:numId="18" w16cid:durableId="388191251">
    <w:abstractNumId w:val="19"/>
  </w:num>
  <w:num w:numId="19" w16cid:durableId="751121708">
    <w:abstractNumId w:val="55"/>
  </w:num>
  <w:num w:numId="20" w16cid:durableId="13191533">
    <w:abstractNumId w:val="12"/>
  </w:num>
  <w:num w:numId="21" w16cid:durableId="878473883">
    <w:abstractNumId w:val="5"/>
  </w:num>
  <w:num w:numId="22" w16cid:durableId="1345941941">
    <w:abstractNumId w:val="22"/>
  </w:num>
  <w:num w:numId="23" w16cid:durableId="1361972615">
    <w:abstractNumId w:val="24"/>
  </w:num>
  <w:num w:numId="24" w16cid:durableId="1888755362">
    <w:abstractNumId w:val="11"/>
  </w:num>
  <w:num w:numId="25" w16cid:durableId="1836875162">
    <w:abstractNumId w:val="59"/>
  </w:num>
  <w:num w:numId="26" w16cid:durableId="1949775484">
    <w:abstractNumId w:val="3"/>
  </w:num>
  <w:num w:numId="27" w16cid:durableId="797068487">
    <w:abstractNumId w:val="20"/>
  </w:num>
  <w:num w:numId="28" w16cid:durableId="321158500">
    <w:abstractNumId w:val="47"/>
  </w:num>
  <w:num w:numId="29" w16cid:durableId="1533956310">
    <w:abstractNumId w:val="2"/>
  </w:num>
  <w:num w:numId="30" w16cid:durableId="1625308308">
    <w:abstractNumId w:val="54"/>
  </w:num>
  <w:num w:numId="31" w16cid:durableId="1869026080">
    <w:abstractNumId w:val="1"/>
  </w:num>
  <w:num w:numId="32" w16cid:durableId="58984851">
    <w:abstractNumId w:val="13"/>
  </w:num>
  <w:num w:numId="33" w16cid:durableId="1958025200">
    <w:abstractNumId w:val="27"/>
  </w:num>
  <w:num w:numId="34" w16cid:durableId="56710335">
    <w:abstractNumId w:val="17"/>
  </w:num>
  <w:num w:numId="35" w16cid:durableId="403994446">
    <w:abstractNumId w:val="50"/>
  </w:num>
  <w:num w:numId="36" w16cid:durableId="138230542">
    <w:abstractNumId w:val="41"/>
  </w:num>
  <w:num w:numId="37" w16cid:durableId="546646150">
    <w:abstractNumId w:val="8"/>
  </w:num>
  <w:num w:numId="38" w16cid:durableId="1916428594">
    <w:abstractNumId w:val="10"/>
  </w:num>
  <w:num w:numId="39" w16cid:durableId="469982266">
    <w:abstractNumId w:val="58"/>
  </w:num>
  <w:num w:numId="40" w16cid:durableId="1014117407">
    <w:abstractNumId w:val="0"/>
  </w:num>
  <w:num w:numId="41" w16cid:durableId="1840928327">
    <w:abstractNumId w:val="46"/>
  </w:num>
  <w:num w:numId="42" w16cid:durableId="1255554763">
    <w:abstractNumId w:val="49"/>
  </w:num>
  <w:num w:numId="43" w16cid:durableId="982974905">
    <w:abstractNumId w:val="26"/>
  </w:num>
  <w:num w:numId="44" w16cid:durableId="328025596">
    <w:abstractNumId w:val="36"/>
  </w:num>
  <w:num w:numId="45" w16cid:durableId="726614961">
    <w:abstractNumId w:val="40"/>
  </w:num>
  <w:num w:numId="46" w16cid:durableId="1072582161">
    <w:abstractNumId w:val="33"/>
  </w:num>
  <w:num w:numId="47" w16cid:durableId="1654144976">
    <w:abstractNumId w:val="52"/>
  </w:num>
  <w:num w:numId="48" w16cid:durableId="2091077684">
    <w:abstractNumId w:val="57"/>
  </w:num>
  <w:num w:numId="49" w16cid:durableId="967710055">
    <w:abstractNumId w:val="44"/>
  </w:num>
  <w:num w:numId="50" w16cid:durableId="113065440">
    <w:abstractNumId w:val="35"/>
  </w:num>
  <w:num w:numId="51" w16cid:durableId="1012531796">
    <w:abstractNumId w:val="45"/>
  </w:num>
  <w:num w:numId="52" w16cid:durableId="196477302">
    <w:abstractNumId w:val="7"/>
  </w:num>
  <w:num w:numId="53" w16cid:durableId="1115519250">
    <w:abstractNumId w:val="42"/>
  </w:num>
  <w:num w:numId="54" w16cid:durableId="2087720572">
    <w:abstractNumId w:val="18"/>
  </w:num>
  <w:num w:numId="55" w16cid:durableId="158079305">
    <w:abstractNumId w:val="14"/>
  </w:num>
  <w:num w:numId="56" w16cid:durableId="1471167598">
    <w:abstractNumId w:val="4"/>
  </w:num>
  <w:num w:numId="57" w16cid:durableId="195049806">
    <w:abstractNumId w:val="30"/>
  </w:num>
  <w:num w:numId="58" w16cid:durableId="820851962">
    <w:abstractNumId w:val="21"/>
  </w:num>
  <w:num w:numId="59" w16cid:durableId="1419712695">
    <w:abstractNumId w:val="38"/>
  </w:num>
  <w:num w:numId="60" w16cid:durableId="648830123">
    <w:abstractNumId w:val="16"/>
  </w:num>
  <w:num w:numId="61" w16cid:durableId="795224295">
    <w:abstractNumId w:val="25"/>
  </w:num>
  <w:num w:numId="62" w16cid:durableId="1592204090">
    <w:abstractNumId w:val="43"/>
  </w:num>
  <w:num w:numId="63" w16cid:durableId="1074009724">
    <w:abstractNumId w:val="3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959099122">
    <w:abstractNumId w:val="41"/>
  </w:num>
  <w:num w:numId="65" w16cid:durableId="1511792061">
    <w:abstractNumId w:val="56"/>
  </w:num>
  <w:num w:numId="66" w16cid:durableId="2085831265">
    <w:abstractNumId w:val="53"/>
  </w:num>
  <w:num w:numId="67" w16cid:durableId="1106383804">
    <w:abstractNumId w:val="39"/>
  </w:num>
  <w:num w:numId="68" w16cid:durableId="480583609">
    <w:abstractNumId w:val="28"/>
  </w:num>
  <w:num w:numId="69" w16cid:durableId="938487267">
    <w:abstractNumId w:val="41"/>
  </w:num>
  <w:num w:numId="70" w16cid:durableId="1037042866">
    <w:abstractNumId w:val="41"/>
  </w:num>
  <w:num w:numId="71" w16cid:durableId="1713185669">
    <w:abstractNumId w:val="41"/>
  </w:num>
  <w:num w:numId="72" w16cid:durableId="784813727">
    <w:abstractNumId w:val="41"/>
  </w:num>
  <w:num w:numId="73" w16cid:durableId="159272527">
    <w:abstractNumId w:val="41"/>
  </w:num>
  <w:num w:numId="74" w16cid:durableId="1677999041">
    <w:abstractNumId w:val="41"/>
  </w:num>
  <w:num w:numId="75" w16cid:durableId="1336615965">
    <w:abstractNumId w:val="41"/>
  </w:num>
  <w:num w:numId="76" w16cid:durableId="1779912060">
    <w:abstractNumId w:val="41"/>
  </w:num>
  <w:num w:numId="77" w16cid:durableId="1704864495">
    <w:abstractNumId w:val="41"/>
  </w:num>
  <w:num w:numId="78" w16cid:durableId="1370640649">
    <w:abstractNumId w:val="41"/>
  </w:num>
  <w:num w:numId="79" w16cid:durableId="1926566658">
    <w:abstractNumId w:val="41"/>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doNotTrackFormatting/>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A08"/>
    <w:rsid w:val="00005A7B"/>
    <w:rsid w:val="0000775E"/>
    <w:rsid w:val="00007BDE"/>
    <w:rsid w:val="00012BEA"/>
    <w:rsid w:val="00013696"/>
    <w:rsid w:val="00013A54"/>
    <w:rsid w:val="00016FDF"/>
    <w:rsid w:val="00017488"/>
    <w:rsid w:val="00020A5D"/>
    <w:rsid w:val="00022609"/>
    <w:rsid w:val="000230CE"/>
    <w:rsid w:val="00025D61"/>
    <w:rsid w:val="000274F0"/>
    <w:rsid w:val="00027E53"/>
    <w:rsid w:val="000302BF"/>
    <w:rsid w:val="000331D3"/>
    <w:rsid w:val="000347A1"/>
    <w:rsid w:val="00034B0E"/>
    <w:rsid w:val="000375E1"/>
    <w:rsid w:val="00042057"/>
    <w:rsid w:val="0004420E"/>
    <w:rsid w:val="00044389"/>
    <w:rsid w:val="000456DA"/>
    <w:rsid w:val="0004681D"/>
    <w:rsid w:val="00047132"/>
    <w:rsid w:val="000473BD"/>
    <w:rsid w:val="000479E3"/>
    <w:rsid w:val="0005153E"/>
    <w:rsid w:val="00052091"/>
    <w:rsid w:val="00053982"/>
    <w:rsid w:val="00053A3A"/>
    <w:rsid w:val="000554B4"/>
    <w:rsid w:val="000558FE"/>
    <w:rsid w:val="00055C21"/>
    <w:rsid w:val="00055EB5"/>
    <w:rsid w:val="000579D2"/>
    <w:rsid w:val="0006202C"/>
    <w:rsid w:val="00062942"/>
    <w:rsid w:val="00062CF7"/>
    <w:rsid w:val="00063E9D"/>
    <w:rsid w:val="00066852"/>
    <w:rsid w:val="00066F26"/>
    <w:rsid w:val="00067F09"/>
    <w:rsid w:val="000704FE"/>
    <w:rsid w:val="00070D5F"/>
    <w:rsid w:val="00071921"/>
    <w:rsid w:val="00071FAE"/>
    <w:rsid w:val="00074C61"/>
    <w:rsid w:val="000769AF"/>
    <w:rsid w:val="00077BE8"/>
    <w:rsid w:val="0008014A"/>
    <w:rsid w:val="00080B26"/>
    <w:rsid w:val="00080D1E"/>
    <w:rsid w:val="00080D2D"/>
    <w:rsid w:val="000831AB"/>
    <w:rsid w:val="00084F0F"/>
    <w:rsid w:val="00085E63"/>
    <w:rsid w:val="000875B0"/>
    <w:rsid w:val="000912AF"/>
    <w:rsid w:val="0009159B"/>
    <w:rsid w:val="000925B8"/>
    <w:rsid w:val="00093F6B"/>
    <w:rsid w:val="00094A41"/>
    <w:rsid w:val="000950A3"/>
    <w:rsid w:val="000957F6"/>
    <w:rsid w:val="00095A2C"/>
    <w:rsid w:val="0009665A"/>
    <w:rsid w:val="00097384"/>
    <w:rsid w:val="00097EE2"/>
    <w:rsid w:val="00097F5F"/>
    <w:rsid w:val="000A0830"/>
    <w:rsid w:val="000A0AC1"/>
    <w:rsid w:val="000A0BDD"/>
    <w:rsid w:val="000A3D17"/>
    <w:rsid w:val="000A4410"/>
    <w:rsid w:val="000A53AA"/>
    <w:rsid w:val="000A6992"/>
    <w:rsid w:val="000A79C8"/>
    <w:rsid w:val="000B0A8F"/>
    <w:rsid w:val="000B4A47"/>
    <w:rsid w:val="000B4C66"/>
    <w:rsid w:val="000B78EC"/>
    <w:rsid w:val="000B7FDD"/>
    <w:rsid w:val="000C1721"/>
    <w:rsid w:val="000C1A71"/>
    <w:rsid w:val="000C22A2"/>
    <w:rsid w:val="000C3F36"/>
    <w:rsid w:val="000C4CFC"/>
    <w:rsid w:val="000C723B"/>
    <w:rsid w:val="000C7C21"/>
    <w:rsid w:val="000C7E69"/>
    <w:rsid w:val="000D0253"/>
    <w:rsid w:val="000D1F98"/>
    <w:rsid w:val="000D235F"/>
    <w:rsid w:val="000D30DB"/>
    <w:rsid w:val="000D34CA"/>
    <w:rsid w:val="000D419C"/>
    <w:rsid w:val="000D468C"/>
    <w:rsid w:val="000D553B"/>
    <w:rsid w:val="000D57E7"/>
    <w:rsid w:val="000D707C"/>
    <w:rsid w:val="000E004B"/>
    <w:rsid w:val="000E1AEE"/>
    <w:rsid w:val="000E1DA5"/>
    <w:rsid w:val="000E2BC2"/>
    <w:rsid w:val="000E4D5D"/>
    <w:rsid w:val="000E50F4"/>
    <w:rsid w:val="000E538A"/>
    <w:rsid w:val="000E673A"/>
    <w:rsid w:val="000E7A35"/>
    <w:rsid w:val="000F1B62"/>
    <w:rsid w:val="000F28AF"/>
    <w:rsid w:val="000F3C63"/>
    <w:rsid w:val="000F468E"/>
    <w:rsid w:val="000F4E0B"/>
    <w:rsid w:val="000F504D"/>
    <w:rsid w:val="000F5A13"/>
    <w:rsid w:val="000F74F5"/>
    <w:rsid w:val="001045BA"/>
    <w:rsid w:val="001049B3"/>
    <w:rsid w:val="00105372"/>
    <w:rsid w:val="00105AEF"/>
    <w:rsid w:val="001062E3"/>
    <w:rsid w:val="00106353"/>
    <w:rsid w:val="00106975"/>
    <w:rsid w:val="00106B4E"/>
    <w:rsid w:val="0010739E"/>
    <w:rsid w:val="00107A30"/>
    <w:rsid w:val="00111F11"/>
    <w:rsid w:val="00112E28"/>
    <w:rsid w:val="001133E5"/>
    <w:rsid w:val="00114E22"/>
    <w:rsid w:val="00116B44"/>
    <w:rsid w:val="00117CBC"/>
    <w:rsid w:val="00120D9C"/>
    <w:rsid w:val="00121058"/>
    <w:rsid w:val="00121613"/>
    <w:rsid w:val="00122B86"/>
    <w:rsid w:val="00122ECF"/>
    <w:rsid w:val="001249F6"/>
    <w:rsid w:val="00126EDA"/>
    <w:rsid w:val="00130187"/>
    <w:rsid w:val="00130DCF"/>
    <w:rsid w:val="00131529"/>
    <w:rsid w:val="00131C42"/>
    <w:rsid w:val="00131E7A"/>
    <w:rsid w:val="0013330A"/>
    <w:rsid w:val="00134717"/>
    <w:rsid w:val="001414C9"/>
    <w:rsid w:val="00141E85"/>
    <w:rsid w:val="00142CEE"/>
    <w:rsid w:val="00142FE7"/>
    <w:rsid w:val="00150E0B"/>
    <w:rsid w:val="00151E2B"/>
    <w:rsid w:val="001540A5"/>
    <w:rsid w:val="00154491"/>
    <w:rsid w:val="00156384"/>
    <w:rsid w:val="00160872"/>
    <w:rsid w:val="001632F1"/>
    <w:rsid w:val="00165323"/>
    <w:rsid w:val="00165478"/>
    <w:rsid w:val="001676D2"/>
    <w:rsid w:val="00167EEB"/>
    <w:rsid w:val="00170A3F"/>
    <w:rsid w:val="00171079"/>
    <w:rsid w:val="001711E7"/>
    <w:rsid w:val="00172AF6"/>
    <w:rsid w:val="001730C7"/>
    <w:rsid w:val="001730EF"/>
    <w:rsid w:val="00173AEF"/>
    <w:rsid w:val="00173EC1"/>
    <w:rsid w:val="00174058"/>
    <w:rsid w:val="00174982"/>
    <w:rsid w:val="00175BF4"/>
    <w:rsid w:val="001763CD"/>
    <w:rsid w:val="00176586"/>
    <w:rsid w:val="0017659E"/>
    <w:rsid w:val="00176CEE"/>
    <w:rsid w:val="001779A1"/>
    <w:rsid w:val="00177EFB"/>
    <w:rsid w:val="00183022"/>
    <w:rsid w:val="0018461B"/>
    <w:rsid w:val="00184677"/>
    <w:rsid w:val="00184870"/>
    <w:rsid w:val="00184CD0"/>
    <w:rsid w:val="00185151"/>
    <w:rsid w:val="001871C7"/>
    <w:rsid w:val="0018765F"/>
    <w:rsid w:val="001879DF"/>
    <w:rsid w:val="00187AA8"/>
    <w:rsid w:val="00190281"/>
    <w:rsid w:val="001903F6"/>
    <w:rsid w:val="001929FF"/>
    <w:rsid w:val="00193A14"/>
    <w:rsid w:val="00193B0B"/>
    <w:rsid w:val="00193FFF"/>
    <w:rsid w:val="00195077"/>
    <w:rsid w:val="00195A03"/>
    <w:rsid w:val="001A015E"/>
    <w:rsid w:val="001A0379"/>
    <w:rsid w:val="001A1049"/>
    <w:rsid w:val="001A1267"/>
    <w:rsid w:val="001A12D8"/>
    <w:rsid w:val="001A1E1D"/>
    <w:rsid w:val="001A3E6A"/>
    <w:rsid w:val="001A548B"/>
    <w:rsid w:val="001A5B91"/>
    <w:rsid w:val="001A62F7"/>
    <w:rsid w:val="001A7BC1"/>
    <w:rsid w:val="001B0178"/>
    <w:rsid w:val="001B09F5"/>
    <w:rsid w:val="001B11B2"/>
    <w:rsid w:val="001B1549"/>
    <w:rsid w:val="001B24B8"/>
    <w:rsid w:val="001B30CC"/>
    <w:rsid w:val="001B3E8D"/>
    <w:rsid w:val="001B4380"/>
    <w:rsid w:val="001B5293"/>
    <w:rsid w:val="001B62F6"/>
    <w:rsid w:val="001C083C"/>
    <w:rsid w:val="001C24A1"/>
    <w:rsid w:val="001C3A11"/>
    <w:rsid w:val="001C3FBA"/>
    <w:rsid w:val="001C608E"/>
    <w:rsid w:val="001C6621"/>
    <w:rsid w:val="001C76E1"/>
    <w:rsid w:val="001D1865"/>
    <w:rsid w:val="001D22C7"/>
    <w:rsid w:val="001D3CE8"/>
    <w:rsid w:val="001D4786"/>
    <w:rsid w:val="001D725B"/>
    <w:rsid w:val="001D7B0B"/>
    <w:rsid w:val="001D7FEE"/>
    <w:rsid w:val="001E0869"/>
    <w:rsid w:val="001E09E8"/>
    <w:rsid w:val="001E1655"/>
    <w:rsid w:val="001E5131"/>
    <w:rsid w:val="001E604C"/>
    <w:rsid w:val="001E6565"/>
    <w:rsid w:val="001E6AAF"/>
    <w:rsid w:val="001E6E84"/>
    <w:rsid w:val="001F20DA"/>
    <w:rsid w:val="001F2C2D"/>
    <w:rsid w:val="001F3763"/>
    <w:rsid w:val="001F39EF"/>
    <w:rsid w:val="001F470B"/>
    <w:rsid w:val="001F4D3C"/>
    <w:rsid w:val="001F4FC7"/>
    <w:rsid w:val="001F4FF4"/>
    <w:rsid w:val="001F544B"/>
    <w:rsid w:val="00201D61"/>
    <w:rsid w:val="00205993"/>
    <w:rsid w:val="00207B73"/>
    <w:rsid w:val="00210829"/>
    <w:rsid w:val="00211F85"/>
    <w:rsid w:val="0021479B"/>
    <w:rsid w:val="00214EDA"/>
    <w:rsid w:val="002167ED"/>
    <w:rsid w:val="00220942"/>
    <w:rsid w:val="0022173B"/>
    <w:rsid w:val="00222239"/>
    <w:rsid w:val="002231C6"/>
    <w:rsid w:val="00224F74"/>
    <w:rsid w:val="002265F6"/>
    <w:rsid w:val="002278B7"/>
    <w:rsid w:val="00227A7C"/>
    <w:rsid w:val="00230661"/>
    <w:rsid w:val="0023165E"/>
    <w:rsid w:val="0023477D"/>
    <w:rsid w:val="00235276"/>
    <w:rsid w:val="00235BB4"/>
    <w:rsid w:val="00235C05"/>
    <w:rsid w:val="00235EED"/>
    <w:rsid w:val="00237BE3"/>
    <w:rsid w:val="00240FC8"/>
    <w:rsid w:val="00241B02"/>
    <w:rsid w:val="00242E75"/>
    <w:rsid w:val="00245596"/>
    <w:rsid w:val="00245859"/>
    <w:rsid w:val="002504AD"/>
    <w:rsid w:val="002528C0"/>
    <w:rsid w:val="0025471F"/>
    <w:rsid w:val="00254AA9"/>
    <w:rsid w:val="0026058B"/>
    <w:rsid w:val="00262284"/>
    <w:rsid w:val="00262614"/>
    <w:rsid w:val="002642DC"/>
    <w:rsid w:val="002656CA"/>
    <w:rsid w:val="0026585B"/>
    <w:rsid w:val="00267F4F"/>
    <w:rsid w:val="00270151"/>
    <w:rsid w:val="00270871"/>
    <w:rsid w:val="00272B29"/>
    <w:rsid w:val="00273893"/>
    <w:rsid w:val="00274A85"/>
    <w:rsid w:val="002759AB"/>
    <w:rsid w:val="0027709D"/>
    <w:rsid w:val="002803F8"/>
    <w:rsid w:val="00281815"/>
    <w:rsid w:val="00281B22"/>
    <w:rsid w:val="00284D6A"/>
    <w:rsid w:val="00285C84"/>
    <w:rsid w:val="002862AB"/>
    <w:rsid w:val="0028788F"/>
    <w:rsid w:val="00287939"/>
    <w:rsid w:val="00287CD5"/>
    <w:rsid w:val="00287DFE"/>
    <w:rsid w:val="00292DD1"/>
    <w:rsid w:val="002949DB"/>
    <w:rsid w:val="00294D07"/>
    <w:rsid w:val="00295DF4"/>
    <w:rsid w:val="00296763"/>
    <w:rsid w:val="002A09E0"/>
    <w:rsid w:val="002A0E0A"/>
    <w:rsid w:val="002A1BCE"/>
    <w:rsid w:val="002A4498"/>
    <w:rsid w:val="002A48EE"/>
    <w:rsid w:val="002A624B"/>
    <w:rsid w:val="002A7F20"/>
    <w:rsid w:val="002B1D2F"/>
    <w:rsid w:val="002B3B68"/>
    <w:rsid w:val="002B4215"/>
    <w:rsid w:val="002B4748"/>
    <w:rsid w:val="002B5F62"/>
    <w:rsid w:val="002B6574"/>
    <w:rsid w:val="002B6BAD"/>
    <w:rsid w:val="002B6F03"/>
    <w:rsid w:val="002B741E"/>
    <w:rsid w:val="002C059D"/>
    <w:rsid w:val="002C1F25"/>
    <w:rsid w:val="002C4D0B"/>
    <w:rsid w:val="002C5A4B"/>
    <w:rsid w:val="002C6F0D"/>
    <w:rsid w:val="002C77C9"/>
    <w:rsid w:val="002C7C85"/>
    <w:rsid w:val="002D10FC"/>
    <w:rsid w:val="002D2802"/>
    <w:rsid w:val="002D294C"/>
    <w:rsid w:val="002D2B28"/>
    <w:rsid w:val="002D3D8E"/>
    <w:rsid w:val="002D504B"/>
    <w:rsid w:val="002D6108"/>
    <w:rsid w:val="002D677D"/>
    <w:rsid w:val="002D6D61"/>
    <w:rsid w:val="002E01C5"/>
    <w:rsid w:val="002E027A"/>
    <w:rsid w:val="002E1243"/>
    <w:rsid w:val="002E1EEC"/>
    <w:rsid w:val="002E1EF3"/>
    <w:rsid w:val="002E2ACE"/>
    <w:rsid w:val="002E3292"/>
    <w:rsid w:val="002E5C1A"/>
    <w:rsid w:val="002E5F58"/>
    <w:rsid w:val="002E7F6B"/>
    <w:rsid w:val="002F018B"/>
    <w:rsid w:val="002F1356"/>
    <w:rsid w:val="002F15E8"/>
    <w:rsid w:val="002F1A13"/>
    <w:rsid w:val="002F26BA"/>
    <w:rsid w:val="002F4B63"/>
    <w:rsid w:val="002F4F79"/>
    <w:rsid w:val="002F5787"/>
    <w:rsid w:val="002F5A76"/>
    <w:rsid w:val="002F672F"/>
    <w:rsid w:val="002F6E35"/>
    <w:rsid w:val="002F7849"/>
    <w:rsid w:val="003001BA"/>
    <w:rsid w:val="0030041C"/>
    <w:rsid w:val="00302224"/>
    <w:rsid w:val="00302A53"/>
    <w:rsid w:val="00303570"/>
    <w:rsid w:val="00303CCB"/>
    <w:rsid w:val="0030536C"/>
    <w:rsid w:val="00305631"/>
    <w:rsid w:val="003069FC"/>
    <w:rsid w:val="00306C42"/>
    <w:rsid w:val="00306E0B"/>
    <w:rsid w:val="00307367"/>
    <w:rsid w:val="003126FC"/>
    <w:rsid w:val="003158C4"/>
    <w:rsid w:val="00316048"/>
    <w:rsid w:val="003210BF"/>
    <w:rsid w:val="0032181E"/>
    <w:rsid w:val="00326BA0"/>
    <w:rsid w:val="00326EC6"/>
    <w:rsid w:val="00330903"/>
    <w:rsid w:val="003329D4"/>
    <w:rsid w:val="00332C99"/>
    <w:rsid w:val="00333DD6"/>
    <w:rsid w:val="00334674"/>
    <w:rsid w:val="00334ADC"/>
    <w:rsid w:val="00334EBB"/>
    <w:rsid w:val="0033516E"/>
    <w:rsid w:val="003352A7"/>
    <w:rsid w:val="003364F0"/>
    <w:rsid w:val="003371AF"/>
    <w:rsid w:val="00337B46"/>
    <w:rsid w:val="003401C3"/>
    <w:rsid w:val="003413A7"/>
    <w:rsid w:val="00341403"/>
    <w:rsid w:val="00341573"/>
    <w:rsid w:val="00341E70"/>
    <w:rsid w:val="003431B3"/>
    <w:rsid w:val="003444B6"/>
    <w:rsid w:val="00344969"/>
    <w:rsid w:val="00345D47"/>
    <w:rsid w:val="0034683A"/>
    <w:rsid w:val="0034721B"/>
    <w:rsid w:val="00350192"/>
    <w:rsid w:val="00353DA9"/>
    <w:rsid w:val="003548FB"/>
    <w:rsid w:val="003576D0"/>
    <w:rsid w:val="00360039"/>
    <w:rsid w:val="00360912"/>
    <w:rsid w:val="003612B7"/>
    <w:rsid w:val="0036207C"/>
    <w:rsid w:val="003644B1"/>
    <w:rsid w:val="0036503A"/>
    <w:rsid w:val="00365DE4"/>
    <w:rsid w:val="0037069B"/>
    <w:rsid w:val="00372F74"/>
    <w:rsid w:val="00374604"/>
    <w:rsid w:val="00375A02"/>
    <w:rsid w:val="003768E5"/>
    <w:rsid w:val="00377BFA"/>
    <w:rsid w:val="003812B1"/>
    <w:rsid w:val="003819BA"/>
    <w:rsid w:val="00382315"/>
    <w:rsid w:val="0038348A"/>
    <w:rsid w:val="003842FC"/>
    <w:rsid w:val="0038448C"/>
    <w:rsid w:val="00386392"/>
    <w:rsid w:val="00387257"/>
    <w:rsid w:val="00387F84"/>
    <w:rsid w:val="00392971"/>
    <w:rsid w:val="00393029"/>
    <w:rsid w:val="00395487"/>
    <w:rsid w:val="0039587A"/>
    <w:rsid w:val="0039681A"/>
    <w:rsid w:val="003A03BF"/>
    <w:rsid w:val="003A05FB"/>
    <w:rsid w:val="003A0DF1"/>
    <w:rsid w:val="003A1274"/>
    <w:rsid w:val="003A1339"/>
    <w:rsid w:val="003A385C"/>
    <w:rsid w:val="003A7DC5"/>
    <w:rsid w:val="003B04AD"/>
    <w:rsid w:val="003B1E1A"/>
    <w:rsid w:val="003B2B78"/>
    <w:rsid w:val="003B4172"/>
    <w:rsid w:val="003B63E2"/>
    <w:rsid w:val="003B63F7"/>
    <w:rsid w:val="003B74B8"/>
    <w:rsid w:val="003B7786"/>
    <w:rsid w:val="003B7F67"/>
    <w:rsid w:val="003C13D8"/>
    <w:rsid w:val="003C3620"/>
    <w:rsid w:val="003C402A"/>
    <w:rsid w:val="003C4261"/>
    <w:rsid w:val="003C61BD"/>
    <w:rsid w:val="003D007D"/>
    <w:rsid w:val="003D0A4F"/>
    <w:rsid w:val="003D0CBF"/>
    <w:rsid w:val="003D1105"/>
    <w:rsid w:val="003D216A"/>
    <w:rsid w:val="003D39DE"/>
    <w:rsid w:val="003D69A9"/>
    <w:rsid w:val="003E1FAD"/>
    <w:rsid w:val="003E364F"/>
    <w:rsid w:val="003E4B8A"/>
    <w:rsid w:val="003E5E54"/>
    <w:rsid w:val="003E7594"/>
    <w:rsid w:val="003F0E56"/>
    <w:rsid w:val="003F16B7"/>
    <w:rsid w:val="003F1F2F"/>
    <w:rsid w:val="003F21DC"/>
    <w:rsid w:val="003F2FC2"/>
    <w:rsid w:val="003F4329"/>
    <w:rsid w:val="003F44C7"/>
    <w:rsid w:val="003F4E89"/>
    <w:rsid w:val="003F757C"/>
    <w:rsid w:val="003F7E9F"/>
    <w:rsid w:val="00400A95"/>
    <w:rsid w:val="0040122D"/>
    <w:rsid w:val="00401AF1"/>
    <w:rsid w:val="004026C5"/>
    <w:rsid w:val="00403BC0"/>
    <w:rsid w:val="004040BE"/>
    <w:rsid w:val="00404734"/>
    <w:rsid w:val="004058AB"/>
    <w:rsid w:val="00405DC7"/>
    <w:rsid w:val="00406CE6"/>
    <w:rsid w:val="0040783B"/>
    <w:rsid w:val="00410085"/>
    <w:rsid w:val="00411329"/>
    <w:rsid w:val="0041335B"/>
    <w:rsid w:val="00413F66"/>
    <w:rsid w:val="00414896"/>
    <w:rsid w:val="00415390"/>
    <w:rsid w:val="00415939"/>
    <w:rsid w:val="00415C19"/>
    <w:rsid w:val="00415F16"/>
    <w:rsid w:val="004164B1"/>
    <w:rsid w:val="00420479"/>
    <w:rsid w:val="004212F1"/>
    <w:rsid w:val="004213B6"/>
    <w:rsid w:val="00421C34"/>
    <w:rsid w:val="00421DC1"/>
    <w:rsid w:val="00423DEC"/>
    <w:rsid w:val="0042407A"/>
    <w:rsid w:val="00424C9F"/>
    <w:rsid w:val="0042550B"/>
    <w:rsid w:val="004259DF"/>
    <w:rsid w:val="004259FB"/>
    <w:rsid w:val="0042610F"/>
    <w:rsid w:val="0042649D"/>
    <w:rsid w:val="00426AD7"/>
    <w:rsid w:val="00426D4D"/>
    <w:rsid w:val="00427B3B"/>
    <w:rsid w:val="00430BAB"/>
    <w:rsid w:val="004310B6"/>
    <w:rsid w:val="00432469"/>
    <w:rsid w:val="00432875"/>
    <w:rsid w:val="00434C12"/>
    <w:rsid w:val="004353D2"/>
    <w:rsid w:val="0043653C"/>
    <w:rsid w:val="0044007E"/>
    <w:rsid w:val="004401D5"/>
    <w:rsid w:val="004407EF"/>
    <w:rsid w:val="00440893"/>
    <w:rsid w:val="004409A7"/>
    <w:rsid w:val="004424C2"/>
    <w:rsid w:val="00443C0D"/>
    <w:rsid w:val="00446233"/>
    <w:rsid w:val="0044675D"/>
    <w:rsid w:val="00447E9D"/>
    <w:rsid w:val="00451BEB"/>
    <w:rsid w:val="004521D2"/>
    <w:rsid w:val="004529D0"/>
    <w:rsid w:val="00453D57"/>
    <w:rsid w:val="00456CC7"/>
    <w:rsid w:val="0045737D"/>
    <w:rsid w:val="00460D02"/>
    <w:rsid w:val="00461254"/>
    <w:rsid w:val="004618B1"/>
    <w:rsid w:val="00462967"/>
    <w:rsid w:val="00462C1C"/>
    <w:rsid w:val="00462D4F"/>
    <w:rsid w:val="00463147"/>
    <w:rsid w:val="00463825"/>
    <w:rsid w:val="004644C2"/>
    <w:rsid w:val="00465EF5"/>
    <w:rsid w:val="00466FAB"/>
    <w:rsid w:val="00471323"/>
    <w:rsid w:val="00471731"/>
    <w:rsid w:val="00471DC6"/>
    <w:rsid w:val="004748A1"/>
    <w:rsid w:val="00474FB1"/>
    <w:rsid w:val="00475149"/>
    <w:rsid w:val="00475A31"/>
    <w:rsid w:val="00477980"/>
    <w:rsid w:val="00477B2C"/>
    <w:rsid w:val="00480386"/>
    <w:rsid w:val="00485878"/>
    <w:rsid w:val="00485B1B"/>
    <w:rsid w:val="00490344"/>
    <w:rsid w:val="00491E4F"/>
    <w:rsid w:val="004931F0"/>
    <w:rsid w:val="0049624C"/>
    <w:rsid w:val="0049640E"/>
    <w:rsid w:val="00497091"/>
    <w:rsid w:val="004A0C68"/>
    <w:rsid w:val="004A28DD"/>
    <w:rsid w:val="004A3559"/>
    <w:rsid w:val="004A48F7"/>
    <w:rsid w:val="004A5238"/>
    <w:rsid w:val="004A5DEA"/>
    <w:rsid w:val="004B172B"/>
    <w:rsid w:val="004B2DDA"/>
    <w:rsid w:val="004B32E3"/>
    <w:rsid w:val="004B3648"/>
    <w:rsid w:val="004B4451"/>
    <w:rsid w:val="004B5D31"/>
    <w:rsid w:val="004B6262"/>
    <w:rsid w:val="004B63F3"/>
    <w:rsid w:val="004B6DAA"/>
    <w:rsid w:val="004B7758"/>
    <w:rsid w:val="004B7853"/>
    <w:rsid w:val="004B7A01"/>
    <w:rsid w:val="004B7AAC"/>
    <w:rsid w:val="004C00C7"/>
    <w:rsid w:val="004C0A0D"/>
    <w:rsid w:val="004C0A1E"/>
    <w:rsid w:val="004C0E4B"/>
    <w:rsid w:val="004C2ABB"/>
    <w:rsid w:val="004C34B3"/>
    <w:rsid w:val="004C3CC3"/>
    <w:rsid w:val="004C5DAE"/>
    <w:rsid w:val="004C63FE"/>
    <w:rsid w:val="004C75D8"/>
    <w:rsid w:val="004D0309"/>
    <w:rsid w:val="004D031E"/>
    <w:rsid w:val="004D18C2"/>
    <w:rsid w:val="004D1A31"/>
    <w:rsid w:val="004D3DFC"/>
    <w:rsid w:val="004D5F8B"/>
    <w:rsid w:val="004D6601"/>
    <w:rsid w:val="004D674C"/>
    <w:rsid w:val="004E027D"/>
    <w:rsid w:val="004E05CF"/>
    <w:rsid w:val="004E42EE"/>
    <w:rsid w:val="004E517A"/>
    <w:rsid w:val="004E59B3"/>
    <w:rsid w:val="004F091A"/>
    <w:rsid w:val="004F22D6"/>
    <w:rsid w:val="004F2306"/>
    <w:rsid w:val="004F26F2"/>
    <w:rsid w:val="004F2D7C"/>
    <w:rsid w:val="004F344F"/>
    <w:rsid w:val="004F39C9"/>
    <w:rsid w:val="004F5A7E"/>
    <w:rsid w:val="004F5B46"/>
    <w:rsid w:val="004F6852"/>
    <w:rsid w:val="004F7B5A"/>
    <w:rsid w:val="00500927"/>
    <w:rsid w:val="00500B6E"/>
    <w:rsid w:val="00502D1D"/>
    <w:rsid w:val="00502ECB"/>
    <w:rsid w:val="00506019"/>
    <w:rsid w:val="00507DE4"/>
    <w:rsid w:val="00510353"/>
    <w:rsid w:val="00515A33"/>
    <w:rsid w:val="00517265"/>
    <w:rsid w:val="0052231B"/>
    <w:rsid w:val="00522F0B"/>
    <w:rsid w:val="00523E4C"/>
    <w:rsid w:val="005268FB"/>
    <w:rsid w:val="00530B24"/>
    <w:rsid w:val="0053369C"/>
    <w:rsid w:val="00534681"/>
    <w:rsid w:val="005346E6"/>
    <w:rsid w:val="0053472E"/>
    <w:rsid w:val="00535671"/>
    <w:rsid w:val="005358B9"/>
    <w:rsid w:val="005372E1"/>
    <w:rsid w:val="00540237"/>
    <w:rsid w:val="0054064D"/>
    <w:rsid w:val="00541561"/>
    <w:rsid w:val="00541C1F"/>
    <w:rsid w:val="0054229A"/>
    <w:rsid w:val="0054299D"/>
    <w:rsid w:val="005430AD"/>
    <w:rsid w:val="005444EF"/>
    <w:rsid w:val="00544E3F"/>
    <w:rsid w:val="00544F9A"/>
    <w:rsid w:val="00545AE9"/>
    <w:rsid w:val="005476D1"/>
    <w:rsid w:val="005507C1"/>
    <w:rsid w:val="00553DBF"/>
    <w:rsid w:val="00554291"/>
    <w:rsid w:val="00555D31"/>
    <w:rsid w:val="005635DB"/>
    <w:rsid w:val="0056426D"/>
    <w:rsid w:val="00565174"/>
    <w:rsid w:val="00566B07"/>
    <w:rsid w:val="00567340"/>
    <w:rsid w:val="0057042F"/>
    <w:rsid w:val="005717E1"/>
    <w:rsid w:val="00571C54"/>
    <w:rsid w:val="00574F08"/>
    <w:rsid w:val="005753F8"/>
    <w:rsid w:val="00575F20"/>
    <w:rsid w:val="00576754"/>
    <w:rsid w:val="00576EF1"/>
    <w:rsid w:val="00582065"/>
    <w:rsid w:val="005821B8"/>
    <w:rsid w:val="00582E2B"/>
    <w:rsid w:val="005837ED"/>
    <w:rsid w:val="00584781"/>
    <w:rsid w:val="00584A88"/>
    <w:rsid w:val="00584D72"/>
    <w:rsid w:val="00587489"/>
    <w:rsid w:val="00587A7E"/>
    <w:rsid w:val="00593AA0"/>
    <w:rsid w:val="00595BBD"/>
    <w:rsid w:val="005960AF"/>
    <w:rsid w:val="00596B16"/>
    <w:rsid w:val="005A0F1F"/>
    <w:rsid w:val="005A36B8"/>
    <w:rsid w:val="005A432B"/>
    <w:rsid w:val="005A4591"/>
    <w:rsid w:val="005B25AE"/>
    <w:rsid w:val="005B32C1"/>
    <w:rsid w:val="005B5791"/>
    <w:rsid w:val="005B57B5"/>
    <w:rsid w:val="005B63F4"/>
    <w:rsid w:val="005B6FBD"/>
    <w:rsid w:val="005C275C"/>
    <w:rsid w:val="005C3CAB"/>
    <w:rsid w:val="005C4FB3"/>
    <w:rsid w:val="005C50AF"/>
    <w:rsid w:val="005C50C4"/>
    <w:rsid w:val="005C68EF"/>
    <w:rsid w:val="005D0C25"/>
    <w:rsid w:val="005D20FA"/>
    <w:rsid w:val="005D4742"/>
    <w:rsid w:val="005D57AC"/>
    <w:rsid w:val="005D5A58"/>
    <w:rsid w:val="005D6441"/>
    <w:rsid w:val="005D6DC3"/>
    <w:rsid w:val="005D7B82"/>
    <w:rsid w:val="005D7ECD"/>
    <w:rsid w:val="005E0389"/>
    <w:rsid w:val="005E052A"/>
    <w:rsid w:val="005E2146"/>
    <w:rsid w:val="005E4926"/>
    <w:rsid w:val="005E5999"/>
    <w:rsid w:val="005E7635"/>
    <w:rsid w:val="005F0632"/>
    <w:rsid w:val="005F0B02"/>
    <w:rsid w:val="005F1307"/>
    <w:rsid w:val="005F2581"/>
    <w:rsid w:val="005F5432"/>
    <w:rsid w:val="005F6646"/>
    <w:rsid w:val="005F66ED"/>
    <w:rsid w:val="005F72B5"/>
    <w:rsid w:val="005F7B3C"/>
    <w:rsid w:val="0060183E"/>
    <w:rsid w:val="00601C97"/>
    <w:rsid w:val="0060270F"/>
    <w:rsid w:val="00602BFA"/>
    <w:rsid w:val="0060367F"/>
    <w:rsid w:val="0060737E"/>
    <w:rsid w:val="00610569"/>
    <w:rsid w:val="00610955"/>
    <w:rsid w:val="0061216D"/>
    <w:rsid w:val="006122EB"/>
    <w:rsid w:val="0061323C"/>
    <w:rsid w:val="006133D7"/>
    <w:rsid w:val="006144E0"/>
    <w:rsid w:val="00615937"/>
    <w:rsid w:val="006171A7"/>
    <w:rsid w:val="006209F0"/>
    <w:rsid w:val="006213A1"/>
    <w:rsid w:val="00621BE3"/>
    <w:rsid w:val="0062215D"/>
    <w:rsid w:val="00623556"/>
    <w:rsid w:val="00624296"/>
    <w:rsid w:val="006242BC"/>
    <w:rsid w:val="00624544"/>
    <w:rsid w:val="00624746"/>
    <w:rsid w:val="006309DE"/>
    <w:rsid w:val="00631511"/>
    <w:rsid w:val="00631F58"/>
    <w:rsid w:val="00633B30"/>
    <w:rsid w:val="006340BF"/>
    <w:rsid w:val="00635CEE"/>
    <w:rsid w:val="0063789D"/>
    <w:rsid w:val="00637D16"/>
    <w:rsid w:val="00642D32"/>
    <w:rsid w:val="00642F7E"/>
    <w:rsid w:val="006435F9"/>
    <w:rsid w:val="006445B8"/>
    <w:rsid w:val="006449AB"/>
    <w:rsid w:val="00645BEA"/>
    <w:rsid w:val="0064615B"/>
    <w:rsid w:val="0064796E"/>
    <w:rsid w:val="0065284E"/>
    <w:rsid w:val="00653535"/>
    <w:rsid w:val="00654DAB"/>
    <w:rsid w:val="00660370"/>
    <w:rsid w:val="00660CB5"/>
    <w:rsid w:val="00662272"/>
    <w:rsid w:val="006627DD"/>
    <w:rsid w:val="00663AF3"/>
    <w:rsid w:val="00663BD5"/>
    <w:rsid w:val="006655B7"/>
    <w:rsid w:val="0066578E"/>
    <w:rsid w:val="006658C1"/>
    <w:rsid w:val="00665907"/>
    <w:rsid w:val="006700CB"/>
    <w:rsid w:val="00670D87"/>
    <w:rsid w:val="00671090"/>
    <w:rsid w:val="00672B00"/>
    <w:rsid w:val="006739CB"/>
    <w:rsid w:val="0067419D"/>
    <w:rsid w:val="00675499"/>
    <w:rsid w:val="00677453"/>
    <w:rsid w:val="006778E3"/>
    <w:rsid w:val="0068142A"/>
    <w:rsid w:val="00683080"/>
    <w:rsid w:val="00683A81"/>
    <w:rsid w:val="00684857"/>
    <w:rsid w:val="00685151"/>
    <w:rsid w:val="0068664C"/>
    <w:rsid w:val="006867E0"/>
    <w:rsid w:val="0068745F"/>
    <w:rsid w:val="00690420"/>
    <w:rsid w:val="006913EA"/>
    <w:rsid w:val="006915F6"/>
    <w:rsid w:val="00691748"/>
    <w:rsid w:val="006921E4"/>
    <w:rsid w:val="00692A1A"/>
    <w:rsid w:val="00693542"/>
    <w:rsid w:val="00693786"/>
    <w:rsid w:val="00694334"/>
    <w:rsid w:val="006958BC"/>
    <w:rsid w:val="00695A7B"/>
    <w:rsid w:val="00696A66"/>
    <w:rsid w:val="006975AC"/>
    <w:rsid w:val="00697A9F"/>
    <w:rsid w:val="006A072A"/>
    <w:rsid w:val="006A155D"/>
    <w:rsid w:val="006A1DE3"/>
    <w:rsid w:val="006A1F8F"/>
    <w:rsid w:val="006A2A41"/>
    <w:rsid w:val="006A5CE1"/>
    <w:rsid w:val="006A6DAD"/>
    <w:rsid w:val="006B0066"/>
    <w:rsid w:val="006B107C"/>
    <w:rsid w:val="006B1230"/>
    <w:rsid w:val="006B2A77"/>
    <w:rsid w:val="006B44C0"/>
    <w:rsid w:val="006B55EB"/>
    <w:rsid w:val="006B5A13"/>
    <w:rsid w:val="006B6C07"/>
    <w:rsid w:val="006B75A0"/>
    <w:rsid w:val="006C15A9"/>
    <w:rsid w:val="006C2038"/>
    <w:rsid w:val="006C24D6"/>
    <w:rsid w:val="006C2BCD"/>
    <w:rsid w:val="006C377A"/>
    <w:rsid w:val="006C6EE7"/>
    <w:rsid w:val="006C76FC"/>
    <w:rsid w:val="006C7700"/>
    <w:rsid w:val="006C772A"/>
    <w:rsid w:val="006D07A4"/>
    <w:rsid w:val="006D098F"/>
    <w:rsid w:val="006D1134"/>
    <w:rsid w:val="006D3856"/>
    <w:rsid w:val="006D55CB"/>
    <w:rsid w:val="006D55E0"/>
    <w:rsid w:val="006D5A7A"/>
    <w:rsid w:val="006D6A26"/>
    <w:rsid w:val="006E01E5"/>
    <w:rsid w:val="006E0F0C"/>
    <w:rsid w:val="006E250A"/>
    <w:rsid w:val="006E294C"/>
    <w:rsid w:val="006E2A11"/>
    <w:rsid w:val="006E4BBF"/>
    <w:rsid w:val="006E5103"/>
    <w:rsid w:val="006E52E0"/>
    <w:rsid w:val="006E5ACD"/>
    <w:rsid w:val="006E6BFE"/>
    <w:rsid w:val="006E7623"/>
    <w:rsid w:val="006E7A64"/>
    <w:rsid w:val="006F02BF"/>
    <w:rsid w:val="006F294D"/>
    <w:rsid w:val="006F30BE"/>
    <w:rsid w:val="006F5525"/>
    <w:rsid w:val="007001F6"/>
    <w:rsid w:val="00700295"/>
    <w:rsid w:val="00700D4C"/>
    <w:rsid w:val="00700EF4"/>
    <w:rsid w:val="0070673A"/>
    <w:rsid w:val="00711006"/>
    <w:rsid w:val="007111A3"/>
    <w:rsid w:val="0071239B"/>
    <w:rsid w:val="007125C0"/>
    <w:rsid w:val="00713852"/>
    <w:rsid w:val="00713C5E"/>
    <w:rsid w:val="00714E40"/>
    <w:rsid w:val="00715C39"/>
    <w:rsid w:val="00716716"/>
    <w:rsid w:val="00717D88"/>
    <w:rsid w:val="0072259F"/>
    <w:rsid w:val="007245A7"/>
    <w:rsid w:val="00725BF2"/>
    <w:rsid w:val="00727E6A"/>
    <w:rsid w:val="007302B4"/>
    <w:rsid w:val="0073098B"/>
    <w:rsid w:val="00731430"/>
    <w:rsid w:val="00731E3B"/>
    <w:rsid w:val="00737A6D"/>
    <w:rsid w:val="007404D4"/>
    <w:rsid w:val="007415C9"/>
    <w:rsid w:val="007424F6"/>
    <w:rsid w:val="00742FC6"/>
    <w:rsid w:val="007440D7"/>
    <w:rsid w:val="00745039"/>
    <w:rsid w:val="00746A8A"/>
    <w:rsid w:val="00746EF4"/>
    <w:rsid w:val="007513E9"/>
    <w:rsid w:val="00751800"/>
    <w:rsid w:val="00752BB4"/>
    <w:rsid w:val="00752DD9"/>
    <w:rsid w:val="00755984"/>
    <w:rsid w:val="00755A90"/>
    <w:rsid w:val="00755B17"/>
    <w:rsid w:val="00757192"/>
    <w:rsid w:val="007606AD"/>
    <w:rsid w:val="0076186C"/>
    <w:rsid w:val="00762355"/>
    <w:rsid w:val="00765EDC"/>
    <w:rsid w:val="00766799"/>
    <w:rsid w:val="007704E7"/>
    <w:rsid w:val="00771A99"/>
    <w:rsid w:val="00772D15"/>
    <w:rsid w:val="00773D65"/>
    <w:rsid w:val="00775BBF"/>
    <w:rsid w:val="00775CC2"/>
    <w:rsid w:val="007775F6"/>
    <w:rsid w:val="007803D8"/>
    <w:rsid w:val="00780CC3"/>
    <w:rsid w:val="0078174B"/>
    <w:rsid w:val="00781AB7"/>
    <w:rsid w:val="00782213"/>
    <w:rsid w:val="00783258"/>
    <w:rsid w:val="00783366"/>
    <w:rsid w:val="007853AD"/>
    <w:rsid w:val="00785A5C"/>
    <w:rsid w:val="00786709"/>
    <w:rsid w:val="007871BE"/>
    <w:rsid w:val="0079001B"/>
    <w:rsid w:val="007915AC"/>
    <w:rsid w:val="00792C8D"/>
    <w:rsid w:val="00792E7A"/>
    <w:rsid w:val="00793C34"/>
    <w:rsid w:val="00793FA4"/>
    <w:rsid w:val="0079411F"/>
    <w:rsid w:val="007942D3"/>
    <w:rsid w:val="007951C5"/>
    <w:rsid w:val="00796879"/>
    <w:rsid w:val="00797984"/>
    <w:rsid w:val="00797D49"/>
    <w:rsid w:val="007A1041"/>
    <w:rsid w:val="007A19CC"/>
    <w:rsid w:val="007A1FEE"/>
    <w:rsid w:val="007A282F"/>
    <w:rsid w:val="007A29C9"/>
    <w:rsid w:val="007A3F45"/>
    <w:rsid w:val="007A7506"/>
    <w:rsid w:val="007B1E20"/>
    <w:rsid w:val="007B4438"/>
    <w:rsid w:val="007B4BB8"/>
    <w:rsid w:val="007B631C"/>
    <w:rsid w:val="007B6996"/>
    <w:rsid w:val="007B6C09"/>
    <w:rsid w:val="007B7EDB"/>
    <w:rsid w:val="007C3B23"/>
    <w:rsid w:val="007C3CDE"/>
    <w:rsid w:val="007C4396"/>
    <w:rsid w:val="007C4471"/>
    <w:rsid w:val="007C5B4E"/>
    <w:rsid w:val="007C5F7D"/>
    <w:rsid w:val="007C64EF"/>
    <w:rsid w:val="007C6892"/>
    <w:rsid w:val="007C68EE"/>
    <w:rsid w:val="007C69A4"/>
    <w:rsid w:val="007C7485"/>
    <w:rsid w:val="007C78AE"/>
    <w:rsid w:val="007C7D77"/>
    <w:rsid w:val="007D1291"/>
    <w:rsid w:val="007D2CFA"/>
    <w:rsid w:val="007D2D7D"/>
    <w:rsid w:val="007D4114"/>
    <w:rsid w:val="007D4B27"/>
    <w:rsid w:val="007D4C44"/>
    <w:rsid w:val="007D5118"/>
    <w:rsid w:val="007D6390"/>
    <w:rsid w:val="007D698F"/>
    <w:rsid w:val="007D706A"/>
    <w:rsid w:val="007E0167"/>
    <w:rsid w:val="007E06EB"/>
    <w:rsid w:val="007E07B6"/>
    <w:rsid w:val="007E09DA"/>
    <w:rsid w:val="007E204A"/>
    <w:rsid w:val="007E3312"/>
    <w:rsid w:val="007E3B5E"/>
    <w:rsid w:val="007E6546"/>
    <w:rsid w:val="007E78C0"/>
    <w:rsid w:val="007E78CC"/>
    <w:rsid w:val="007F0719"/>
    <w:rsid w:val="007F0806"/>
    <w:rsid w:val="007F0EAC"/>
    <w:rsid w:val="007F0F85"/>
    <w:rsid w:val="007F1B7B"/>
    <w:rsid w:val="007F1E4B"/>
    <w:rsid w:val="007F2CFF"/>
    <w:rsid w:val="007F6778"/>
    <w:rsid w:val="007F7462"/>
    <w:rsid w:val="007F7571"/>
    <w:rsid w:val="008001A5"/>
    <w:rsid w:val="008034E9"/>
    <w:rsid w:val="00803E45"/>
    <w:rsid w:val="0080403F"/>
    <w:rsid w:val="0080490E"/>
    <w:rsid w:val="00807F04"/>
    <w:rsid w:val="00810572"/>
    <w:rsid w:val="00810A55"/>
    <w:rsid w:val="0081147B"/>
    <w:rsid w:val="0081195A"/>
    <w:rsid w:val="00812B25"/>
    <w:rsid w:val="00812CE2"/>
    <w:rsid w:val="00812E12"/>
    <w:rsid w:val="008131A0"/>
    <w:rsid w:val="008141EE"/>
    <w:rsid w:val="00814858"/>
    <w:rsid w:val="0081563E"/>
    <w:rsid w:val="008157D1"/>
    <w:rsid w:val="0081693C"/>
    <w:rsid w:val="0081780D"/>
    <w:rsid w:val="008178B6"/>
    <w:rsid w:val="00822CB9"/>
    <w:rsid w:val="00822DF6"/>
    <w:rsid w:val="00823E19"/>
    <w:rsid w:val="0082442E"/>
    <w:rsid w:val="008247AB"/>
    <w:rsid w:val="00825070"/>
    <w:rsid w:val="00825B54"/>
    <w:rsid w:val="008265B0"/>
    <w:rsid w:val="00827FC7"/>
    <w:rsid w:val="0083076C"/>
    <w:rsid w:val="00831AA0"/>
    <w:rsid w:val="00831D49"/>
    <w:rsid w:val="00833068"/>
    <w:rsid w:val="00835E2C"/>
    <w:rsid w:val="00836A94"/>
    <w:rsid w:val="008422D2"/>
    <w:rsid w:val="008425A3"/>
    <w:rsid w:val="00842DAF"/>
    <w:rsid w:val="008430F1"/>
    <w:rsid w:val="00843480"/>
    <w:rsid w:val="0084429C"/>
    <w:rsid w:val="00846E13"/>
    <w:rsid w:val="00851BFC"/>
    <w:rsid w:val="00851EEA"/>
    <w:rsid w:val="00853962"/>
    <w:rsid w:val="0085428A"/>
    <w:rsid w:val="0085511F"/>
    <w:rsid w:val="00857CDC"/>
    <w:rsid w:val="00862390"/>
    <w:rsid w:val="008624E1"/>
    <w:rsid w:val="008636F6"/>
    <w:rsid w:val="008639D9"/>
    <w:rsid w:val="008645B5"/>
    <w:rsid w:val="00866204"/>
    <w:rsid w:val="0086712D"/>
    <w:rsid w:val="0086747B"/>
    <w:rsid w:val="008702B7"/>
    <w:rsid w:val="008707A9"/>
    <w:rsid w:val="00870B09"/>
    <w:rsid w:val="008720C2"/>
    <w:rsid w:val="008722D9"/>
    <w:rsid w:val="008728F8"/>
    <w:rsid w:val="00873E20"/>
    <w:rsid w:val="00874B36"/>
    <w:rsid w:val="008752CC"/>
    <w:rsid w:val="00875457"/>
    <w:rsid w:val="00877125"/>
    <w:rsid w:val="008776A7"/>
    <w:rsid w:val="00880878"/>
    <w:rsid w:val="00881808"/>
    <w:rsid w:val="00881BE0"/>
    <w:rsid w:val="0088375F"/>
    <w:rsid w:val="00885ED0"/>
    <w:rsid w:val="008907A5"/>
    <w:rsid w:val="00890BC5"/>
    <w:rsid w:val="00891A7B"/>
    <w:rsid w:val="00892333"/>
    <w:rsid w:val="00892E67"/>
    <w:rsid w:val="0089335E"/>
    <w:rsid w:val="00893FC3"/>
    <w:rsid w:val="008943D7"/>
    <w:rsid w:val="00895861"/>
    <w:rsid w:val="00895A8B"/>
    <w:rsid w:val="00895EC2"/>
    <w:rsid w:val="008966F1"/>
    <w:rsid w:val="00897C39"/>
    <w:rsid w:val="008A1778"/>
    <w:rsid w:val="008A1CA8"/>
    <w:rsid w:val="008A5F16"/>
    <w:rsid w:val="008A7862"/>
    <w:rsid w:val="008B2B26"/>
    <w:rsid w:val="008B2B7F"/>
    <w:rsid w:val="008B3A35"/>
    <w:rsid w:val="008B46D4"/>
    <w:rsid w:val="008B4BFE"/>
    <w:rsid w:val="008B595C"/>
    <w:rsid w:val="008B6A63"/>
    <w:rsid w:val="008C00DF"/>
    <w:rsid w:val="008C012E"/>
    <w:rsid w:val="008C0316"/>
    <w:rsid w:val="008C1DEB"/>
    <w:rsid w:val="008C406B"/>
    <w:rsid w:val="008C4661"/>
    <w:rsid w:val="008C52BD"/>
    <w:rsid w:val="008C5489"/>
    <w:rsid w:val="008C6619"/>
    <w:rsid w:val="008C7E9D"/>
    <w:rsid w:val="008D006C"/>
    <w:rsid w:val="008D05FD"/>
    <w:rsid w:val="008D1183"/>
    <w:rsid w:val="008D1689"/>
    <w:rsid w:val="008D2C1B"/>
    <w:rsid w:val="008D4817"/>
    <w:rsid w:val="008D5285"/>
    <w:rsid w:val="008D57DD"/>
    <w:rsid w:val="008D5E8B"/>
    <w:rsid w:val="008D6A02"/>
    <w:rsid w:val="008D6D14"/>
    <w:rsid w:val="008D7B0D"/>
    <w:rsid w:val="008D7F66"/>
    <w:rsid w:val="008E032A"/>
    <w:rsid w:val="008E0A7C"/>
    <w:rsid w:val="008E1054"/>
    <w:rsid w:val="008E2408"/>
    <w:rsid w:val="008E24C6"/>
    <w:rsid w:val="008E3204"/>
    <w:rsid w:val="008E3306"/>
    <w:rsid w:val="008E3DAB"/>
    <w:rsid w:val="008E43A2"/>
    <w:rsid w:val="008E52D4"/>
    <w:rsid w:val="008E5694"/>
    <w:rsid w:val="008E63E4"/>
    <w:rsid w:val="008F01DE"/>
    <w:rsid w:val="008F043E"/>
    <w:rsid w:val="008F050B"/>
    <w:rsid w:val="008F0742"/>
    <w:rsid w:val="008F30C1"/>
    <w:rsid w:val="008F3B6B"/>
    <w:rsid w:val="008F6780"/>
    <w:rsid w:val="009005F8"/>
    <w:rsid w:val="0090161B"/>
    <w:rsid w:val="00902894"/>
    <w:rsid w:val="00904A92"/>
    <w:rsid w:val="00904F6F"/>
    <w:rsid w:val="00905C92"/>
    <w:rsid w:val="00910961"/>
    <w:rsid w:val="00910B3B"/>
    <w:rsid w:val="00910D10"/>
    <w:rsid w:val="00911742"/>
    <w:rsid w:val="00912210"/>
    <w:rsid w:val="0091321D"/>
    <w:rsid w:val="00914006"/>
    <w:rsid w:val="00915862"/>
    <w:rsid w:val="00916A09"/>
    <w:rsid w:val="0091767B"/>
    <w:rsid w:val="009202DF"/>
    <w:rsid w:val="009203DE"/>
    <w:rsid w:val="00920BBC"/>
    <w:rsid w:val="0092273C"/>
    <w:rsid w:val="0092312C"/>
    <w:rsid w:val="0092426A"/>
    <w:rsid w:val="00925588"/>
    <w:rsid w:val="00925A30"/>
    <w:rsid w:val="0092611D"/>
    <w:rsid w:val="0092626C"/>
    <w:rsid w:val="009311E6"/>
    <w:rsid w:val="00933665"/>
    <w:rsid w:val="00935832"/>
    <w:rsid w:val="00936B8B"/>
    <w:rsid w:val="00941A60"/>
    <w:rsid w:val="00943084"/>
    <w:rsid w:val="0094403A"/>
    <w:rsid w:val="00944586"/>
    <w:rsid w:val="0094475F"/>
    <w:rsid w:val="009448D9"/>
    <w:rsid w:val="0094664D"/>
    <w:rsid w:val="00946878"/>
    <w:rsid w:val="00946A16"/>
    <w:rsid w:val="00946BAE"/>
    <w:rsid w:val="00947C39"/>
    <w:rsid w:val="009505C9"/>
    <w:rsid w:val="00950CD8"/>
    <w:rsid w:val="00952A0F"/>
    <w:rsid w:val="00952F27"/>
    <w:rsid w:val="00954B4F"/>
    <w:rsid w:val="00954ED3"/>
    <w:rsid w:val="00955780"/>
    <w:rsid w:val="00956483"/>
    <w:rsid w:val="009573A6"/>
    <w:rsid w:val="00960C8E"/>
    <w:rsid w:val="009610A6"/>
    <w:rsid w:val="00962E70"/>
    <w:rsid w:val="00963855"/>
    <w:rsid w:val="009654E1"/>
    <w:rsid w:val="009664B6"/>
    <w:rsid w:val="009678B5"/>
    <w:rsid w:val="00970A79"/>
    <w:rsid w:val="0097276A"/>
    <w:rsid w:val="00973926"/>
    <w:rsid w:val="00975A5D"/>
    <w:rsid w:val="009762DE"/>
    <w:rsid w:val="00977244"/>
    <w:rsid w:val="009802CE"/>
    <w:rsid w:val="0098131F"/>
    <w:rsid w:val="00983095"/>
    <w:rsid w:val="009835A7"/>
    <w:rsid w:val="009836F8"/>
    <w:rsid w:val="00983E58"/>
    <w:rsid w:val="00985CA6"/>
    <w:rsid w:val="00986059"/>
    <w:rsid w:val="009865BF"/>
    <w:rsid w:val="0098719F"/>
    <w:rsid w:val="009926AD"/>
    <w:rsid w:val="00992F67"/>
    <w:rsid w:val="00993068"/>
    <w:rsid w:val="00994CFA"/>
    <w:rsid w:val="00995263"/>
    <w:rsid w:val="00997A6B"/>
    <w:rsid w:val="009A2B52"/>
    <w:rsid w:val="009A3714"/>
    <w:rsid w:val="009A3AA2"/>
    <w:rsid w:val="009A400B"/>
    <w:rsid w:val="009A6230"/>
    <w:rsid w:val="009A6C26"/>
    <w:rsid w:val="009B03C7"/>
    <w:rsid w:val="009B2E4D"/>
    <w:rsid w:val="009B313A"/>
    <w:rsid w:val="009B56FD"/>
    <w:rsid w:val="009C1C4C"/>
    <w:rsid w:val="009C2A1F"/>
    <w:rsid w:val="009C328A"/>
    <w:rsid w:val="009C3E84"/>
    <w:rsid w:val="009C486E"/>
    <w:rsid w:val="009C4B2F"/>
    <w:rsid w:val="009C55E0"/>
    <w:rsid w:val="009C6BF4"/>
    <w:rsid w:val="009D0111"/>
    <w:rsid w:val="009D662F"/>
    <w:rsid w:val="009D6E60"/>
    <w:rsid w:val="009D7C24"/>
    <w:rsid w:val="009E0849"/>
    <w:rsid w:val="009E08EA"/>
    <w:rsid w:val="009E1242"/>
    <w:rsid w:val="009E1385"/>
    <w:rsid w:val="009E1635"/>
    <w:rsid w:val="009E2075"/>
    <w:rsid w:val="009E219B"/>
    <w:rsid w:val="009E462B"/>
    <w:rsid w:val="009E5726"/>
    <w:rsid w:val="009E5D15"/>
    <w:rsid w:val="009E669C"/>
    <w:rsid w:val="009E66B0"/>
    <w:rsid w:val="009F1CED"/>
    <w:rsid w:val="009F244F"/>
    <w:rsid w:val="009F3137"/>
    <w:rsid w:val="009F3AC2"/>
    <w:rsid w:val="009F42E5"/>
    <w:rsid w:val="009F5CD7"/>
    <w:rsid w:val="009F5E62"/>
    <w:rsid w:val="009F65D9"/>
    <w:rsid w:val="00A00625"/>
    <w:rsid w:val="00A00B25"/>
    <w:rsid w:val="00A0220E"/>
    <w:rsid w:val="00A026E7"/>
    <w:rsid w:val="00A030C0"/>
    <w:rsid w:val="00A059D8"/>
    <w:rsid w:val="00A0730E"/>
    <w:rsid w:val="00A073D5"/>
    <w:rsid w:val="00A11B01"/>
    <w:rsid w:val="00A13A5D"/>
    <w:rsid w:val="00A1521A"/>
    <w:rsid w:val="00A15413"/>
    <w:rsid w:val="00A17437"/>
    <w:rsid w:val="00A2120D"/>
    <w:rsid w:val="00A23816"/>
    <w:rsid w:val="00A23C06"/>
    <w:rsid w:val="00A25E86"/>
    <w:rsid w:val="00A273FC"/>
    <w:rsid w:val="00A31D0B"/>
    <w:rsid w:val="00A326DF"/>
    <w:rsid w:val="00A32C8F"/>
    <w:rsid w:val="00A34355"/>
    <w:rsid w:val="00A3475E"/>
    <w:rsid w:val="00A352AF"/>
    <w:rsid w:val="00A41E2D"/>
    <w:rsid w:val="00A42A70"/>
    <w:rsid w:val="00A42AB5"/>
    <w:rsid w:val="00A430A6"/>
    <w:rsid w:val="00A44201"/>
    <w:rsid w:val="00A47D3E"/>
    <w:rsid w:val="00A52D1D"/>
    <w:rsid w:val="00A53F6B"/>
    <w:rsid w:val="00A544D1"/>
    <w:rsid w:val="00A54C8E"/>
    <w:rsid w:val="00A55340"/>
    <w:rsid w:val="00A555F3"/>
    <w:rsid w:val="00A62B79"/>
    <w:rsid w:val="00A63BF7"/>
    <w:rsid w:val="00A654D0"/>
    <w:rsid w:val="00A6582D"/>
    <w:rsid w:val="00A65B07"/>
    <w:rsid w:val="00A7067A"/>
    <w:rsid w:val="00A7078E"/>
    <w:rsid w:val="00A716F5"/>
    <w:rsid w:val="00A7198D"/>
    <w:rsid w:val="00A71BF3"/>
    <w:rsid w:val="00A72033"/>
    <w:rsid w:val="00A73357"/>
    <w:rsid w:val="00A74164"/>
    <w:rsid w:val="00A7435F"/>
    <w:rsid w:val="00A7477B"/>
    <w:rsid w:val="00A74861"/>
    <w:rsid w:val="00A77848"/>
    <w:rsid w:val="00A81419"/>
    <w:rsid w:val="00A8208C"/>
    <w:rsid w:val="00A82D90"/>
    <w:rsid w:val="00A840B2"/>
    <w:rsid w:val="00A84728"/>
    <w:rsid w:val="00A847FC"/>
    <w:rsid w:val="00A85A1E"/>
    <w:rsid w:val="00A87F48"/>
    <w:rsid w:val="00A909D4"/>
    <w:rsid w:val="00A90A6B"/>
    <w:rsid w:val="00A91026"/>
    <w:rsid w:val="00A920E4"/>
    <w:rsid w:val="00A9462A"/>
    <w:rsid w:val="00A95034"/>
    <w:rsid w:val="00AA25F7"/>
    <w:rsid w:val="00AA2A51"/>
    <w:rsid w:val="00AA46A2"/>
    <w:rsid w:val="00AA4E88"/>
    <w:rsid w:val="00AA4F9C"/>
    <w:rsid w:val="00AA525E"/>
    <w:rsid w:val="00AA5918"/>
    <w:rsid w:val="00AB2885"/>
    <w:rsid w:val="00AB28A7"/>
    <w:rsid w:val="00AB3845"/>
    <w:rsid w:val="00AB4249"/>
    <w:rsid w:val="00AB4979"/>
    <w:rsid w:val="00AB57D6"/>
    <w:rsid w:val="00AB6170"/>
    <w:rsid w:val="00AB617D"/>
    <w:rsid w:val="00AB6359"/>
    <w:rsid w:val="00AB638C"/>
    <w:rsid w:val="00AC0A8F"/>
    <w:rsid w:val="00AC0ED3"/>
    <w:rsid w:val="00AC1FA1"/>
    <w:rsid w:val="00AC327F"/>
    <w:rsid w:val="00AC61C0"/>
    <w:rsid w:val="00AC6213"/>
    <w:rsid w:val="00AC77CE"/>
    <w:rsid w:val="00AD1345"/>
    <w:rsid w:val="00AD3AFD"/>
    <w:rsid w:val="00AD4A5A"/>
    <w:rsid w:val="00AD4EC2"/>
    <w:rsid w:val="00AD51BB"/>
    <w:rsid w:val="00AD5A2C"/>
    <w:rsid w:val="00AD629E"/>
    <w:rsid w:val="00AD77E6"/>
    <w:rsid w:val="00AE0A87"/>
    <w:rsid w:val="00AE1913"/>
    <w:rsid w:val="00AE3972"/>
    <w:rsid w:val="00AE3C3E"/>
    <w:rsid w:val="00AE4D11"/>
    <w:rsid w:val="00AE4D42"/>
    <w:rsid w:val="00AE4EFE"/>
    <w:rsid w:val="00AE7E59"/>
    <w:rsid w:val="00AE7F21"/>
    <w:rsid w:val="00AF29B9"/>
    <w:rsid w:val="00AF57A7"/>
    <w:rsid w:val="00AF6052"/>
    <w:rsid w:val="00AF6C74"/>
    <w:rsid w:val="00AF707D"/>
    <w:rsid w:val="00B00516"/>
    <w:rsid w:val="00B00704"/>
    <w:rsid w:val="00B009D1"/>
    <w:rsid w:val="00B01F38"/>
    <w:rsid w:val="00B0326A"/>
    <w:rsid w:val="00B07F4B"/>
    <w:rsid w:val="00B1070A"/>
    <w:rsid w:val="00B1072C"/>
    <w:rsid w:val="00B124DE"/>
    <w:rsid w:val="00B1270C"/>
    <w:rsid w:val="00B13FBD"/>
    <w:rsid w:val="00B156C6"/>
    <w:rsid w:val="00B17A0F"/>
    <w:rsid w:val="00B21192"/>
    <w:rsid w:val="00B21237"/>
    <w:rsid w:val="00B24386"/>
    <w:rsid w:val="00B24892"/>
    <w:rsid w:val="00B248B8"/>
    <w:rsid w:val="00B2513F"/>
    <w:rsid w:val="00B272D0"/>
    <w:rsid w:val="00B31465"/>
    <w:rsid w:val="00B31BB1"/>
    <w:rsid w:val="00B3369F"/>
    <w:rsid w:val="00B34B87"/>
    <w:rsid w:val="00B3539C"/>
    <w:rsid w:val="00B35BC3"/>
    <w:rsid w:val="00B3778F"/>
    <w:rsid w:val="00B378F5"/>
    <w:rsid w:val="00B40F4F"/>
    <w:rsid w:val="00B42E9A"/>
    <w:rsid w:val="00B42FDB"/>
    <w:rsid w:val="00B430E1"/>
    <w:rsid w:val="00B43325"/>
    <w:rsid w:val="00B43A65"/>
    <w:rsid w:val="00B445D5"/>
    <w:rsid w:val="00B4558B"/>
    <w:rsid w:val="00B46130"/>
    <w:rsid w:val="00B46AA6"/>
    <w:rsid w:val="00B46EB4"/>
    <w:rsid w:val="00B47E13"/>
    <w:rsid w:val="00B512CB"/>
    <w:rsid w:val="00B53059"/>
    <w:rsid w:val="00B53F35"/>
    <w:rsid w:val="00B5490C"/>
    <w:rsid w:val="00B554E5"/>
    <w:rsid w:val="00B556D9"/>
    <w:rsid w:val="00B55C78"/>
    <w:rsid w:val="00B566C9"/>
    <w:rsid w:val="00B56E6B"/>
    <w:rsid w:val="00B570A2"/>
    <w:rsid w:val="00B57792"/>
    <w:rsid w:val="00B579C6"/>
    <w:rsid w:val="00B61605"/>
    <w:rsid w:val="00B62998"/>
    <w:rsid w:val="00B6305C"/>
    <w:rsid w:val="00B63D34"/>
    <w:rsid w:val="00B63E00"/>
    <w:rsid w:val="00B64831"/>
    <w:rsid w:val="00B65A22"/>
    <w:rsid w:val="00B710A8"/>
    <w:rsid w:val="00B723F3"/>
    <w:rsid w:val="00B73318"/>
    <w:rsid w:val="00B73DFB"/>
    <w:rsid w:val="00B747FD"/>
    <w:rsid w:val="00B76776"/>
    <w:rsid w:val="00B77A6F"/>
    <w:rsid w:val="00B80657"/>
    <w:rsid w:val="00B81050"/>
    <w:rsid w:val="00B82035"/>
    <w:rsid w:val="00B827C3"/>
    <w:rsid w:val="00B84670"/>
    <w:rsid w:val="00B90618"/>
    <w:rsid w:val="00B90920"/>
    <w:rsid w:val="00B90DD5"/>
    <w:rsid w:val="00B91774"/>
    <w:rsid w:val="00B91BFA"/>
    <w:rsid w:val="00B923A8"/>
    <w:rsid w:val="00B924F2"/>
    <w:rsid w:val="00B927C2"/>
    <w:rsid w:val="00B929B4"/>
    <w:rsid w:val="00B93CC8"/>
    <w:rsid w:val="00B95BF2"/>
    <w:rsid w:val="00BA0BBA"/>
    <w:rsid w:val="00BA0ED2"/>
    <w:rsid w:val="00BA2243"/>
    <w:rsid w:val="00BA31F4"/>
    <w:rsid w:val="00BA4673"/>
    <w:rsid w:val="00BA515A"/>
    <w:rsid w:val="00BA610F"/>
    <w:rsid w:val="00BB0217"/>
    <w:rsid w:val="00BB0850"/>
    <w:rsid w:val="00BB1C5E"/>
    <w:rsid w:val="00BB219E"/>
    <w:rsid w:val="00BB2E20"/>
    <w:rsid w:val="00BB392B"/>
    <w:rsid w:val="00BB3B65"/>
    <w:rsid w:val="00BB4E2E"/>
    <w:rsid w:val="00BB5533"/>
    <w:rsid w:val="00BB554A"/>
    <w:rsid w:val="00BB6DDC"/>
    <w:rsid w:val="00BB70F7"/>
    <w:rsid w:val="00BB7211"/>
    <w:rsid w:val="00BB7AB0"/>
    <w:rsid w:val="00BC006E"/>
    <w:rsid w:val="00BC252D"/>
    <w:rsid w:val="00BC31A7"/>
    <w:rsid w:val="00BC5159"/>
    <w:rsid w:val="00BC629F"/>
    <w:rsid w:val="00BC6E32"/>
    <w:rsid w:val="00BD0C55"/>
    <w:rsid w:val="00BD0E19"/>
    <w:rsid w:val="00BD23E3"/>
    <w:rsid w:val="00BD2E1F"/>
    <w:rsid w:val="00BD2EC3"/>
    <w:rsid w:val="00BD3A91"/>
    <w:rsid w:val="00BD3F3E"/>
    <w:rsid w:val="00BD4A18"/>
    <w:rsid w:val="00BD534F"/>
    <w:rsid w:val="00BD5520"/>
    <w:rsid w:val="00BD61C6"/>
    <w:rsid w:val="00BE01CC"/>
    <w:rsid w:val="00BE18D0"/>
    <w:rsid w:val="00BE1BD0"/>
    <w:rsid w:val="00BE246F"/>
    <w:rsid w:val="00BE45EE"/>
    <w:rsid w:val="00BE6893"/>
    <w:rsid w:val="00BE6DAC"/>
    <w:rsid w:val="00BE771C"/>
    <w:rsid w:val="00BE7B1D"/>
    <w:rsid w:val="00BF25EA"/>
    <w:rsid w:val="00BF2BB7"/>
    <w:rsid w:val="00BF2DD6"/>
    <w:rsid w:val="00BF4EF0"/>
    <w:rsid w:val="00C01584"/>
    <w:rsid w:val="00C031EF"/>
    <w:rsid w:val="00C03499"/>
    <w:rsid w:val="00C04B7F"/>
    <w:rsid w:val="00C053CF"/>
    <w:rsid w:val="00C06550"/>
    <w:rsid w:val="00C10389"/>
    <w:rsid w:val="00C11A54"/>
    <w:rsid w:val="00C11F6C"/>
    <w:rsid w:val="00C125D9"/>
    <w:rsid w:val="00C128E6"/>
    <w:rsid w:val="00C13229"/>
    <w:rsid w:val="00C14DBB"/>
    <w:rsid w:val="00C15043"/>
    <w:rsid w:val="00C20047"/>
    <w:rsid w:val="00C21DAB"/>
    <w:rsid w:val="00C242FA"/>
    <w:rsid w:val="00C254BA"/>
    <w:rsid w:val="00C300AD"/>
    <w:rsid w:val="00C31840"/>
    <w:rsid w:val="00C31FC4"/>
    <w:rsid w:val="00C327B9"/>
    <w:rsid w:val="00C35CFB"/>
    <w:rsid w:val="00C36819"/>
    <w:rsid w:val="00C36A0E"/>
    <w:rsid w:val="00C37DF4"/>
    <w:rsid w:val="00C40DD5"/>
    <w:rsid w:val="00C42E51"/>
    <w:rsid w:val="00C442FA"/>
    <w:rsid w:val="00C46880"/>
    <w:rsid w:val="00C51498"/>
    <w:rsid w:val="00C52438"/>
    <w:rsid w:val="00C53967"/>
    <w:rsid w:val="00C5417B"/>
    <w:rsid w:val="00C5484E"/>
    <w:rsid w:val="00C56165"/>
    <w:rsid w:val="00C564E9"/>
    <w:rsid w:val="00C571F1"/>
    <w:rsid w:val="00C613E3"/>
    <w:rsid w:val="00C62CFF"/>
    <w:rsid w:val="00C64379"/>
    <w:rsid w:val="00C65246"/>
    <w:rsid w:val="00C65A54"/>
    <w:rsid w:val="00C668AC"/>
    <w:rsid w:val="00C67928"/>
    <w:rsid w:val="00C71388"/>
    <w:rsid w:val="00C716CB"/>
    <w:rsid w:val="00C722B8"/>
    <w:rsid w:val="00C74068"/>
    <w:rsid w:val="00C747FD"/>
    <w:rsid w:val="00C74936"/>
    <w:rsid w:val="00C76377"/>
    <w:rsid w:val="00C76425"/>
    <w:rsid w:val="00C812E3"/>
    <w:rsid w:val="00C814C9"/>
    <w:rsid w:val="00C82EEF"/>
    <w:rsid w:val="00C83132"/>
    <w:rsid w:val="00C83552"/>
    <w:rsid w:val="00C85B3F"/>
    <w:rsid w:val="00C865FF"/>
    <w:rsid w:val="00C91614"/>
    <w:rsid w:val="00C9161D"/>
    <w:rsid w:val="00C92960"/>
    <w:rsid w:val="00C93AB5"/>
    <w:rsid w:val="00C96778"/>
    <w:rsid w:val="00C97640"/>
    <w:rsid w:val="00C97673"/>
    <w:rsid w:val="00C976E9"/>
    <w:rsid w:val="00CA1574"/>
    <w:rsid w:val="00CA190D"/>
    <w:rsid w:val="00CA1A5D"/>
    <w:rsid w:val="00CA2494"/>
    <w:rsid w:val="00CA2E4F"/>
    <w:rsid w:val="00CA32D9"/>
    <w:rsid w:val="00CA4CD5"/>
    <w:rsid w:val="00CA65C9"/>
    <w:rsid w:val="00CA69C8"/>
    <w:rsid w:val="00CA7B0D"/>
    <w:rsid w:val="00CB060A"/>
    <w:rsid w:val="00CB0A1C"/>
    <w:rsid w:val="00CB205B"/>
    <w:rsid w:val="00CB23F6"/>
    <w:rsid w:val="00CB278D"/>
    <w:rsid w:val="00CB4649"/>
    <w:rsid w:val="00CB557E"/>
    <w:rsid w:val="00CB5C4C"/>
    <w:rsid w:val="00CB650A"/>
    <w:rsid w:val="00CB68E2"/>
    <w:rsid w:val="00CB6AB2"/>
    <w:rsid w:val="00CB7C2C"/>
    <w:rsid w:val="00CB7C33"/>
    <w:rsid w:val="00CC15F1"/>
    <w:rsid w:val="00CC23FC"/>
    <w:rsid w:val="00CC2A84"/>
    <w:rsid w:val="00CC4E92"/>
    <w:rsid w:val="00CC749A"/>
    <w:rsid w:val="00CD07BF"/>
    <w:rsid w:val="00CD23EA"/>
    <w:rsid w:val="00CD2B7F"/>
    <w:rsid w:val="00CD2C22"/>
    <w:rsid w:val="00CD5F8E"/>
    <w:rsid w:val="00CE00AB"/>
    <w:rsid w:val="00CE0BB2"/>
    <w:rsid w:val="00CE452B"/>
    <w:rsid w:val="00CE4962"/>
    <w:rsid w:val="00CE5115"/>
    <w:rsid w:val="00CE5B1F"/>
    <w:rsid w:val="00CE7135"/>
    <w:rsid w:val="00CE7B53"/>
    <w:rsid w:val="00CE7C34"/>
    <w:rsid w:val="00CF061B"/>
    <w:rsid w:val="00CF1848"/>
    <w:rsid w:val="00CF2827"/>
    <w:rsid w:val="00CF2BA9"/>
    <w:rsid w:val="00CF582B"/>
    <w:rsid w:val="00CF6A3C"/>
    <w:rsid w:val="00CF7D73"/>
    <w:rsid w:val="00D00999"/>
    <w:rsid w:val="00D00DBC"/>
    <w:rsid w:val="00D02C40"/>
    <w:rsid w:val="00D02FDA"/>
    <w:rsid w:val="00D03320"/>
    <w:rsid w:val="00D045BA"/>
    <w:rsid w:val="00D05C05"/>
    <w:rsid w:val="00D06672"/>
    <w:rsid w:val="00D0790F"/>
    <w:rsid w:val="00D10451"/>
    <w:rsid w:val="00D124E4"/>
    <w:rsid w:val="00D13D28"/>
    <w:rsid w:val="00D202E9"/>
    <w:rsid w:val="00D21B0D"/>
    <w:rsid w:val="00D222A5"/>
    <w:rsid w:val="00D239D9"/>
    <w:rsid w:val="00D23C75"/>
    <w:rsid w:val="00D25AFF"/>
    <w:rsid w:val="00D25F6A"/>
    <w:rsid w:val="00D267DD"/>
    <w:rsid w:val="00D315CD"/>
    <w:rsid w:val="00D31A74"/>
    <w:rsid w:val="00D3421D"/>
    <w:rsid w:val="00D35C99"/>
    <w:rsid w:val="00D4027E"/>
    <w:rsid w:val="00D41ADC"/>
    <w:rsid w:val="00D4361D"/>
    <w:rsid w:val="00D43B3C"/>
    <w:rsid w:val="00D43E0C"/>
    <w:rsid w:val="00D45CA3"/>
    <w:rsid w:val="00D4601B"/>
    <w:rsid w:val="00D46349"/>
    <w:rsid w:val="00D51517"/>
    <w:rsid w:val="00D515E4"/>
    <w:rsid w:val="00D532B8"/>
    <w:rsid w:val="00D533B7"/>
    <w:rsid w:val="00D53446"/>
    <w:rsid w:val="00D5395D"/>
    <w:rsid w:val="00D542D8"/>
    <w:rsid w:val="00D56A45"/>
    <w:rsid w:val="00D60036"/>
    <w:rsid w:val="00D61679"/>
    <w:rsid w:val="00D61A1C"/>
    <w:rsid w:val="00D620A2"/>
    <w:rsid w:val="00D623E5"/>
    <w:rsid w:val="00D627B3"/>
    <w:rsid w:val="00D648AE"/>
    <w:rsid w:val="00D654EE"/>
    <w:rsid w:val="00D655EB"/>
    <w:rsid w:val="00D65CC6"/>
    <w:rsid w:val="00D65D28"/>
    <w:rsid w:val="00D66345"/>
    <w:rsid w:val="00D669A5"/>
    <w:rsid w:val="00D713A3"/>
    <w:rsid w:val="00D7144B"/>
    <w:rsid w:val="00D71A8F"/>
    <w:rsid w:val="00D72748"/>
    <w:rsid w:val="00D7480A"/>
    <w:rsid w:val="00D74833"/>
    <w:rsid w:val="00D75D07"/>
    <w:rsid w:val="00D76A18"/>
    <w:rsid w:val="00D81951"/>
    <w:rsid w:val="00D833D3"/>
    <w:rsid w:val="00D87312"/>
    <w:rsid w:val="00D9248D"/>
    <w:rsid w:val="00D941CD"/>
    <w:rsid w:val="00D94991"/>
    <w:rsid w:val="00D94D24"/>
    <w:rsid w:val="00D978C9"/>
    <w:rsid w:val="00DA0278"/>
    <w:rsid w:val="00DA0F22"/>
    <w:rsid w:val="00DA187E"/>
    <w:rsid w:val="00DA2014"/>
    <w:rsid w:val="00DA2059"/>
    <w:rsid w:val="00DA21FA"/>
    <w:rsid w:val="00DA4693"/>
    <w:rsid w:val="00DA4BD0"/>
    <w:rsid w:val="00DA5609"/>
    <w:rsid w:val="00DA5E60"/>
    <w:rsid w:val="00DA70B9"/>
    <w:rsid w:val="00DA730F"/>
    <w:rsid w:val="00DB084E"/>
    <w:rsid w:val="00DB1291"/>
    <w:rsid w:val="00DB29B7"/>
    <w:rsid w:val="00DB613F"/>
    <w:rsid w:val="00DB773B"/>
    <w:rsid w:val="00DC0907"/>
    <w:rsid w:val="00DC265A"/>
    <w:rsid w:val="00DC65FF"/>
    <w:rsid w:val="00DC7999"/>
    <w:rsid w:val="00DD118C"/>
    <w:rsid w:val="00DD330E"/>
    <w:rsid w:val="00DD3EF2"/>
    <w:rsid w:val="00DD4459"/>
    <w:rsid w:val="00DD6419"/>
    <w:rsid w:val="00DD683A"/>
    <w:rsid w:val="00DD6A91"/>
    <w:rsid w:val="00DE07A6"/>
    <w:rsid w:val="00DE3961"/>
    <w:rsid w:val="00DE4C18"/>
    <w:rsid w:val="00DE6043"/>
    <w:rsid w:val="00DE70EC"/>
    <w:rsid w:val="00DE77F0"/>
    <w:rsid w:val="00DE7A5B"/>
    <w:rsid w:val="00DE7E9F"/>
    <w:rsid w:val="00DF054E"/>
    <w:rsid w:val="00DF1E5F"/>
    <w:rsid w:val="00DF3D49"/>
    <w:rsid w:val="00DF4351"/>
    <w:rsid w:val="00DF4A96"/>
    <w:rsid w:val="00DF6303"/>
    <w:rsid w:val="00DF66B3"/>
    <w:rsid w:val="00DF6EFD"/>
    <w:rsid w:val="00E002F2"/>
    <w:rsid w:val="00E009BD"/>
    <w:rsid w:val="00E00F78"/>
    <w:rsid w:val="00E03559"/>
    <w:rsid w:val="00E03DBF"/>
    <w:rsid w:val="00E042A7"/>
    <w:rsid w:val="00E04E5E"/>
    <w:rsid w:val="00E060B2"/>
    <w:rsid w:val="00E0630E"/>
    <w:rsid w:val="00E0710F"/>
    <w:rsid w:val="00E075B3"/>
    <w:rsid w:val="00E10D1C"/>
    <w:rsid w:val="00E10D6E"/>
    <w:rsid w:val="00E12894"/>
    <w:rsid w:val="00E12C95"/>
    <w:rsid w:val="00E148DF"/>
    <w:rsid w:val="00E1501B"/>
    <w:rsid w:val="00E1501E"/>
    <w:rsid w:val="00E1686B"/>
    <w:rsid w:val="00E1690E"/>
    <w:rsid w:val="00E16DC0"/>
    <w:rsid w:val="00E172F1"/>
    <w:rsid w:val="00E17FDA"/>
    <w:rsid w:val="00E204A7"/>
    <w:rsid w:val="00E21100"/>
    <w:rsid w:val="00E21B87"/>
    <w:rsid w:val="00E22208"/>
    <w:rsid w:val="00E23046"/>
    <w:rsid w:val="00E243CA"/>
    <w:rsid w:val="00E261D8"/>
    <w:rsid w:val="00E27BFF"/>
    <w:rsid w:val="00E27E55"/>
    <w:rsid w:val="00E3067B"/>
    <w:rsid w:val="00E306A8"/>
    <w:rsid w:val="00E32F49"/>
    <w:rsid w:val="00E34F8A"/>
    <w:rsid w:val="00E354B5"/>
    <w:rsid w:val="00E3562C"/>
    <w:rsid w:val="00E36C96"/>
    <w:rsid w:val="00E37003"/>
    <w:rsid w:val="00E373B2"/>
    <w:rsid w:val="00E37B56"/>
    <w:rsid w:val="00E406EC"/>
    <w:rsid w:val="00E40F06"/>
    <w:rsid w:val="00E431F2"/>
    <w:rsid w:val="00E43FD1"/>
    <w:rsid w:val="00E4451D"/>
    <w:rsid w:val="00E44884"/>
    <w:rsid w:val="00E45770"/>
    <w:rsid w:val="00E45A15"/>
    <w:rsid w:val="00E45A62"/>
    <w:rsid w:val="00E4603E"/>
    <w:rsid w:val="00E46B16"/>
    <w:rsid w:val="00E47CE4"/>
    <w:rsid w:val="00E50D01"/>
    <w:rsid w:val="00E523B8"/>
    <w:rsid w:val="00E53C0D"/>
    <w:rsid w:val="00E543AD"/>
    <w:rsid w:val="00E54CC3"/>
    <w:rsid w:val="00E562FE"/>
    <w:rsid w:val="00E56B35"/>
    <w:rsid w:val="00E574F0"/>
    <w:rsid w:val="00E61790"/>
    <w:rsid w:val="00E622EA"/>
    <w:rsid w:val="00E628B7"/>
    <w:rsid w:val="00E636CF"/>
    <w:rsid w:val="00E638D8"/>
    <w:rsid w:val="00E63D86"/>
    <w:rsid w:val="00E642D1"/>
    <w:rsid w:val="00E64A16"/>
    <w:rsid w:val="00E65272"/>
    <w:rsid w:val="00E66235"/>
    <w:rsid w:val="00E67DE4"/>
    <w:rsid w:val="00E719BC"/>
    <w:rsid w:val="00E745B4"/>
    <w:rsid w:val="00E7601E"/>
    <w:rsid w:val="00E76EF1"/>
    <w:rsid w:val="00E77ED7"/>
    <w:rsid w:val="00E81BD1"/>
    <w:rsid w:val="00E8205E"/>
    <w:rsid w:val="00E8261B"/>
    <w:rsid w:val="00E839CC"/>
    <w:rsid w:val="00E83C24"/>
    <w:rsid w:val="00E854BC"/>
    <w:rsid w:val="00E85EE0"/>
    <w:rsid w:val="00E901D5"/>
    <w:rsid w:val="00E910F1"/>
    <w:rsid w:val="00E91530"/>
    <w:rsid w:val="00E92467"/>
    <w:rsid w:val="00E928AE"/>
    <w:rsid w:val="00E94207"/>
    <w:rsid w:val="00E96F3E"/>
    <w:rsid w:val="00E9750E"/>
    <w:rsid w:val="00EA03D2"/>
    <w:rsid w:val="00EA23AF"/>
    <w:rsid w:val="00EA4C38"/>
    <w:rsid w:val="00EA5F11"/>
    <w:rsid w:val="00EA6C0B"/>
    <w:rsid w:val="00EA6D13"/>
    <w:rsid w:val="00EB29DB"/>
    <w:rsid w:val="00EB3B60"/>
    <w:rsid w:val="00EB42C7"/>
    <w:rsid w:val="00EB4F28"/>
    <w:rsid w:val="00EB6B29"/>
    <w:rsid w:val="00EC120A"/>
    <w:rsid w:val="00EC2F86"/>
    <w:rsid w:val="00EC4248"/>
    <w:rsid w:val="00EC4695"/>
    <w:rsid w:val="00EC47A4"/>
    <w:rsid w:val="00EC4D24"/>
    <w:rsid w:val="00EC6722"/>
    <w:rsid w:val="00ED00C2"/>
    <w:rsid w:val="00ED08A5"/>
    <w:rsid w:val="00ED1CB2"/>
    <w:rsid w:val="00ED20DB"/>
    <w:rsid w:val="00ED24B9"/>
    <w:rsid w:val="00ED433B"/>
    <w:rsid w:val="00ED6C5E"/>
    <w:rsid w:val="00EE1432"/>
    <w:rsid w:val="00EE1719"/>
    <w:rsid w:val="00EE4DD3"/>
    <w:rsid w:val="00EE5567"/>
    <w:rsid w:val="00EE61E9"/>
    <w:rsid w:val="00EF032D"/>
    <w:rsid w:val="00EF124D"/>
    <w:rsid w:val="00EF3EFA"/>
    <w:rsid w:val="00EF5BA5"/>
    <w:rsid w:val="00EF6419"/>
    <w:rsid w:val="00EF7396"/>
    <w:rsid w:val="00F00A9E"/>
    <w:rsid w:val="00F00B5F"/>
    <w:rsid w:val="00F00CF1"/>
    <w:rsid w:val="00F00E9A"/>
    <w:rsid w:val="00F01F7D"/>
    <w:rsid w:val="00F02C69"/>
    <w:rsid w:val="00F04291"/>
    <w:rsid w:val="00F04FE6"/>
    <w:rsid w:val="00F05563"/>
    <w:rsid w:val="00F05EAE"/>
    <w:rsid w:val="00F072ED"/>
    <w:rsid w:val="00F0744D"/>
    <w:rsid w:val="00F1220D"/>
    <w:rsid w:val="00F12885"/>
    <w:rsid w:val="00F13089"/>
    <w:rsid w:val="00F15D34"/>
    <w:rsid w:val="00F1794F"/>
    <w:rsid w:val="00F211FF"/>
    <w:rsid w:val="00F2157C"/>
    <w:rsid w:val="00F21C65"/>
    <w:rsid w:val="00F22229"/>
    <w:rsid w:val="00F22BC5"/>
    <w:rsid w:val="00F24C0B"/>
    <w:rsid w:val="00F3009B"/>
    <w:rsid w:val="00F30732"/>
    <w:rsid w:val="00F30EDF"/>
    <w:rsid w:val="00F31067"/>
    <w:rsid w:val="00F32D04"/>
    <w:rsid w:val="00F335A7"/>
    <w:rsid w:val="00F343FB"/>
    <w:rsid w:val="00F3529C"/>
    <w:rsid w:val="00F35DC8"/>
    <w:rsid w:val="00F36B9C"/>
    <w:rsid w:val="00F373F5"/>
    <w:rsid w:val="00F379A6"/>
    <w:rsid w:val="00F42CC8"/>
    <w:rsid w:val="00F43314"/>
    <w:rsid w:val="00F43E3C"/>
    <w:rsid w:val="00F4491B"/>
    <w:rsid w:val="00F47A8D"/>
    <w:rsid w:val="00F50738"/>
    <w:rsid w:val="00F511DD"/>
    <w:rsid w:val="00F522EB"/>
    <w:rsid w:val="00F5271E"/>
    <w:rsid w:val="00F52741"/>
    <w:rsid w:val="00F52ABB"/>
    <w:rsid w:val="00F5583A"/>
    <w:rsid w:val="00F56634"/>
    <w:rsid w:val="00F578D3"/>
    <w:rsid w:val="00F60C31"/>
    <w:rsid w:val="00F61693"/>
    <w:rsid w:val="00F61C12"/>
    <w:rsid w:val="00F62606"/>
    <w:rsid w:val="00F63AEF"/>
    <w:rsid w:val="00F63F3A"/>
    <w:rsid w:val="00F65BA1"/>
    <w:rsid w:val="00F673FA"/>
    <w:rsid w:val="00F676AD"/>
    <w:rsid w:val="00F70094"/>
    <w:rsid w:val="00F70EF0"/>
    <w:rsid w:val="00F71251"/>
    <w:rsid w:val="00F72EC6"/>
    <w:rsid w:val="00F738A2"/>
    <w:rsid w:val="00F76B93"/>
    <w:rsid w:val="00F77DE0"/>
    <w:rsid w:val="00F81093"/>
    <w:rsid w:val="00F8134C"/>
    <w:rsid w:val="00F81F05"/>
    <w:rsid w:val="00F82EEE"/>
    <w:rsid w:val="00F83862"/>
    <w:rsid w:val="00F8438F"/>
    <w:rsid w:val="00F85044"/>
    <w:rsid w:val="00F85888"/>
    <w:rsid w:val="00F86C4E"/>
    <w:rsid w:val="00F86F4A"/>
    <w:rsid w:val="00F87042"/>
    <w:rsid w:val="00F87FFD"/>
    <w:rsid w:val="00F91D46"/>
    <w:rsid w:val="00F92FA4"/>
    <w:rsid w:val="00F93483"/>
    <w:rsid w:val="00F938E7"/>
    <w:rsid w:val="00F941BD"/>
    <w:rsid w:val="00F94774"/>
    <w:rsid w:val="00F95D75"/>
    <w:rsid w:val="00F96494"/>
    <w:rsid w:val="00F96C96"/>
    <w:rsid w:val="00FA048F"/>
    <w:rsid w:val="00FA1104"/>
    <w:rsid w:val="00FA2190"/>
    <w:rsid w:val="00FA3A2C"/>
    <w:rsid w:val="00FA5802"/>
    <w:rsid w:val="00FA69E0"/>
    <w:rsid w:val="00FA6A95"/>
    <w:rsid w:val="00FA72F2"/>
    <w:rsid w:val="00FA7327"/>
    <w:rsid w:val="00FA794F"/>
    <w:rsid w:val="00FB0D24"/>
    <w:rsid w:val="00FB23D2"/>
    <w:rsid w:val="00FB2F9E"/>
    <w:rsid w:val="00FB33EF"/>
    <w:rsid w:val="00FB37D1"/>
    <w:rsid w:val="00FB52C9"/>
    <w:rsid w:val="00FB598B"/>
    <w:rsid w:val="00FB6E10"/>
    <w:rsid w:val="00FB7ACB"/>
    <w:rsid w:val="00FB7E82"/>
    <w:rsid w:val="00FC0581"/>
    <w:rsid w:val="00FC442E"/>
    <w:rsid w:val="00FC4DE4"/>
    <w:rsid w:val="00FC53DB"/>
    <w:rsid w:val="00FC5D45"/>
    <w:rsid w:val="00FC5D64"/>
    <w:rsid w:val="00FC5ECF"/>
    <w:rsid w:val="00FD4184"/>
    <w:rsid w:val="00FD4488"/>
    <w:rsid w:val="00FD5303"/>
    <w:rsid w:val="00FD757D"/>
    <w:rsid w:val="00FD7D7D"/>
    <w:rsid w:val="00FD7F05"/>
    <w:rsid w:val="00FE0067"/>
    <w:rsid w:val="00FE06CC"/>
    <w:rsid w:val="00FE2C2A"/>
    <w:rsid w:val="00FE3DA2"/>
    <w:rsid w:val="00FE4218"/>
    <w:rsid w:val="00FE5EB6"/>
    <w:rsid w:val="00FF3276"/>
    <w:rsid w:val="00FF417B"/>
    <w:rsid w:val="00FF4293"/>
    <w:rsid w:val="00FF70D0"/>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D8A49A6"/>
  <w15:docId w15:val="{95A0348C-F60C-4C26-B20E-2CD8313E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ED6C5E"/>
    <w:pPr>
      <w:keepNext/>
      <w:tabs>
        <w:tab w:val="left" w:pos="720"/>
      </w:tabs>
      <w:spacing w:before="240" w:after="120"/>
      <w:jc w:val="center"/>
      <w:outlineLvl w:val="1"/>
    </w:pPr>
    <w:rPr>
      <w:b/>
      <w:bCs/>
      <w:i/>
      <w:iCs/>
      <w:snapToGrid w:val="0"/>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rsid w:val="007E09DA"/>
    <w:pPr>
      <w:tabs>
        <w:tab w:val="center" w:pos="4320"/>
        <w:tab w:val="right" w:pos="8640"/>
      </w:tabs>
      <w:ind w:firstLine="720"/>
      <w:jc w:val="right"/>
    </w:pPr>
  </w:style>
  <w:style w:type="character" w:customStyle="1" w:styleId="PiedepginaCar">
    <w:name w:val="Pie de página Car"/>
    <w:basedOn w:val="Fuentedeprrafopredeter"/>
    <w:link w:val="Piedepgina"/>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rsid w:val="007E09DA"/>
    <w:rPr>
      <w:sz w:val="16"/>
    </w:rPr>
  </w:style>
  <w:style w:type="paragraph" w:styleId="Textocomentario">
    <w:name w:val="annotation text"/>
    <w:basedOn w:val="Normal"/>
    <w:link w:val="TextocomentarioCar"/>
    <w:rsid w:val="007E09DA"/>
    <w:pPr>
      <w:spacing w:after="120" w:line="240" w:lineRule="exact"/>
    </w:pPr>
  </w:style>
  <w:style w:type="character" w:customStyle="1" w:styleId="TextocomentarioCar">
    <w:name w:val="Texto comentario Car"/>
    <w:basedOn w:val="Fuentedeprrafopredeter"/>
    <w:link w:val="Textocomentario"/>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7E09DA"/>
    <w:rPr>
      <w:sz w:val="18"/>
      <w:u w:val="single"/>
      <w:vertAlign w:val="baseline"/>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qFormat/>
    <w:rsid w:val="007E09DA"/>
    <w:pPr>
      <w:keepLines/>
      <w:spacing w:after="60"/>
      <w:ind w:firstLine="720"/>
    </w:pPr>
    <w:rPr>
      <w:sz w:val="18"/>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ED6C5E"/>
    <w:rPr>
      <w:rFonts w:ascii="Times New Roman" w:eastAsia="Times New Roman" w:hAnsi="Times New Roman" w:cs="Times New Roman"/>
      <w:b/>
      <w:bCs/>
      <w:i/>
      <w:iCs/>
      <w:snapToGrid w:val="0"/>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qFormat/>
    <w:rsid w:val="009678B5"/>
    <w:pPr>
      <w:numPr>
        <w:numId w:val="36"/>
      </w:numPr>
      <w:spacing w:before="120" w:after="120"/>
    </w:pPr>
    <w:rPr>
      <w:rFonts w:eastAsia="Malgun Gothic"/>
      <w:snapToGrid w:val="0"/>
      <w:kern w:val="22"/>
      <w:szCs w:val="22"/>
    </w:rPr>
  </w:style>
  <w:style w:type="paragraph" w:customStyle="1" w:styleId="Para2">
    <w:name w:val="Para2"/>
    <w:basedOn w:val="Para1"/>
    <w:rsid w:val="007E09DA"/>
    <w:p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7E09DA"/>
    <w:pPr>
      <w:jc w:val="left"/>
      <w:outlineLvl w:val="9"/>
    </w:p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semiHidden/>
    <w:rsid w:val="007E09DA"/>
    <w:pPr>
      <w:ind w:left="720" w:hanging="720"/>
    </w:pPr>
    <w:rPr>
      <w:caps/>
    </w:rPr>
  </w:style>
  <w:style w:type="paragraph" w:styleId="TDC2">
    <w:name w:val="toc 2"/>
    <w:basedOn w:val="Normal"/>
    <w:next w:val="Normal"/>
    <w:autoRedefine/>
    <w:semiHidden/>
    <w:rsid w:val="007E09DA"/>
    <w:pPr>
      <w:tabs>
        <w:tab w:val="right" w:leader="dot" w:pos="9356"/>
      </w:tabs>
      <w:ind w:left="1440" w:hanging="72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uiPriority w:val="99"/>
    <w:rsid w:val="00172AF6"/>
    <w:rPr>
      <w:color w:val="0000FF"/>
      <w:sz w:val="18"/>
      <w:u w:val="single"/>
    </w:rPr>
  </w:style>
  <w:style w:type="character" w:customStyle="1" w:styleId="Para1Char">
    <w:name w:val="Para1 Char"/>
    <w:link w:val="Para1"/>
    <w:qFormat/>
    <w:locked/>
    <w:rsid w:val="009678B5"/>
    <w:rPr>
      <w:rFonts w:ascii="Times New Roman" w:eastAsia="Malgun Gothic" w:hAnsi="Times New Roman" w:cs="Times New Roman"/>
      <w:snapToGrid w:val="0"/>
      <w:kern w:val="22"/>
      <w:sz w:val="22"/>
      <w:szCs w:val="22"/>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B3778F"/>
    <w:pPr>
      <w:spacing w:before="140" w:after="140"/>
      <w:ind w:left="720" w:hanging="720"/>
    </w:pPr>
  </w:style>
  <w:style w:type="paragraph" w:styleId="Prrafodelista">
    <w:name w:val="List Paragraph"/>
    <w:basedOn w:val="Normal"/>
    <w:uiPriority w:val="34"/>
    <w:qFormat/>
    <w:rsid w:val="00B3778F"/>
    <w:pPr>
      <w:ind w:left="720"/>
      <w:contextualSpacing/>
    </w:pPr>
  </w:style>
  <w:style w:type="paragraph" w:styleId="Asuntodelcomentario">
    <w:name w:val="annotation subject"/>
    <w:basedOn w:val="Textocomentario"/>
    <w:next w:val="Textocomentario"/>
    <w:link w:val="AsuntodelcomentarioCar"/>
    <w:uiPriority w:val="99"/>
    <w:semiHidden/>
    <w:unhideWhenUsed/>
    <w:rsid w:val="00C40DD5"/>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C40DD5"/>
    <w:rPr>
      <w:rFonts w:ascii="Times New Roman" w:eastAsia="Times New Roman" w:hAnsi="Times New Roman" w:cs="Times New Roman"/>
      <w:b/>
      <w:bCs/>
      <w:sz w:val="20"/>
      <w:szCs w:val="20"/>
      <w:lang w:val="es-ES"/>
    </w:rPr>
  </w:style>
  <w:style w:type="character" w:customStyle="1" w:styleId="apple-converted-space">
    <w:name w:val="apple-converted-space"/>
    <w:basedOn w:val="Fuentedeprrafopredeter"/>
    <w:rsid w:val="00230661"/>
  </w:style>
  <w:style w:type="character" w:customStyle="1" w:styleId="Para1Char1">
    <w:name w:val="Para1 Char1"/>
    <w:rsid w:val="00E562FE"/>
    <w:rPr>
      <w:rFonts w:cs="Angsana New"/>
      <w:snapToGrid w:val="0"/>
      <w:sz w:val="22"/>
      <w:szCs w:val="18"/>
      <w:lang w:val="es-ES"/>
    </w:rPr>
  </w:style>
  <w:style w:type="paragraph" w:customStyle="1" w:styleId="xl68">
    <w:name w:val="xl68"/>
    <w:basedOn w:val="Normal"/>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Refdenotaalpie"/>
    <w:uiPriority w:val="99"/>
    <w:qFormat/>
    <w:rsid w:val="003B4172"/>
    <w:pPr>
      <w:spacing w:after="160" w:line="240" w:lineRule="exact"/>
    </w:pPr>
    <w:rPr>
      <w:rFonts w:asciiTheme="minorHAnsi" w:eastAsiaTheme="minorEastAsia" w:hAnsiTheme="minorHAnsi" w:cstheme="minorBidi"/>
      <w:sz w:val="18"/>
      <w:u w:val="single"/>
    </w:rPr>
  </w:style>
  <w:style w:type="paragraph" w:styleId="Revisin">
    <w:name w:val="Revision"/>
    <w:hidden/>
    <w:uiPriority w:val="99"/>
    <w:semiHidden/>
    <w:rsid w:val="00915862"/>
    <w:rPr>
      <w:rFonts w:ascii="Times New Roman" w:eastAsia="Times New Roman" w:hAnsi="Times New Roman" w:cs="Times New Roman"/>
      <w:sz w:val="22"/>
    </w:rPr>
  </w:style>
  <w:style w:type="paragraph" w:customStyle="1" w:styleId="Heading-plainbold">
    <w:name w:val="Heading-plain bold"/>
    <w:basedOn w:val="Textoindependiente"/>
    <w:rsid w:val="00C46880"/>
    <w:pPr>
      <w:ind w:firstLine="0"/>
      <w:jc w:val="center"/>
    </w:pPr>
    <w:rPr>
      <w:rFonts w:eastAsia="Malgun Gothic"/>
      <w:b/>
      <w:bCs/>
      <w:i/>
      <w:iCs w:val="0"/>
      <w:lang w:eastAsia="x-none"/>
    </w:rPr>
  </w:style>
  <w:style w:type="character" w:styleId="Mencinsinresolver">
    <w:name w:val="Unresolved Mention"/>
    <w:basedOn w:val="Fuentedeprrafopredeter"/>
    <w:uiPriority w:val="99"/>
    <w:semiHidden/>
    <w:unhideWhenUsed/>
    <w:rsid w:val="006D6A26"/>
    <w:rPr>
      <w:color w:val="605E5C"/>
      <w:shd w:val="clear" w:color="auto" w:fill="E1DFDD"/>
    </w:rPr>
  </w:style>
  <w:style w:type="paragraph" w:customStyle="1" w:styleId="para10">
    <w:name w:val="para1"/>
    <w:basedOn w:val="Normal"/>
    <w:rsid w:val="00575F20"/>
    <w:pPr>
      <w:suppressLineNumbers/>
      <w:tabs>
        <w:tab w:val="left" w:pos="720"/>
      </w:tabs>
      <w:suppressAutoHyphens/>
      <w:kinsoku w:val="0"/>
      <w:overflowPunct w:val="0"/>
      <w:autoSpaceDE w:val="0"/>
      <w:autoSpaceDN w:val="0"/>
      <w:adjustRightInd w:val="0"/>
      <w:snapToGrid w:val="0"/>
      <w:spacing w:before="120" w:after="120"/>
    </w:pPr>
  </w:style>
  <w:style w:type="character" w:customStyle="1" w:styleId="ui-provider">
    <w:name w:val="ui-provider"/>
    <w:basedOn w:val="Fuentedeprrafopredeter"/>
    <w:rsid w:val="00DA73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978">
      <w:bodyDiv w:val="1"/>
      <w:marLeft w:val="0"/>
      <w:marRight w:val="0"/>
      <w:marTop w:val="0"/>
      <w:marBottom w:val="0"/>
      <w:divBdr>
        <w:top w:val="none" w:sz="0" w:space="0" w:color="auto"/>
        <w:left w:val="none" w:sz="0" w:space="0" w:color="auto"/>
        <w:bottom w:val="none" w:sz="0" w:space="0" w:color="auto"/>
        <w:right w:val="none" w:sz="0" w:space="0" w:color="auto"/>
      </w:divBdr>
    </w:div>
    <w:div w:id="38478465">
      <w:bodyDiv w:val="1"/>
      <w:marLeft w:val="0"/>
      <w:marRight w:val="0"/>
      <w:marTop w:val="0"/>
      <w:marBottom w:val="0"/>
      <w:divBdr>
        <w:top w:val="none" w:sz="0" w:space="0" w:color="auto"/>
        <w:left w:val="none" w:sz="0" w:space="0" w:color="auto"/>
        <w:bottom w:val="none" w:sz="0" w:space="0" w:color="auto"/>
        <w:right w:val="none" w:sz="0" w:space="0" w:color="auto"/>
      </w:divBdr>
    </w:div>
    <w:div w:id="67653691">
      <w:bodyDiv w:val="1"/>
      <w:marLeft w:val="0"/>
      <w:marRight w:val="0"/>
      <w:marTop w:val="0"/>
      <w:marBottom w:val="0"/>
      <w:divBdr>
        <w:top w:val="none" w:sz="0" w:space="0" w:color="auto"/>
        <w:left w:val="none" w:sz="0" w:space="0" w:color="auto"/>
        <w:bottom w:val="none" w:sz="0" w:space="0" w:color="auto"/>
        <w:right w:val="none" w:sz="0" w:space="0" w:color="auto"/>
      </w:divBdr>
    </w:div>
    <w:div w:id="90708529">
      <w:bodyDiv w:val="1"/>
      <w:marLeft w:val="0"/>
      <w:marRight w:val="0"/>
      <w:marTop w:val="0"/>
      <w:marBottom w:val="0"/>
      <w:divBdr>
        <w:top w:val="none" w:sz="0" w:space="0" w:color="auto"/>
        <w:left w:val="none" w:sz="0" w:space="0" w:color="auto"/>
        <w:bottom w:val="none" w:sz="0" w:space="0" w:color="auto"/>
        <w:right w:val="none" w:sz="0" w:space="0" w:color="auto"/>
      </w:divBdr>
    </w:div>
    <w:div w:id="204412490">
      <w:bodyDiv w:val="1"/>
      <w:marLeft w:val="0"/>
      <w:marRight w:val="0"/>
      <w:marTop w:val="0"/>
      <w:marBottom w:val="0"/>
      <w:divBdr>
        <w:top w:val="none" w:sz="0" w:space="0" w:color="auto"/>
        <w:left w:val="none" w:sz="0" w:space="0" w:color="auto"/>
        <w:bottom w:val="none" w:sz="0" w:space="0" w:color="auto"/>
        <w:right w:val="none" w:sz="0" w:space="0" w:color="auto"/>
      </w:divBdr>
    </w:div>
    <w:div w:id="360519978">
      <w:bodyDiv w:val="1"/>
      <w:marLeft w:val="0"/>
      <w:marRight w:val="0"/>
      <w:marTop w:val="0"/>
      <w:marBottom w:val="0"/>
      <w:divBdr>
        <w:top w:val="none" w:sz="0" w:space="0" w:color="auto"/>
        <w:left w:val="none" w:sz="0" w:space="0" w:color="auto"/>
        <w:bottom w:val="none" w:sz="0" w:space="0" w:color="auto"/>
        <w:right w:val="none" w:sz="0" w:space="0" w:color="auto"/>
      </w:divBdr>
    </w:div>
    <w:div w:id="370351202">
      <w:bodyDiv w:val="1"/>
      <w:marLeft w:val="0"/>
      <w:marRight w:val="0"/>
      <w:marTop w:val="0"/>
      <w:marBottom w:val="0"/>
      <w:divBdr>
        <w:top w:val="none" w:sz="0" w:space="0" w:color="auto"/>
        <w:left w:val="none" w:sz="0" w:space="0" w:color="auto"/>
        <w:bottom w:val="none" w:sz="0" w:space="0" w:color="auto"/>
        <w:right w:val="none" w:sz="0" w:space="0" w:color="auto"/>
      </w:divBdr>
    </w:div>
    <w:div w:id="508373428">
      <w:bodyDiv w:val="1"/>
      <w:marLeft w:val="0"/>
      <w:marRight w:val="0"/>
      <w:marTop w:val="0"/>
      <w:marBottom w:val="0"/>
      <w:divBdr>
        <w:top w:val="none" w:sz="0" w:space="0" w:color="auto"/>
        <w:left w:val="none" w:sz="0" w:space="0" w:color="auto"/>
        <w:bottom w:val="none" w:sz="0" w:space="0" w:color="auto"/>
        <w:right w:val="none" w:sz="0" w:space="0" w:color="auto"/>
      </w:divBdr>
    </w:div>
    <w:div w:id="637881677">
      <w:bodyDiv w:val="1"/>
      <w:marLeft w:val="0"/>
      <w:marRight w:val="0"/>
      <w:marTop w:val="0"/>
      <w:marBottom w:val="0"/>
      <w:divBdr>
        <w:top w:val="none" w:sz="0" w:space="0" w:color="auto"/>
        <w:left w:val="none" w:sz="0" w:space="0" w:color="auto"/>
        <w:bottom w:val="none" w:sz="0" w:space="0" w:color="auto"/>
        <w:right w:val="none" w:sz="0" w:space="0" w:color="auto"/>
      </w:divBdr>
    </w:div>
    <w:div w:id="962004839">
      <w:bodyDiv w:val="1"/>
      <w:marLeft w:val="0"/>
      <w:marRight w:val="0"/>
      <w:marTop w:val="0"/>
      <w:marBottom w:val="0"/>
      <w:divBdr>
        <w:top w:val="none" w:sz="0" w:space="0" w:color="auto"/>
        <w:left w:val="none" w:sz="0" w:space="0" w:color="auto"/>
        <w:bottom w:val="none" w:sz="0" w:space="0" w:color="auto"/>
        <w:right w:val="none" w:sz="0" w:space="0" w:color="auto"/>
      </w:divBdr>
    </w:div>
    <w:div w:id="967665463">
      <w:bodyDiv w:val="1"/>
      <w:marLeft w:val="0"/>
      <w:marRight w:val="0"/>
      <w:marTop w:val="0"/>
      <w:marBottom w:val="0"/>
      <w:divBdr>
        <w:top w:val="none" w:sz="0" w:space="0" w:color="auto"/>
        <w:left w:val="none" w:sz="0" w:space="0" w:color="auto"/>
        <w:bottom w:val="none" w:sz="0" w:space="0" w:color="auto"/>
        <w:right w:val="none" w:sz="0" w:space="0" w:color="auto"/>
      </w:divBdr>
    </w:div>
    <w:div w:id="1044447975">
      <w:bodyDiv w:val="1"/>
      <w:marLeft w:val="0"/>
      <w:marRight w:val="0"/>
      <w:marTop w:val="0"/>
      <w:marBottom w:val="0"/>
      <w:divBdr>
        <w:top w:val="none" w:sz="0" w:space="0" w:color="auto"/>
        <w:left w:val="none" w:sz="0" w:space="0" w:color="auto"/>
        <w:bottom w:val="none" w:sz="0" w:space="0" w:color="auto"/>
        <w:right w:val="none" w:sz="0" w:space="0" w:color="auto"/>
      </w:divBdr>
    </w:div>
    <w:div w:id="1066757586">
      <w:bodyDiv w:val="1"/>
      <w:marLeft w:val="0"/>
      <w:marRight w:val="0"/>
      <w:marTop w:val="0"/>
      <w:marBottom w:val="0"/>
      <w:divBdr>
        <w:top w:val="none" w:sz="0" w:space="0" w:color="auto"/>
        <w:left w:val="none" w:sz="0" w:space="0" w:color="auto"/>
        <w:bottom w:val="none" w:sz="0" w:space="0" w:color="auto"/>
        <w:right w:val="none" w:sz="0" w:space="0" w:color="auto"/>
      </w:divBdr>
    </w:div>
    <w:div w:id="1211040703">
      <w:bodyDiv w:val="1"/>
      <w:marLeft w:val="0"/>
      <w:marRight w:val="0"/>
      <w:marTop w:val="0"/>
      <w:marBottom w:val="0"/>
      <w:divBdr>
        <w:top w:val="none" w:sz="0" w:space="0" w:color="auto"/>
        <w:left w:val="none" w:sz="0" w:space="0" w:color="auto"/>
        <w:bottom w:val="none" w:sz="0" w:space="0" w:color="auto"/>
        <w:right w:val="none" w:sz="0" w:space="0" w:color="auto"/>
      </w:divBdr>
    </w:div>
    <w:div w:id="1251813488">
      <w:bodyDiv w:val="1"/>
      <w:marLeft w:val="0"/>
      <w:marRight w:val="0"/>
      <w:marTop w:val="0"/>
      <w:marBottom w:val="0"/>
      <w:divBdr>
        <w:top w:val="none" w:sz="0" w:space="0" w:color="auto"/>
        <w:left w:val="none" w:sz="0" w:space="0" w:color="auto"/>
        <w:bottom w:val="none" w:sz="0" w:space="0" w:color="auto"/>
        <w:right w:val="none" w:sz="0" w:space="0" w:color="auto"/>
      </w:divBdr>
    </w:div>
    <w:div w:id="1258058158">
      <w:bodyDiv w:val="1"/>
      <w:marLeft w:val="0"/>
      <w:marRight w:val="0"/>
      <w:marTop w:val="0"/>
      <w:marBottom w:val="0"/>
      <w:divBdr>
        <w:top w:val="none" w:sz="0" w:space="0" w:color="auto"/>
        <w:left w:val="none" w:sz="0" w:space="0" w:color="auto"/>
        <w:bottom w:val="none" w:sz="0" w:space="0" w:color="auto"/>
        <w:right w:val="none" w:sz="0" w:space="0" w:color="auto"/>
      </w:divBdr>
    </w:div>
    <w:div w:id="1472989087">
      <w:bodyDiv w:val="1"/>
      <w:marLeft w:val="0"/>
      <w:marRight w:val="0"/>
      <w:marTop w:val="0"/>
      <w:marBottom w:val="0"/>
      <w:divBdr>
        <w:top w:val="none" w:sz="0" w:space="0" w:color="auto"/>
        <w:left w:val="none" w:sz="0" w:space="0" w:color="auto"/>
        <w:bottom w:val="none" w:sz="0" w:space="0" w:color="auto"/>
        <w:right w:val="none" w:sz="0" w:space="0" w:color="auto"/>
      </w:divBdr>
    </w:div>
    <w:div w:id="1708407163">
      <w:bodyDiv w:val="1"/>
      <w:marLeft w:val="0"/>
      <w:marRight w:val="0"/>
      <w:marTop w:val="0"/>
      <w:marBottom w:val="0"/>
      <w:divBdr>
        <w:top w:val="none" w:sz="0" w:space="0" w:color="auto"/>
        <w:left w:val="none" w:sz="0" w:space="0" w:color="auto"/>
        <w:bottom w:val="none" w:sz="0" w:space="0" w:color="auto"/>
        <w:right w:val="none" w:sz="0" w:space="0" w:color="auto"/>
      </w:divBdr>
    </w:div>
    <w:div w:id="1783571036">
      <w:bodyDiv w:val="1"/>
      <w:marLeft w:val="0"/>
      <w:marRight w:val="0"/>
      <w:marTop w:val="0"/>
      <w:marBottom w:val="0"/>
      <w:divBdr>
        <w:top w:val="none" w:sz="0" w:space="0" w:color="auto"/>
        <w:left w:val="none" w:sz="0" w:space="0" w:color="auto"/>
        <w:bottom w:val="none" w:sz="0" w:space="0" w:color="auto"/>
        <w:right w:val="none" w:sz="0" w:space="0" w:color="auto"/>
      </w:divBdr>
    </w:div>
    <w:div w:id="1812865810">
      <w:bodyDiv w:val="1"/>
      <w:marLeft w:val="0"/>
      <w:marRight w:val="0"/>
      <w:marTop w:val="0"/>
      <w:marBottom w:val="0"/>
      <w:divBdr>
        <w:top w:val="none" w:sz="0" w:space="0" w:color="auto"/>
        <w:left w:val="none" w:sz="0" w:space="0" w:color="auto"/>
        <w:bottom w:val="none" w:sz="0" w:space="0" w:color="auto"/>
        <w:right w:val="none" w:sz="0" w:space="0" w:color="auto"/>
      </w:divBdr>
    </w:div>
    <w:div w:id="1890142958">
      <w:bodyDiv w:val="1"/>
      <w:marLeft w:val="0"/>
      <w:marRight w:val="0"/>
      <w:marTop w:val="0"/>
      <w:marBottom w:val="0"/>
      <w:divBdr>
        <w:top w:val="none" w:sz="0" w:space="0" w:color="auto"/>
        <w:left w:val="none" w:sz="0" w:space="0" w:color="auto"/>
        <w:bottom w:val="none" w:sz="0" w:space="0" w:color="auto"/>
        <w:right w:val="none" w:sz="0" w:space="0" w:color="auto"/>
      </w:divBdr>
    </w:div>
    <w:div w:id="2039771628">
      <w:bodyDiv w:val="1"/>
      <w:marLeft w:val="0"/>
      <w:marRight w:val="0"/>
      <w:marTop w:val="0"/>
      <w:marBottom w:val="0"/>
      <w:divBdr>
        <w:top w:val="none" w:sz="0" w:space="0" w:color="auto"/>
        <w:left w:val="none" w:sz="0" w:space="0" w:color="auto"/>
        <w:bottom w:val="none" w:sz="0" w:space="0" w:color="auto"/>
        <w:right w:val="none" w:sz="0" w:space="0" w:color="auto"/>
      </w:divBdr>
    </w:div>
    <w:div w:id="20885750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659f5fd765a542f7" Type="http://schemas.microsoft.com/office/2019/09/relationships/intelligence" Target="intelligenc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819FD1BE09E4923AF80EF4FDE15EC52"/>
        <w:category>
          <w:name w:val="General"/>
          <w:gallery w:val="placeholder"/>
        </w:category>
        <w:types>
          <w:type w:val="bbPlcHdr"/>
        </w:types>
        <w:behaviors>
          <w:behavior w:val="content"/>
        </w:behaviors>
        <w:guid w:val="{2839CAD9-DF48-40E8-9EC5-F506CEB67408}"/>
      </w:docPartPr>
      <w:docPartBody>
        <w:p w:rsidR="00922AD3" w:rsidRDefault="00E71A9F">
          <w:r w:rsidRPr="00B0528E">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0495"/>
    <w:rsid w:val="00025FA8"/>
    <w:rsid w:val="000342DF"/>
    <w:rsid w:val="000416B3"/>
    <w:rsid w:val="0004371D"/>
    <w:rsid w:val="000462FD"/>
    <w:rsid w:val="00090CCC"/>
    <w:rsid w:val="000C44F5"/>
    <w:rsid w:val="000F5F4B"/>
    <w:rsid w:val="00175533"/>
    <w:rsid w:val="0018788D"/>
    <w:rsid w:val="001D08C1"/>
    <w:rsid w:val="00204ED8"/>
    <w:rsid w:val="00293EF7"/>
    <w:rsid w:val="002B64FF"/>
    <w:rsid w:val="002E024C"/>
    <w:rsid w:val="002F5023"/>
    <w:rsid w:val="003161D7"/>
    <w:rsid w:val="00316FDD"/>
    <w:rsid w:val="00334D4E"/>
    <w:rsid w:val="003356FD"/>
    <w:rsid w:val="00377183"/>
    <w:rsid w:val="00382240"/>
    <w:rsid w:val="004102C1"/>
    <w:rsid w:val="00420803"/>
    <w:rsid w:val="004957CA"/>
    <w:rsid w:val="004F086B"/>
    <w:rsid w:val="00500A2B"/>
    <w:rsid w:val="00517E50"/>
    <w:rsid w:val="005801A1"/>
    <w:rsid w:val="0058288D"/>
    <w:rsid w:val="00590CF3"/>
    <w:rsid w:val="005B62B8"/>
    <w:rsid w:val="005D614B"/>
    <w:rsid w:val="005E1DAB"/>
    <w:rsid w:val="005F7933"/>
    <w:rsid w:val="00601B49"/>
    <w:rsid w:val="00602DD3"/>
    <w:rsid w:val="006047BD"/>
    <w:rsid w:val="0061507A"/>
    <w:rsid w:val="006801B3"/>
    <w:rsid w:val="006C1D23"/>
    <w:rsid w:val="00724B6B"/>
    <w:rsid w:val="00736ECC"/>
    <w:rsid w:val="00742E96"/>
    <w:rsid w:val="007743E0"/>
    <w:rsid w:val="007C4396"/>
    <w:rsid w:val="007C4C70"/>
    <w:rsid w:val="007E5562"/>
    <w:rsid w:val="0080118F"/>
    <w:rsid w:val="00810A55"/>
    <w:rsid w:val="008350F9"/>
    <w:rsid w:val="00840476"/>
    <w:rsid w:val="008C6619"/>
    <w:rsid w:val="008D420E"/>
    <w:rsid w:val="008E3463"/>
    <w:rsid w:val="00922AD3"/>
    <w:rsid w:val="00944794"/>
    <w:rsid w:val="00971A74"/>
    <w:rsid w:val="0098140C"/>
    <w:rsid w:val="0098642F"/>
    <w:rsid w:val="009B5A7E"/>
    <w:rsid w:val="00A4311C"/>
    <w:rsid w:val="00A50EA3"/>
    <w:rsid w:val="00A97534"/>
    <w:rsid w:val="00B43CDB"/>
    <w:rsid w:val="00B97655"/>
    <w:rsid w:val="00BE5E89"/>
    <w:rsid w:val="00BF5CC0"/>
    <w:rsid w:val="00C34A10"/>
    <w:rsid w:val="00C745B9"/>
    <w:rsid w:val="00C9570A"/>
    <w:rsid w:val="00CD0B52"/>
    <w:rsid w:val="00D10070"/>
    <w:rsid w:val="00D43F44"/>
    <w:rsid w:val="00D46BBF"/>
    <w:rsid w:val="00D47623"/>
    <w:rsid w:val="00DA18B2"/>
    <w:rsid w:val="00DB3D05"/>
    <w:rsid w:val="00DC5AE1"/>
    <w:rsid w:val="00DE47E1"/>
    <w:rsid w:val="00DF0F24"/>
    <w:rsid w:val="00DF7B8A"/>
    <w:rsid w:val="00E2068F"/>
    <w:rsid w:val="00E37F2E"/>
    <w:rsid w:val="00E71A9F"/>
    <w:rsid w:val="00E75D63"/>
    <w:rsid w:val="00E971CB"/>
    <w:rsid w:val="00F45C20"/>
    <w:rsid w:val="00F529A7"/>
    <w:rsid w:val="00FB0293"/>
    <w:rsid w:val="00FB2FED"/>
    <w:rsid w:val="00FD1606"/>
    <w:rsid w:val="00FE14A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E71A9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2019-02-11T00:00:00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9200A7-923D-4900-A13A-E2DB0AC0FF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2A745F-674C-4A1E-BB06-6959CEF7B863}">
  <ds:schemaRefs>
    <ds:schemaRef ds:uri="http://schemas.openxmlformats.org/officeDocument/2006/bibliography"/>
  </ds:schemaRefs>
</ds:datastoreItem>
</file>

<file path=customXml/itemProps4.xml><?xml version="1.0" encoding="utf-8"?>
<ds:datastoreItem xmlns:ds="http://schemas.openxmlformats.org/officeDocument/2006/customXml" ds:itemID="{F4C14649-4B9D-4417-B7FD-B496CDD69B33}">
  <ds:schemaRefs>
    <ds:schemaRef ds:uri="http://schemas.microsoft.com/sharepoint/v3/contenttype/forms"/>
  </ds:schemaRefs>
</ds:datastoreItem>
</file>

<file path=customXml/itemProps5.xml><?xml version="1.0" encoding="utf-8"?>
<ds:datastoreItem xmlns:ds="http://schemas.openxmlformats.org/officeDocument/2006/customXml" ds:itemID="{702B8975-8984-4405-AA1D-8DA4D37FC4C2}">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6351</Words>
  <Characters>34933</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41202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CBD/CP/MOP/10/L.1/Rev.2</dc:subject>
  <dc:creator>SCBD</dc:creator>
  <cp:keywords>Conference of the Parties serving as the meeting of the Parties to the Cartagena Protocol on Biosafety, tenth meeting</cp:keywords>
  <dc:description/>
  <cp:lastModifiedBy>Maria Troitino</cp:lastModifiedBy>
  <cp:revision>4</cp:revision>
  <cp:lastPrinted>2019-03-12T11:24:00Z</cp:lastPrinted>
  <dcterms:created xsi:type="dcterms:W3CDTF">2023-10-19T23:48:00Z</dcterms:created>
  <dcterms:modified xsi:type="dcterms:W3CDTF">2023-10-19T23:52:00Z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d3c7b8af3e8b8651484f4c7aafb0841a55c27152ab054f8eb85e3126927c1af5</vt:lpwstr>
  </property>
</Properties>
</file>