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5F1584" w:rsidRPr="00A82775" w14:paraId="0518E8E8" w14:textId="77777777" w:rsidTr="009A6B68">
        <w:trPr>
          <w:trHeight w:val="850"/>
        </w:trPr>
        <w:tc>
          <w:tcPr>
            <w:tcW w:w="975" w:type="dxa"/>
            <w:tcBorders>
              <w:top w:val="nil"/>
              <w:left w:val="nil"/>
              <w:bottom w:val="nil"/>
              <w:right w:val="nil"/>
            </w:tcBorders>
            <w:vAlign w:val="bottom"/>
          </w:tcPr>
          <w:p w14:paraId="5EEFA490" w14:textId="77777777" w:rsidR="005F1584" w:rsidRPr="00AC4BAD" w:rsidRDefault="005F1584" w:rsidP="009A6B68">
            <w:pPr>
              <w:pStyle w:val="AASmallLogo"/>
              <w:rPr>
                <w:lang w:val="fr-CA"/>
              </w:rPr>
            </w:pPr>
            <w:r w:rsidRPr="00AC4BAD">
              <w:rPr>
                <w:rFonts w:hint="eastAsia"/>
                <w:noProof/>
                <w:lang w:val="fr-CA"/>
              </w:rPr>
              <w:drawing>
                <wp:inline distT="0" distB="0" distL="114300" distR="114300" wp14:anchorId="1D3A4269" wp14:editId="5F128797">
                  <wp:extent cx="476250" cy="400050"/>
                  <wp:effectExtent l="0" t="0" r="11430" b="1143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2"/>
                          <a:stretch>
                            <a:fillRect/>
                          </a:stretch>
                        </pic:blipFill>
                        <pic:spPr>
                          <a:xfrm>
                            <a:off x="0" y="0"/>
                            <a:ext cx="476250" cy="400050"/>
                          </a:xfrm>
                          <a:prstGeom prst="rect">
                            <a:avLst/>
                          </a:prstGeom>
                          <a:noFill/>
                          <a:ln w="9525">
                            <a:noFill/>
                          </a:ln>
                        </pic:spPr>
                      </pic:pic>
                    </a:graphicData>
                  </a:graphic>
                </wp:inline>
              </w:drawing>
            </w:r>
            <w:r w:rsidRPr="00AC4BAD">
              <w:rPr>
                <w:lang w:val="fr-CA"/>
              </w:rPr>
              <w:t xml:space="preserve"> </w:t>
            </w:r>
          </w:p>
          <w:p w14:paraId="2A891EB3" w14:textId="77777777" w:rsidR="005F1584" w:rsidRPr="00AC4BAD" w:rsidRDefault="005F1584" w:rsidP="009A6B68">
            <w:pPr>
              <w:pStyle w:val="AASmallLogo"/>
              <w:rPr>
                <w:lang w:val="fr-CA"/>
              </w:rPr>
            </w:pPr>
          </w:p>
        </w:tc>
        <w:tc>
          <w:tcPr>
            <w:tcW w:w="1434" w:type="dxa"/>
            <w:tcBorders>
              <w:top w:val="nil"/>
              <w:left w:val="nil"/>
              <w:bottom w:val="nil"/>
              <w:right w:val="nil"/>
            </w:tcBorders>
            <w:noWrap/>
            <w:vAlign w:val="bottom"/>
          </w:tcPr>
          <w:p w14:paraId="696B9290" w14:textId="77777777" w:rsidR="005F1584" w:rsidRPr="00AC4BAD" w:rsidRDefault="005F1584" w:rsidP="009A6B68">
            <w:pPr>
              <w:snapToGrid w:val="0"/>
              <w:jc w:val="left"/>
              <w:rPr>
                <w:b/>
                <w:bCs/>
                <w:sz w:val="20"/>
                <w:szCs w:val="20"/>
                <w:lang w:val="fr-CA"/>
              </w:rPr>
            </w:pPr>
            <w:r w:rsidRPr="00AC4BAD">
              <w:rPr>
                <w:rFonts w:ascii="SimSun" w:hAnsi="SimSun" w:cs="SimSun" w:hint="eastAsia"/>
                <w:b/>
                <w:bCs/>
                <w:sz w:val="20"/>
                <w:szCs w:val="20"/>
                <w:lang w:val="fr-CA" w:bidi="ar"/>
              </w:rPr>
              <w:t>联合国</w:t>
            </w:r>
            <w:r w:rsidRPr="00AC4BAD">
              <w:rPr>
                <w:rFonts w:hint="eastAsia"/>
                <w:noProof/>
                <w:sz w:val="24"/>
                <w:lang w:val="fr-CA" w:bidi="ar"/>
              </w:rPr>
              <w:drawing>
                <wp:inline distT="0" distB="0" distL="114300" distR="114300" wp14:anchorId="64E896B4" wp14:editId="49EA51FB">
                  <wp:extent cx="142875" cy="152400"/>
                  <wp:effectExtent l="0" t="0" r="9525"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13"/>
                          <a:stretch>
                            <a:fillRect/>
                          </a:stretch>
                        </pic:blipFill>
                        <pic:spPr>
                          <a:xfrm>
                            <a:off x="0" y="0"/>
                            <a:ext cx="142875" cy="152400"/>
                          </a:xfrm>
                          <a:prstGeom prst="rect">
                            <a:avLst/>
                          </a:prstGeom>
                          <a:noFill/>
                          <a:ln w="9525">
                            <a:noFill/>
                          </a:ln>
                        </pic:spPr>
                      </pic:pic>
                    </a:graphicData>
                  </a:graphic>
                </wp:inline>
              </w:drawing>
            </w:r>
          </w:p>
          <w:p w14:paraId="5EE2A0D6" w14:textId="77777777" w:rsidR="005F1584" w:rsidRPr="00AC4BAD" w:rsidRDefault="005F1584" w:rsidP="009A6B68">
            <w:pPr>
              <w:snapToGrid w:val="0"/>
              <w:jc w:val="left"/>
              <w:rPr>
                <w:b/>
                <w:bCs/>
                <w:sz w:val="20"/>
                <w:szCs w:val="20"/>
                <w:lang w:val="fr-CA"/>
              </w:rPr>
            </w:pPr>
            <w:r w:rsidRPr="00AC4BAD">
              <w:rPr>
                <w:rFonts w:ascii="SimSun" w:hAnsi="SimSun" w:cs="SimSun" w:hint="eastAsia"/>
                <w:b/>
                <w:bCs/>
                <w:sz w:val="20"/>
                <w:szCs w:val="20"/>
                <w:lang w:val="fr-CA" w:bidi="ar"/>
              </w:rPr>
              <w:t>环境规划署</w:t>
            </w:r>
          </w:p>
          <w:p w14:paraId="37411B9E" w14:textId="77777777" w:rsidR="005F1584" w:rsidRPr="00AC4BAD" w:rsidRDefault="005F1584" w:rsidP="009A6B68">
            <w:pPr>
              <w:pStyle w:val="AASmallLogo"/>
              <w:rPr>
                <w:lang w:val="fr-CA"/>
              </w:rPr>
            </w:pPr>
          </w:p>
          <w:p w14:paraId="57CD4920" w14:textId="77777777" w:rsidR="005F1584" w:rsidRPr="00AC4BAD" w:rsidRDefault="005F1584" w:rsidP="009A6B68">
            <w:pPr>
              <w:pStyle w:val="AASmallLogo"/>
              <w:rPr>
                <w:lang w:val="fr-CA"/>
              </w:rPr>
            </w:pPr>
          </w:p>
        </w:tc>
        <w:tc>
          <w:tcPr>
            <w:tcW w:w="8073" w:type="dxa"/>
            <w:tcBorders>
              <w:top w:val="nil"/>
              <w:left w:val="nil"/>
              <w:bottom w:val="nil"/>
              <w:right w:val="nil"/>
            </w:tcBorders>
            <w:vAlign w:val="bottom"/>
          </w:tcPr>
          <w:p w14:paraId="797B2A76" w14:textId="77777777" w:rsidR="005F1584" w:rsidRPr="00AC4BAD" w:rsidRDefault="005F1584" w:rsidP="009A6B68">
            <w:pPr>
              <w:pStyle w:val="CBDNormal"/>
              <w:jc w:val="right"/>
              <w:rPr>
                <w:sz w:val="24"/>
                <w:lang w:val="fr-CA"/>
              </w:rPr>
            </w:pPr>
            <w:r w:rsidRPr="00AC4BAD">
              <w:rPr>
                <w:sz w:val="40"/>
                <w:szCs w:val="40"/>
                <w:lang w:val="fr-CA"/>
              </w:rPr>
              <w:t>CBD</w:t>
            </w:r>
            <w:r w:rsidRPr="00AC4BAD">
              <w:rPr>
                <w:sz w:val="24"/>
                <w:lang w:val="fr-CA"/>
              </w:rPr>
              <w:t>/SBI/7/9</w:t>
            </w:r>
          </w:p>
        </w:tc>
      </w:tr>
    </w:tbl>
    <w:p w14:paraId="27ABBF76" w14:textId="77777777" w:rsidR="005F1584" w:rsidRPr="00AC4BAD" w:rsidRDefault="005F1584" w:rsidP="005F1584">
      <w:pPr>
        <w:pStyle w:val="AISpacer"/>
      </w:pPr>
      <w:r w:rsidRPr="00AC4BAD">
        <w:t xml:space="preserve"> </w:t>
      </w:r>
    </w:p>
    <w:tbl>
      <w:tblPr>
        <w:tblW w:w="10482" w:type="dxa"/>
        <w:tblInd w:w="-283" w:type="dxa"/>
        <w:tblBorders>
          <w:top w:val="single" w:sz="8" w:space="0" w:color="auto"/>
          <w:left w:val="none" w:sz="6" w:space="0" w:color="auto"/>
          <w:bottom w:val="single" w:sz="12" w:space="0" w:color="auto"/>
          <w:right w:val="none" w:sz="6" w:space="0" w:color="auto"/>
          <w:insideH w:val="outset" w:sz="6" w:space="0" w:color="auto"/>
          <w:insideV w:val="outset" w:sz="6" w:space="0" w:color="auto"/>
        </w:tblBorders>
        <w:tblLayout w:type="fixed"/>
        <w:tblLook w:val="04A0" w:firstRow="1" w:lastRow="0" w:firstColumn="1" w:lastColumn="0" w:noHBand="0" w:noVBand="1"/>
      </w:tblPr>
      <w:tblGrid>
        <w:gridCol w:w="7370"/>
        <w:gridCol w:w="3112"/>
      </w:tblGrid>
      <w:tr w:rsidR="005F1584" w:rsidRPr="00A82775" w14:paraId="0B5B93E5" w14:textId="77777777" w:rsidTr="009A6B68">
        <w:trPr>
          <w:trHeight w:val="1814"/>
        </w:trPr>
        <w:tc>
          <w:tcPr>
            <w:tcW w:w="7370" w:type="dxa"/>
            <w:tcBorders>
              <w:top w:val="single" w:sz="8" w:space="0" w:color="auto"/>
              <w:left w:val="nil"/>
              <w:bottom w:val="single" w:sz="12" w:space="0" w:color="auto"/>
              <w:right w:val="nil"/>
            </w:tcBorders>
          </w:tcPr>
          <w:p w14:paraId="02DCC7AB" w14:textId="77777777" w:rsidR="005F1584" w:rsidRPr="00AC4BAD" w:rsidRDefault="005F1584" w:rsidP="009A6B68">
            <w:pPr>
              <w:pStyle w:val="ACLargeLogo"/>
              <w:contextualSpacing w:val="0"/>
              <w:rPr>
                <w:lang w:val="fr-CA"/>
              </w:rPr>
            </w:pPr>
            <w:r w:rsidRPr="00AC4BAD">
              <w:rPr>
                <w:rFonts w:hint="eastAsia"/>
                <w:noProof/>
                <w:lang w:val="fr-CA"/>
              </w:rPr>
              <w:drawing>
                <wp:inline distT="0" distB="0" distL="114300" distR="114300" wp14:anchorId="3D57D4D0" wp14:editId="6D8C061A">
                  <wp:extent cx="2400300" cy="857250"/>
                  <wp:effectExtent l="0" t="0" r="7620" b="1143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4"/>
                          <a:stretch>
                            <a:fillRect/>
                          </a:stretch>
                        </pic:blipFill>
                        <pic:spPr>
                          <a:xfrm>
                            <a:off x="0" y="0"/>
                            <a:ext cx="2400300" cy="857250"/>
                          </a:xfrm>
                          <a:prstGeom prst="rect">
                            <a:avLst/>
                          </a:prstGeom>
                          <a:noFill/>
                          <a:ln w="9525">
                            <a:noFill/>
                          </a:ln>
                        </pic:spPr>
                      </pic:pic>
                    </a:graphicData>
                  </a:graphic>
                </wp:inline>
              </w:drawing>
            </w:r>
            <w:r w:rsidRPr="00AC4BAD">
              <w:rPr>
                <w:lang w:val="fr-CA"/>
              </w:rPr>
              <w:t xml:space="preserve"> </w:t>
            </w:r>
          </w:p>
          <w:p w14:paraId="6AE4AEA1" w14:textId="77777777" w:rsidR="005F1584" w:rsidRPr="00AC4BAD" w:rsidRDefault="005F1584" w:rsidP="009A6B68">
            <w:pPr>
              <w:pStyle w:val="ACLargeLogo"/>
              <w:contextualSpacing w:val="0"/>
              <w:rPr>
                <w:lang w:val="fr-CA"/>
              </w:rPr>
            </w:pPr>
          </w:p>
        </w:tc>
        <w:tc>
          <w:tcPr>
            <w:tcW w:w="3112" w:type="dxa"/>
            <w:tcBorders>
              <w:top w:val="single" w:sz="8" w:space="0" w:color="auto"/>
              <w:left w:val="nil"/>
              <w:bottom w:val="single" w:sz="12" w:space="0" w:color="auto"/>
              <w:right w:val="nil"/>
            </w:tcBorders>
          </w:tcPr>
          <w:p w14:paraId="620C4994" w14:textId="77777777" w:rsidR="005F1584" w:rsidRPr="00AC4BAD" w:rsidRDefault="005F1584" w:rsidP="009A6B68">
            <w:pPr>
              <w:pStyle w:val="AEDistrNormal"/>
              <w:rPr>
                <w:sz w:val="24"/>
                <w:lang w:val="fr-CA"/>
              </w:rPr>
            </w:pPr>
            <w:r w:rsidRPr="00AC4BAD">
              <w:rPr>
                <w:sz w:val="24"/>
                <w:lang w:val="fr-CA"/>
              </w:rPr>
              <w:t xml:space="preserve">Distr.: General </w:t>
            </w:r>
          </w:p>
          <w:p w14:paraId="0C6FA3B0" w14:textId="77777777" w:rsidR="005F1584" w:rsidRPr="00AC4BAD" w:rsidRDefault="005F1584" w:rsidP="009A6B68">
            <w:pPr>
              <w:pStyle w:val="AEDistrNormal"/>
              <w:rPr>
                <w:sz w:val="24"/>
                <w:lang w:val="fr-CA"/>
              </w:rPr>
            </w:pPr>
            <w:r w:rsidRPr="00AC4BAD">
              <w:rPr>
                <w:sz w:val="24"/>
                <w:lang w:val="fr-CA"/>
              </w:rPr>
              <w:t>3 June 2026</w:t>
            </w:r>
          </w:p>
          <w:p w14:paraId="31E74026" w14:textId="77777777" w:rsidR="005F1584" w:rsidRPr="00AC4BAD" w:rsidRDefault="005F1584" w:rsidP="009A6B68">
            <w:pPr>
              <w:pStyle w:val="AEDistrNormal"/>
              <w:rPr>
                <w:sz w:val="24"/>
                <w:lang w:val="fr-CA"/>
              </w:rPr>
            </w:pPr>
            <w:r w:rsidRPr="00AC4BAD">
              <w:rPr>
                <w:sz w:val="24"/>
                <w:lang w:val="fr-CA"/>
              </w:rPr>
              <w:t>Chinese</w:t>
            </w:r>
          </w:p>
          <w:p w14:paraId="0F94C7E7" w14:textId="77777777" w:rsidR="005F1584" w:rsidRPr="00AC4BAD" w:rsidRDefault="005F1584" w:rsidP="00CE5E17">
            <w:pPr>
              <w:pStyle w:val="AEDistrNormal"/>
              <w:rPr>
                <w:sz w:val="24"/>
                <w:lang w:val="fr-CA"/>
              </w:rPr>
            </w:pPr>
            <w:r w:rsidRPr="00AC4BAD">
              <w:rPr>
                <w:sz w:val="24"/>
                <w:lang w:val="fr-CA"/>
              </w:rPr>
              <w:t xml:space="preserve">Original: English </w:t>
            </w:r>
          </w:p>
          <w:p w14:paraId="59C59114" w14:textId="77777777" w:rsidR="005F1584" w:rsidRPr="00AC4BAD" w:rsidRDefault="005F1584" w:rsidP="009A6B68">
            <w:pPr>
              <w:pStyle w:val="AEDistrNormal6pt"/>
              <w:rPr>
                <w:sz w:val="24"/>
                <w:lang w:val="fr-CA"/>
              </w:rPr>
            </w:pPr>
          </w:p>
        </w:tc>
      </w:tr>
    </w:tbl>
    <w:p w14:paraId="534573AF" w14:textId="77777777" w:rsidR="005F1584" w:rsidRPr="00AC4BAD" w:rsidRDefault="005F1584" w:rsidP="005F1584">
      <w:pPr>
        <w:pStyle w:val="AISpacer"/>
      </w:pPr>
      <w:r w:rsidRPr="00AC4BAD">
        <w:t xml:space="preserve"> </w:t>
      </w:r>
    </w:p>
    <w:tbl>
      <w:tblPr>
        <w:tblW w:w="10482" w:type="dxa"/>
        <w:tblInd w:w="-458" w:type="dxa"/>
        <w:tblLayout w:type="fixed"/>
        <w:tblCellMar>
          <w:left w:w="283" w:type="dxa"/>
        </w:tblCellMar>
        <w:tblLook w:val="04A0" w:firstRow="1" w:lastRow="0" w:firstColumn="1" w:lastColumn="0" w:noHBand="0" w:noVBand="1"/>
      </w:tblPr>
      <w:tblGrid>
        <w:gridCol w:w="6094"/>
        <w:gridCol w:w="4388"/>
      </w:tblGrid>
      <w:tr w:rsidR="005F1584" w:rsidRPr="00A82775" w14:paraId="31D2CF56" w14:textId="77777777" w:rsidTr="009A6B68">
        <w:trPr>
          <w:trHeight w:val="57"/>
        </w:trPr>
        <w:tc>
          <w:tcPr>
            <w:tcW w:w="6094" w:type="dxa"/>
            <w:tcBorders>
              <w:top w:val="nil"/>
              <w:left w:val="nil"/>
              <w:bottom w:val="nil"/>
              <w:right w:val="nil"/>
            </w:tcBorders>
          </w:tcPr>
          <w:p w14:paraId="2A73E2F5" w14:textId="77777777" w:rsidR="005F1584" w:rsidRPr="00AC4BAD" w:rsidRDefault="005F1584" w:rsidP="009A6B68">
            <w:pPr>
              <w:pStyle w:val="AFCorN12Bold"/>
              <w:rPr>
                <w:szCs w:val="24"/>
                <w:lang w:val="fr-CA" w:eastAsia="zh-CN"/>
              </w:rPr>
            </w:pPr>
            <w:r w:rsidRPr="00AC4BAD">
              <w:rPr>
                <w:rFonts w:ascii="SimSun" w:hAnsi="SimSun" w:cs="SimSun" w:hint="eastAsia"/>
                <w:szCs w:val="24"/>
                <w:lang w:val="fr-CA" w:eastAsia="zh-CN"/>
              </w:rPr>
              <w:t>执行问题附属机构</w:t>
            </w:r>
            <w:r w:rsidRPr="00AC4BAD">
              <w:rPr>
                <w:rFonts w:hint="eastAsia"/>
                <w:szCs w:val="24"/>
                <w:lang w:val="fr-CA" w:eastAsia="zh-CN"/>
              </w:rPr>
              <w:t xml:space="preserve"> </w:t>
            </w:r>
          </w:p>
          <w:p w14:paraId="3AD69770" w14:textId="77777777" w:rsidR="005F1584" w:rsidRPr="00AC4BAD" w:rsidRDefault="005F1584" w:rsidP="009A6B68">
            <w:pPr>
              <w:pStyle w:val="AFCorNBold"/>
              <w:rPr>
                <w:sz w:val="24"/>
                <w:szCs w:val="24"/>
                <w:lang w:val="fr-CA" w:eastAsia="zh-CN"/>
              </w:rPr>
            </w:pPr>
            <w:r w:rsidRPr="00AC4BAD">
              <w:rPr>
                <w:rFonts w:ascii="SimSun" w:hAnsi="SimSun" w:cs="SimSun" w:hint="eastAsia"/>
                <w:sz w:val="24"/>
                <w:szCs w:val="24"/>
                <w:lang w:val="fr-CA" w:eastAsia="zh-CN"/>
              </w:rPr>
              <w:t>第七次会议</w:t>
            </w:r>
            <w:r w:rsidRPr="00AC4BAD">
              <w:rPr>
                <w:rFonts w:hint="eastAsia"/>
                <w:sz w:val="24"/>
                <w:szCs w:val="24"/>
                <w:lang w:val="fr-CA" w:eastAsia="zh-CN"/>
              </w:rPr>
              <w:t xml:space="preserve"> </w:t>
            </w:r>
          </w:p>
          <w:p w14:paraId="557C73A3" w14:textId="77777777" w:rsidR="005F1584" w:rsidRPr="00AC4BAD" w:rsidRDefault="005F1584" w:rsidP="009A6B68">
            <w:pPr>
              <w:pStyle w:val="AFCorNNormal"/>
              <w:rPr>
                <w:sz w:val="24"/>
                <w:szCs w:val="24"/>
                <w:lang w:val="fr-CA" w:eastAsia="zh-CN"/>
              </w:rPr>
            </w:pPr>
            <w:r w:rsidRPr="00AC4BAD">
              <w:rPr>
                <w:kern w:val="22"/>
                <w:sz w:val="24"/>
                <w:szCs w:val="24"/>
                <w:lang w:val="fr-CA" w:eastAsia="zh-CN"/>
              </w:rPr>
              <w:t>2026</w:t>
            </w:r>
            <w:r w:rsidRPr="00AC4BAD">
              <w:rPr>
                <w:rFonts w:ascii="SimSun" w:hAnsi="SimSun" w:cs="SimSun" w:hint="eastAsia"/>
                <w:kern w:val="22"/>
                <w:sz w:val="24"/>
                <w:szCs w:val="24"/>
                <w:lang w:val="fr-CA" w:eastAsia="zh-CN"/>
              </w:rPr>
              <w:t>年</w:t>
            </w:r>
            <w:r w:rsidRPr="00AC4BAD">
              <w:rPr>
                <w:kern w:val="22"/>
                <w:sz w:val="24"/>
                <w:szCs w:val="24"/>
                <w:lang w:val="fr-CA" w:eastAsia="zh-CN"/>
              </w:rPr>
              <w:t>8</w:t>
            </w:r>
            <w:r w:rsidRPr="00AC4BAD">
              <w:rPr>
                <w:rFonts w:ascii="SimSun" w:hAnsi="SimSun" w:cs="SimSun" w:hint="eastAsia"/>
                <w:kern w:val="22"/>
                <w:sz w:val="24"/>
                <w:szCs w:val="24"/>
                <w:lang w:val="fr-CA" w:eastAsia="zh-CN"/>
              </w:rPr>
              <w:t>月</w:t>
            </w:r>
            <w:r w:rsidRPr="00AC4BAD">
              <w:rPr>
                <w:kern w:val="22"/>
                <w:sz w:val="24"/>
                <w:szCs w:val="24"/>
                <w:lang w:val="fr-CA" w:eastAsia="zh-CN"/>
              </w:rPr>
              <w:t>4</w:t>
            </w:r>
            <w:r w:rsidRPr="00AC4BAD">
              <w:rPr>
                <w:rFonts w:ascii="SimSun" w:hAnsi="SimSun" w:cs="SimSun" w:hint="eastAsia"/>
                <w:kern w:val="22"/>
                <w:sz w:val="24"/>
                <w:szCs w:val="24"/>
                <w:lang w:val="fr-CA" w:eastAsia="zh-CN"/>
              </w:rPr>
              <w:t>日至</w:t>
            </w:r>
            <w:r w:rsidRPr="00AC4BAD">
              <w:rPr>
                <w:kern w:val="22"/>
                <w:sz w:val="24"/>
                <w:szCs w:val="24"/>
                <w:lang w:val="fr-CA" w:eastAsia="zh-CN"/>
              </w:rPr>
              <w:t>12</w:t>
            </w:r>
            <w:r w:rsidRPr="00AC4BAD">
              <w:rPr>
                <w:rFonts w:ascii="SimSun" w:hAnsi="SimSun" w:cs="SimSun" w:hint="eastAsia"/>
                <w:kern w:val="22"/>
                <w:sz w:val="24"/>
                <w:szCs w:val="24"/>
                <w:lang w:val="fr-CA" w:eastAsia="zh-CN"/>
              </w:rPr>
              <w:t>日，内罗毕</w:t>
            </w:r>
          </w:p>
          <w:p w14:paraId="226D06CA" w14:textId="778DB5A1" w:rsidR="005F1584" w:rsidRPr="00AC4BAD" w:rsidRDefault="005F1584" w:rsidP="009A6B68">
            <w:pPr>
              <w:jc w:val="left"/>
              <w:rPr>
                <w:sz w:val="24"/>
                <w:szCs w:val="24"/>
                <w:lang w:val="fr-CA" w:eastAsia="zh-CN"/>
              </w:rPr>
            </w:pPr>
            <w:r w:rsidRPr="00AC4BAD">
              <w:rPr>
                <w:rFonts w:ascii="SimSun" w:hAnsi="SimSun" w:cs="SimSun" w:hint="eastAsia"/>
                <w:sz w:val="24"/>
                <w:szCs w:val="24"/>
                <w:lang w:val="fr-CA" w:eastAsia="zh-CN" w:bidi="ar"/>
              </w:rPr>
              <w:t>临时议程</w:t>
            </w:r>
            <w:r w:rsidR="00ED162B" w:rsidRPr="00A82775">
              <w:rPr>
                <w:rStyle w:val="FootnoteReference"/>
                <w:sz w:val="24"/>
                <w:lang w:eastAsia="zh-CN"/>
              </w:rPr>
              <w:footnoteReference w:customMarkFollows="1" w:id="1"/>
              <w:t>*</w:t>
            </w:r>
            <w:r w:rsidRPr="00AC4BAD">
              <w:rPr>
                <w:rFonts w:ascii="SimSun" w:hAnsi="SimSun" w:cs="SimSun" w:hint="eastAsia"/>
                <w:sz w:val="24"/>
                <w:szCs w:val="24"/>
                <w:lang w:val="fr-CA" w:eastAsia="zh-CN" w:bidi="ar"/>
              </w:rPr>
              <w:t>项目</w:t>
            </w:r>
            <w:r w:rsidRPr="00AC4BAD">
              <w:rPr>
                <w:sz w:val="24"/>
                <w:szCs w:val="24"/>
                <w:lang w:val="fr-CA" w:eastAsia="zh-CN" w:bidi="ar"/>
              </w:rPr>
              <w:t>9</w:t>
            </w:r>
          </w:p>
          <w:p w14:paraId="5A98CC78" w14:textId="398051AA" w:rsidR="005F1584" w:rsidRPr="00A82775" w:rsidRDefault="005F1584" w:rsidP="005D0F84">
            <w:pPr>
              <w:pStyle w:val="AFCorNBold"/>
              <w:ind w:rightChars="319" w:right="702"/>
              <w:rPr>
                <w:sz w:val="24"/>
                <w:lang w:val="fr-CA" w:eastAsia="zh-CN"/>
              </w:rPr>
            </w:pPr>
            <w:r w:rsidRPr="00AC4BAD">
              <w:rPr>
                <w:rFonts w:ascii="SimSun" w:hAnsi="SimSun" w:cs="SimSun" w:hint="eastAsia"/>
                <w:sz w:val="24"/>
                <w:szCs w:val="24"/>
                <w:lang w:val="fr-CA" w:eastAsia="zh-CN"/>
              </w:rPr>
              <w:t>与次国家政府、城市和其他地方当局互动，加强执行《昆明</w:t>
            </w:r>
            <w:r w:rsidRPr="00AC4BAD">
              <w:rPr>
                <w:sz w:val="24"/>
                <w:szCs w:val="24"/>
                <w:lang w:val="fr-CA" w:eastAsia="zh-CN"/>
              </w:rPr>
              <w:t>-</w:t>
            </w:r>
            <w:r w:rsidRPr="00AC4BAD">
              <w:rPr>
                <w:rFonts w:ascii="SimSun" w:hAnsi="SimSun" w:cs="SimSun" w:hint="eastAsia"/>
                <w:sz w:val="24"/>
                <w:szCs w:val="24"/>
                <w:lang w:val="fr-CA" w:eastAsia="zh-CN"/>
              </w:rPr>
              <w:t>蒙特利尔全球生物多样性框架》</w:t>
            </w:r>
          </w:p>
        </w:tc>
        <w:tc>
          <w:tcPr>
            <w:tcW w:w="4388" w:type="dxa"/>
            <w:tcBorders>
              <w:top w:val="nil"/>
              <w:left w:val="nil"/>
              <w:bottom w:val="nil"/>
              <w:right w:val="nil"/>
            </w:tcBorders>
          </w:tcPr>
          <w:p w14:paraId="32E90E35" w14:textId="77777777" w:rsidR="005F1584" w:rsidRPr="00AC4BAD" w:rsidRDefault="005F1584" w:rsidP="009A6B68">
            <w:pPr>
              <w:pStyle w:val="CBDNormal"/>
              <w:jc w:val="left"/>
              <w:rPr>
                <w:sz w:val="24"/>
                <w:lang w:val="fr-CA" w:eastAsia="zh-CN"/>
              </w:rPr>
            </w:pPr>
          </w:p>
        </w:tc>
      </w:tr>
    </w:tbl>
    <w:p w14:paraId="7F68E60A" w14:textId="4C9E35BE" w:rsidR="005F1584" w:rsidRPr="00AC4BAD" w:rsidRDefault="005F1584" w:rsidP="00CE5E17">
      <w:pPr>
        <w:pStyle w:val="CBDTitle"/>
        <w:tabs>
          <w:tab w:val="clear" w:pos="567"/>
          <w:tab w:val="clear" w:pos="1134"/>
          <w:tab w:val="clear" w:pos="1701"/>
          <w:tab w:val="clear" w:pos="2268"/>
          <w:tab w:val="clear" w:pos="2835"/>
          <w:tab w:val="clear" w:pos="3402"/>
        </w:tabs>
        <w:rPr>
          <w:rFonts w:eastAsia="SimHei"/>
          <w:b w:val="0"/>
          <w:bCs/>
          <w:lang w:eastAsia="zh-CN"/>
        </w:rPr>
      </w:pPr>
      <w:r w:rsidRPr="004772E2">
        <w:rPr>
          <w:rFonts w:eastAsia="SimHei" w:hint="eastAsia"/>
          <w:b w:val="0"/>
          <w:bCs/>
          <w:lang w:eastAsia="zh-CN"/>
        </w:rPr>
        <w:t>审查次国家和地方政府在执行《昆明</w:t>
      </w:r>
      <w:r w:rsidRPr="004772E2">
        <w:rPr>
          <w:rFonts w:eastAsia="SimHei"/>
          <w:b w:val="0"/>
          <w:bCs/>
          <w:lang w:eastAsia="zh-CN"/>
        </w:rPr>
        <w:t>-</w:t>
      </w:r>
      <w:r w:rsidRPr="004772E2">
        <w:rPr>
          <w:rFonts w:eastAsia="SimHei" w:hint="eastAsia"/>
          <w:b w:val="0"/>
          <w:bCs/>
          <w:lang w:eastAsia="zh-CN"/>
        </w:rPr>
        <w:t>蒙特利尔全球生物多样性框架》中的作用</w:t>
      </w:r>
      <w:r w:rsidR="00ED162B" w:rsidRPr="00AC4BAD">
        <w:rPr>
          <w:rStyle w:val="FootnoteReference"/>
          <w:lang w:eastAsia="zh-CN"/>
        </w:rPr>
        <w:footnoteReference w:customMarkFollows="1" w:id="2"/>
        <w:t>**</w:t>
      </w:r>
    </w:p>
    <w:p w14:paraId="764DF8A1" w14:textId="77777777" w:rsidR="005F1584" w:rsidRPr="00AC4BAD" w:rsidRDefault="005F1584" w:rsidP="005F1584">
      <w:pPr>
        <w:pStyle w:val="CBDSubTitle"/>
        <w:rPr>
          <w:sz w:val="24"/>
        </w:rPr>
      </w:pPr>
      <w:r w:rsidRPr="00AC4BAD">
        <w:rPr>
          <w:rFonts w:hint="eastAsia"/>
          <w:sz w:val="24"/>
        </w:rPr>
        <w:t>秘书处的说明</w:t>
      </w:r>
    </w:p>
    <w:p w14:paraId="28482104" w14:textId="0E81871B" w:rsidR="005F1584" w:rsidRPr="00AC4BAD" w:rsidRDefault="005F1584" w:rsidP="005F1584">
      <w:pPr>
        <w:pStyle w:val="CBDH1"/>
      </w:pPr>
      <w:r w:rsidRPr="00AC4BAD">
        <w:rPr>
          <w:rFonts w:ascii="SimSun" w:hAnsi="SimSun" w:cs="SimSun" w:hint="eastAsia"/>
        </w:rPr>
        <w:t>一</w:t>
      </w:r>
      <w:r w:rsidRPr="00AC4BAD">
        <w:t>.</w:t>
      </w:r>
      <w:r w:rsidRPr="00AC4BAD">
        <w:tab/>
      </w:r>
      <w:r w:rsidRPr="00AC4BAD">
        <w:rPr>
          <w:rFonts w:ascii="SimSun" w:hAnsi="SimSun" w:cs="SimSun" w:hint="eastAsia"/>
        </w:rPr>
        <w:t>导言</w:t>
      </w:r>
    </w:p>
    <w:p w14:paraId="722758E9"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在第</w:t>
      </w:r>
      <w:hyperlink r:id="rId15" w:history="1">
        <w:r w:rsidRPr="00AC4BAD">
          <w:rPr>
            <w:rStyle w:val="Hyperlink"/>
            <w:sz w:val="24"/>
            <w:lang w:eastAsia="zh-CN"/>
          </w:rPr>
          <w:t>15/12</w:t>
        </w:r>
      </w:hyperlink>
      <w:r w:rsidRPr="00AC4BAD">
        <w:rPr>
          <w:rFonts w:ascii="SimSun" w:hAnsi="SimSun" w:cs="SimSun" w:hint="eastAsia"/>
          <w:sz w:val="24"/>
          <w:lang w:eastAsia="zh-CN"/>
        </w:rPr>
        <w:t>号决定第</w:t>
      </w:r>
      <w:r w:rsidRPr="00AC4BAD">
        <w:rPr>
          <w:sz w:val="24"/>
          <w:lang w:eastAsia="zh-CN"/>
        </w:rPr>
        <w:t>7</w:t>
      </w:r>
      <w:r w:rsidRPr="00AC4BAD">
        <w:rPr>
          <w:rFonts w:ascii="SimSun" w:hAnsi="SimSun" w:cs="SimSun" w:hint="eastAsia"/>
          <w:sz w:val="24"/>
          <w:lang w:eastAsia="zh-CN"/>
        </w:rPr>
        <w:t>段中，缔约方大会请执行秘书在资源允许的情况下，对次国家政府、城市和其他地方当局在实现《公约》及其议定书和《昆明</w:t>
      </w:r>
      <w:r w:rsidRPr="00AC4BAD">
        <w:rPr>
          <w:sz w:val="24"/>
          <w:lang w:eastAsia="zh-CN"/>
        </w:rPr>
        <w:t>-</w:t>
      </w:r>
      <w:r w:rsidRPr="00AC4BAD">
        <w:rPr>
          <w:rFonts w:ascii="SimSun" w:hAnsi="SimSun" w:cs="SimSun" w:hint="eastAsia"/>
          <w:sz w:val="24"/>
          <w:lang w:eastAsia="zh-CN"/>
        </w:rPr>
        <w:t>蒙特利尔全球生物多样性框架》的目标方面的作用进行一次审查，将审查报告提交缔约方大会第十七届会议之前举行的一次执行问题附属机构会议审议。</w:t>
      </w:r>
    </w:p>
    <w:p w14:paraId="6A8AE744" w14:textId="0360AD29" w:rsidR="005F1584" w:rsidRPr="00AC4BAD" w:rsidRDefault="005F1584" w:rsidP="00F82CD3">
      <w:pPr>
        <w:pStyle w:val="CBDNormalNumber"/>
        <w:numPr>
          <w:ilvl w:val="0"/>
          <w:numId w:val="26"/>
        </w:numPr>
        <w:spacing w:before="0"/>
        <w:rPr>
          <w:spacing w:val="-4"/>
          <w:sz w:val="24"/>
          <w:lang w:eastAsia="zh-CN"/>
        </w:rPr>
      </w:pPr>
      <w:r w:rsidRPr="00AC4BAD">
        <w:rPr>
          <w:rFonts w:ascii="SimSun" w:hAnsi="SimSun" w:cs="SimSun" w:hint="eastAsia"/>
          <w:spacing w:val="-4"/>
          <w:sz w:val="24"/>
          <w:lang w:eastAsia="zh-CN"/>
        </w:rPr>
        <w:t>根据上述请求，并在资源允许的情况下，秘书处委托地方政府可持续发展网络</w:t>
      </w:r>
      <w:r w:rsidR="00486C02" w:rsidRPr="00A82775">
        <w:rPr>
          <w:rStyle w:val="FootnoteReference"/>
          <w:spacing w:val="-4"/>
          <w:sz w:val="24"/>
        </w:rPr>
        <w:footnoteReference w:id="3"/>
      </w:r>
      <w:r w:rsidR="009A62C0">
        <w:rPr>
          <w:rFonts w:ascii="SimSun" w:hAnsi="SimSun" w:cs="SimSun" w:hint="eastAsia"/>
          <w:spacing w:val="-4"/>
          <w:sz w:val="24"/>
          <w:lang w:eastAsia="zh-CN"/>
        </w:rPr>
        <w:t xml:space="preserve"> </w:t>
      </w:r>
      <w:r w:rsidRPr="00AC4BAD">
        <w:rPr>
          <w:rFonts w:ascii="SimSun" w:hAnsi="SimSun" w:cs="SimSun" w:hint="eastAsia"/>
          <w:spacing w:val="-4"/>
          <w:sz w:val="24"/>
          <w:lang w:eastAsia="zh-CN"/>
        </w:rPr>
        <w:t>在地方政府促进可持续发展网络（地方政府网络）</w:t>
      </w:r>
      <w:r w:rsidR="00486C02" w:rsidRPr="00A82775">
        <w:rPr>
          <w:rStyle w:val="FootnoteReference"/>
          <w:spacing w:val="-4"/>
          <w:sz w:val="24"/>
        </w:rPr>
        <w:footnoteReference w:id="4"/>
      </w:r>
      <w:r w:rsidR="009A62C0">
        <w:rPr>
          <w:rFonts w:ascii="SimSun" w:hAnsi="SimSun" w:cs="SimSun" w:hint="eastAsia"/>
          <w:spacing w:val="-4"/>
          <w:sz w:val="24"/>
          <w:lang w:eastAsia="zh-CN"/>
        </w:rPr>
        <w:t xml:space="preserve"> </w:t>
      </w:r>
      <w:r w:rsidRPr="00AC4BAD">
        <w:rPr>
          <w:rFonts w:ascii="SimSun" w:hAnsi="SimSun" w:cs="SimSun" w:hint="eastAsia"/>
          <w:spacing w:val="-4"/>
          <w:sz w:val="24"/>
          <w:lang w:eastAsia="zh-CN"/>
        </w:rPr>
        <w:t>的协助下，编写这样一份关于次国家行动的审查报告。该审查报告包括对现有信息的桌面评估，涵盖通过相关平台和与次国家和地方生物多样性行动相关的倡议报告的案例研究、承诺和行动。虽然审查报告全文仍在编写中，但本说明附件载有该审查报告的执行摘要，该摘要是与地方政府可持续发展网络合作编写的，以支持执行问题附属机构对相关事项进行审议。</w:t>
      </w:r>
    </w:p>
    <w:p w14:paraId="6DD70905" w14:textId="2EDFA994"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该审查报告高度概述了次国家政府、城市和其他地方当局为支持执行《公约》及《昆明</w:t>
      </w:r>
      <w:r w:rsidRPr="00AC4BAD">
        <w:rPr>
          <w:sz w:val="24"/>
          <w:lang w:eastAsia="zh-CN"/>
        </w:rPr>
        <w:t>-</w:t>
      </w:r>
      <w:r w:rsidRPr="00AC4BAD">
        <w:rPr>
          <w:rFonts w:ascii="SimSun" w:hAnsi="SimSun" w:cs="SimSun" w:hint="eastAsia"/>
          <w:sz w:val="24"/>
          <w:lang w:eastAsia="zh-CN"/>
        </w:rPr>
        <w:t>蒙特利尔全球生物多样性框架》所采取的行动和倡议。该报告还强调了机构支持安排、合作伙伴关系及相关平台（包括“城市自然”</w:t>
      </w:r>
      <w:r w:rsidR="0051099D" w:rsidRPr="00A82775">
        <w:rPr>
          <w:rStyle w:val="FootnoteReference"/>
          <w:sz w:val="24"/>
        </w:rPr>
        <w:footnoteReference w:id="5"/>
      </w:r>
      <w:r w:rsidR="009A62C0">
        <w:rPr>
          <w:rFonts w:ascii="SimSun" w:hAnsi="SimSun" w:cs="SimSun" w:hint="eastAsia"/>
          <w:sz w:val="24"/>
          <w:lang w:eastAsia="zh-CN"/>
        </w:rPr>
        <w:t xml:space="preserve"> </w:t>
      </w:r>
      <w:r w:rsidRPr="00AC4BAD">
        <w:rPr>
          <w:rFonts w:ascii="SimSun" w:hAnsi="SimSun" w:cs="SimSun" w:hint="eastAsia"/>
          <w:sz w:val="24"/>
          <w:lang w:eastAsia="zh-CN"/>
        </w:rPr>
        <w:t>和“区域自然”</w:t>
      </w:r>
      <w:r w:rsidR="0051099D" w:rsidRPr="00A82775">
        <w:rPr>
          <w:rStyle w:val="FootnoteReference"/>
          <w:sz w:val="24"/>
        </w:rPr>
        <w:footnoteReference w:id="6"/>
      </w:r>
      <w:r w:rsidRPr="00AC4BAD">
        <w:rPr>
          <w:rFonts w:ascii="SimSun" w:hAnsi="SimSun" w:cs="SimSun" w:hint="eastAsia"/>
          <w:sz w:val="24"/>
          <w:lang w:eastAsia="zh-CN"/>
        </w:rPr>
        <w:t>）在支持次国家政府、城市和其他地方当局开展生物多样性行动方面的知识交流、提升可见度、自愿报告和协调等方面的作用。</w:t>
      </w:r>
      <w:r w:rsidRPr="00AC4BAD">
        <w:rPr>
          <w:sz w:val="24"/>
          <w:lang w:eastAsia="zh-CN"/>
        </w:rPr>
        <w:t xml:space="preserve"> </w:t>
      </w:r>
    </w:p>
    <w:p w14:paraId="6D82058A" w14:textId="77777777" w:rsidR="005F1584" w:rsidRPr="00AC4BAD" w:rsidRDefault="005F1584" w:rsidP="00F82CD3">
      <w:pPr>
        <w:pStyle w:val="CBDNormalNumber"/>
        <w:numPr>
          <w:ilvl w:val="0"/>
          <w:numId w:val="26"/>
        </w:numPr>
        <w:spacing w:before="0"/>
        <w:rPr>
          <w:spacing w:val="2"/>
          <w:sz w:val="24"/>
          <w:lang w:eastAsia="zh-CN"/>
        </w:rPr>
      </w:pPr>
      <w:r w:rsidRPr="00AC4BAD">
        <w:rPr>
          <w:rFonts w:ascii="SimSun" w:hAnsi="SimSun" w:cs="SimSun" w:hint="eastAsia"/>
          <w:spacing w:val="2"/>
          <w:sz w:val="24"/>
          <w:lang w:eastAsia="zh-CN"/>
        </w:rPr>
        <w:lastRenderedPageBreak/>
        <w:t>本说明载有附件所载执行摘要中关键结论的摘要，并辅以从第七次国家报告中得出的简要信息以及为《昆明</w:t>
      </w:r>
      <w:r w:rsidRPr="00AC4BAD">
        <w:rPr>
          <w:spacing w:val="2"/>
          <w:sz w:val="24"/>
          <w:lang w:eastAsia="zh-CN"/>
        </w:rPr>
        <w:t>-</w:t>
      </w:r>
      <w:r w:rsidRPr="00AC4BAD">
        <w:rPr>
          <w:rFonts w:ascii="SimSun" w:hAnsi="SimSun" w:cs="SimSun" w:hint="eastAsia"/>
          <w:spacing w:val="2"/>
          <w:sz w:val="24"/>
          <w:lang w:eastAsia="zh-CN"/>
        </w:rPr>
        <w:t>蒙特利尔全球生物多样性框架》集体执行进度全球审查编写的相关分析。本说明还载有供执行问题附属机构审议的建议草案要点（第三节）。</w:t>
      </w:r>
    </w:p>
    <w:p w14:paraId="301B81BC" w14:textId="7ABC5965" w:rsidR="005F1584" w:rsidRPr="00AC4BAD" w:rsidRDefault="005F1584" w:rsidP="00F320F6">
      <w:pPr>
        <w:pStyle w:val="CBDH1"/>
      </w:pPr>
      <w:r w:rsidRPr="00AC4BAD">
        <w:rPr>
          <w:rFonts w:ascii="SimSun" w:hAnsi="SimSun" w:cs="SimSun" w:hint="eastAsia"/>
        </w:rPr>
        <w:t>二</w:t>
      </w:r>
      <w:r w:rsidRPr="00AC4BAD">
        <w:t>.</w:t>
      </w:r>
      <w:r w:rsidRPr="00AC4BAD">
        <w:tab/>
      </w:r>
      <w:r w:rsidRPr="00AC4BAD">
        <w:rPr>
          <w:rFonts w:ascii="SimSun" w:hAnsi="SimSun" w:cs="SimSun" w:hint="eastAsia"/>
        </w:rPr>
        <w:t>关键结论</w:t>
      </w:r>
    </w:p>
    <w:p w14:paraId="2A4CD3DA"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该审查报告强调了次国家政府、城市和其他地方当局可根据国家立法、国情和制度安排，在支持执行《公约》和《昆明</w:t>
      </w:r>
      <w:r w:rsidRPr="00AC4BAD">
        <w:rPr>
          <w:sz w:val="24"/>
          <w:lang w:eastAsia="zh-CN"/>
        </w:rPr>
        <w:t>-</w:t>
      </w:r>
      <w:r w:rsidRPr="00AC4BAD">
        <w:rPr>
          <w:rFonts w:ascii="SimSun" w:hAnsi="SimSun" w:cs="SimSun" w:hint="eastAsia"/>
          <w:sz w:val="24"/>
          <w:lang w:eastAsia="zh-CN"/>
        </w:rPr>
        <w:t>蒙特利尔全球生物多样性框架》中的重要作用。</w:t>
      </w:r>
    </w:p>
    <w:p w14:paraId="606821C4"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该审查报告记录了次国家政府、城市和其他地方当局在多个领域所采取行动和倡议的实例，这些领域包括：涵盖生物多样性的规划、生态系统恢复、保护区和养护区、城市生物多样性、生态连通性、提高认识、能力建设、监测与报告。审查报告还进一步强调了机构支持安排、伙伴关系和自愿平台在助力次国家和地方生物多样性行动的协调、知识交流和可见度方面的作用。</w:t>
      </w:r>
    </w:p>
    <w:p w14:paraId="15E458A9"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该审查报告还指出了在机构协调、技术和财政能力，以及将次国家和地方层面的信息纳入生物多样性监测与报告流程等方面一再出现的挑战。</w:t>
      </w:r>
    </w:p>
    <w:p w14:paraId="742A19EB"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从第七次国家报告以及为《昆明</w:t>
      </w:r>
      <w:r w:rsidRPr="00AC4BAD">
        <w:rPr>
          <w:sz w:val="24"/>
          <w:lang w:eastAsia="zh-CN"/>
        </w:rPr>
        <w:t>-</w:t>
      </w:r>
      <w:r w:rsidRPr="00AC4BAD">
        <w:rPr>
          <w:rFonts w:ascii="SimSun" w:hAnsi="SimSun" w:cs="SimSun" w:hint="eastAsia"/>
          <w:sz w:val="24"/>
          <w:lang w:eastAsia="zh-CN"/>
        </w:rPr>
        <w:t>蒙特利尔全球生物多样性框架》集体执行进度全球审查编写的相关分析中得出的信息进一步表明，该框架若干行动目标的执行涉及次国家政府、城市和其他地方当局经常行使重要职责和职能的领域，包括空间规划、恢复、保护区和养护区、城市规划及利益攸关方参与。</w:t>
      </w:r>
    </w:p>
    <w:p w14:paraId="0E313400"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特别是，第七次国家报告中得出的信息凸显了《框架》行动目标</w:t>
      </w:r>
      <w:r w:rsidRPr="00AC4BAD">
        <w:rPr>
          <w:sz w:val="24"/>
          <w:lang w:eastAsia="zh-CN"/>
        </w:rPr>
        <w:t>12</w:t>
      </w:r>
      <w:r w:rsidRPr="00AC4BAD">
        <w:rPr>
          <w:rFonts w:ascii="SimSun" w:hAnsi="SimSun" w:cs="SimSun" w:hint="eastAsia"/>
          <w:sz w:val="24"/>
          <w:lang w:eastAsia="zh-CN"/>
        </w:rPr>
        <w:t>对城市和地方当局的重要性，因为该行动目标侧重于通过将涵盖生物多样性的城市规划，在城市和人口密集地区增加绿色和蓝色空间面积，提高质量、连通性及可及性，并扩大其带来的惠益。为全球审查编写的相关分析表明，城市绿化、生态走廊、城市生态系统恢复、城市生物多样性规划和基于自然的解决方案日益受到关注，同时也凸显了与城市生物多样性行动相关的监测系统、方法、数据可用性和执行能力方面持续存在的挑战。</w:t>
      </w:r>
    </w:p>
    <w:p w14:paraId="10A49F92" w14:textId="77777777" w:rsidR="005F1584" w:rsidRPr="00AC4BAD" w:rsidRDefault="005F1584" w:rsidP="00F82CD3">
      <w:pPr>
        <w:pStyle w:val="CBDNormalNumber"/>
        <w:numPr>
          <w:ilvl w:val="0"/>
          <w:numId w:val="26"/>
        </w:numPr>
        <w:spacing w:before="0"/>
        <w:rPr>
          <w:sz w:val="24"/>
          <w:lang w:eastAsia="zh-CN"/>
        </w:rPr>
      </w:pPr>
      <w:r w:rsidRPr="00AC4BAD">
        <w:rPr>
          <w:rFonts w:ascii="SimSun" w:hAnsi="SimSun" w:cs="SimSun" w:hint="eastAsia"/>
          <w:sz w:val="24"/>
          <w:lang w:eastAsia="zh-CN"/>
        </w:rPr>
        <w:t>总体而言，附件所载审查报告得出的结论以及第七次国家报告所载信息表明，根据国家立法和国情，酌情加强各级政府之间的协调、合作与互动，可有助于更有效地执行《公约》和《昆明</w:t>
      </w:r>
      <w:r w:rsidRPr="00AC4BAD">
        <w:rPr>
          <w:sz w:val="24"/>
          <w:lang w:eastAsia="zh-CN"/>
        </w:rPr>
        <w:t>-</w:t>
      </w:r>
      <w:r w:rsidRPr="00AC4BAD">
        <w:rPr>
          <w:rFonts w:ascii="SimSun" w:hAnsi="SimSun" w:cs="SimSun" w:hint="eastAsia"/>
          <w:sz w:val="24"/>
          <w:lang w:eastAsia="zh-CN"/>
        </w:rPr>
        <w:t>蒙特利尔全球生物多样性框架》。</w:t>
      </w:r>
    </w:p>
    <w:p w14:paraId="168A6707" w14:textId="77777777" w:rsidR="005F1584" w:rsidRPr="00AC4BAD" w:rsidRDefault="005F1584" w:rsidP="005F1584">
      <w:pPr>
        <w:rPr>
          <w:b/>
          <w:sz w:val="28"/>
          <w:szCs w:val="28"/>
          <w:lang w:eastAsia="zh-CN"/>
        </w:rPr>
        <w:sectPr w:rsidR="005F1584" w:rsidRPr="00AC4BAD" w:rsidSect="00A8116E">
          <w:headerReference w:type="even" r:id="rId16"/>
          <w:headerReference w:type="default" r:id="rId17"/>
          <w:footerReference w:type="even" r:id="rId18"/>
          <w:pgSz w:w="12240" w:h="15840"/>
          <w:pgMar w:top="567" w:right="1440" w:bottom="1134" w:left="1440" w:header="709" w:footer="709" w:gutter="0"/>
          <w:cols w:space="425"/>
          <w:titlePg/>
          <w:docGrid w:linePitch="360"/>
        </w:sectPr>
      </w:pPr>
    </w:p>
    <w:p w14:paraId="569F39DA" w14:textId="77777777" w:rsidR="005F1584" w:rsidRPr="00AC4BAD" w:rsidRDefault="005F1584" w:rsidP="005F1584">
      <w:pPr>
        <w:pStyle w:val="CBDH1"/>
      </w:pPr>
      <w:r w:rsidRPr="00AC4BAD">
        <w:rPr>
          <w:rFonts w:ascii="SimSun" w:hAnsi="SimSun" w:cs="SimSun" w:hint="eastAsia"/>
        </w:rPr>
        <w:lastRenderedPageBreak/>
        <w:t>三</w:t>
      </w:r>
      <w:r w:rsidRPr="00AC4BAD">
        <w:t>.</w:t>
      </w:r>
      <w:r w:rsidRPr="00AC4BAD">
        <w:tab/>
      </w:r>
      <w:r w:rsidRPr="00AC4BAD">
        <w:rPr>
          <w:rFonts w:ascii="SimSun" w:hAnsi="SimSun" w:cs="SimSun" w:hint="eastAsia"/>
        </w:rPr>
        <w:t>建议</w:t>
      </w:r>
    </w:p>
    <w:p w14:paraId="357B56E2" w14:textId="1A28C1AC" w:rsidR="005F1584" w:rsidRPr="00AC4BAD" w:rsidRDefault="005F1584" w:rsidP="009D1868">
      <w:pPr>
        <w:pStyle w:val="CBDNormalNumber"/>
        <w:numPr>
          <w:ilvl w:val="0"/>
          <w:numId w:val="26"/>
        </w:numPr>
        <w:spacing w:before="0"/>
        <w:rPr>
          <w:spacing w:val="4"/>
          <w:sz w:val="24"/>
          <w:lang w:eastAsia="zh-CN"/>
        </w:rPr>
      </w:pPr>
      <w:r w:rsidRPr="00AC4BAD">
        <w:rPr>
          <w:rFonts w:ascii="SimSun" w:hAnsi="SimSun" w:cs="SimSun" w:hint="eastAsia"/>
          <w:spacing w:val="4"/>
          <w:sz w:val="24"/>
          <w:lang w:eastAsia="zh-CN"/>
        </w:rPr>
        <w:t>执行问题附属机构谨建议缔约方大会第十七届会议通过一项内容大致如下的决定：</w:t>
      </w:r>
    </w:p>
    <w:p w14:paraId="57C0EB26" w14:textId="77777777" w:rsidR="005F1584" w:rsidRPr="00AC4BAD" w:rsidRDefault="005F1584" w:rsidP="009D1868">
      <w:pPr>
        <w:pStyle w:val="CBDNormalNoNumber"/>
        <w:ind w:firstLine="567"/>
        <w:rPr>
          <w:rFonts w:ascii="STKaiti" w:eastAsia="KaiTi" w:hAnsi="STKaiti" w:cs="STKaiti"/>
          <w:sz w:val="24"/>
          <w:lang w:eastAsia="zh-CN"/>
        </w:rPr>
      </w:pPr>
      <w:r w:rsidRPr="00AC4BAD">
        <w:rPr>
          <w:rFonts w:ascii="STKaiti" w:eastAsia="KaiTi" w:hAnsi="STKaiti" w:cs="STKaiti" w:hint="eastAsia"/>
          <w:sz w:val="24"/>
          <w:lang w:eastAsia="zh-CN"/>
        </w:rPr>
        <w:t>缔约方大会，</w:t>
      </w:r>
    </w:p>
    <w:p w14:paraId="1F0A02D9" w14:textId="77777777" w:rsidR="005F1584" w:rsidRPr="00AC4BAD" w:rsidRDefault="005F1584" w:rsidP="009D1868">
      <w:pPr>
        <w:pStyle w:val="CBDNormalNoNumber"/>
        <w:ind w:firstLine="567"/>
        <w:rPr>
          <w:sz w:val="24"/>
          <w:lang w:eastAsia="zh-CN"/>
        </w:rPr>
      </w:pPr>
      <w:r w:rsidRPr="00AC4BAD">
        <w:rPr>
          <w:rFonts w:ascii="STKaiti" w:eastAsia="KaiTi" w:hAnsi="STKaiti" w:cs="STKaiti" w:hint="eastAsia"/>
          <w:sz w:val="24"/>
          <w:lang w:eastAsia="zh-CN"/>
        </w:rPr>
        <w:t>回顾</w:t>
      </w:r>
      <w:r w:rsidRPr="00AC4BAD">
        <w:rPr>
          <w:sz w:val="24"/>
          <w:lang w:eastAsia="zh-CN"/>
        </w:rPr>
        <w:t>2022</w:t>
      </w:r>
      <w:r w:rsidRPr="00AC4BAD">
        <w:rPr>
          <w:rFonts w:ascii="SimSun" w:hAnsi="SimSun" w:cs="SimSun" w:hint="eastAsia"/>
          <w:sz w:val="24"/>
          <w:lang w:eastAsia="zh-CN"/>
        </w:rPr>
        <w:t>年</w:t>
      </w:r>
      <w:r w:rsidRPr="00AC4BAD">
        <w:rPr>
          <w:sz w:val="24"/>
          <w:lang w:eastAsia="zh-CN"/>
        </w:rPr>
        <w:t>12</w:t>
      </w:r>
      <w:r w:rsidRPr="00AC4BAD">
        <w:rPr>
          <w:rFonts w:ascii="SimSun" w:hAnsi="SimSun" w:cs="SimSun" w:hint="eastAsia"/>
          <w:sz w:val="24"/>
          <w:lang w:eastAsia="zh-CN"/>
        </w:rPr>
        <w:t>月</w:t>
      </w:r>
      <w:r w:rsidRPr="00AC4BAD">
        <w:rPr>
          <w:sz w:val="24"/>
          <w:lang w:eastAsia="zh-CN"/>
        </w:rPr>
        <w:t>19</w:t>
      </w:r>
      <w:r w:rsidRPr="00AC4BAD">
        <w:rPr>
          <w:rFonts w:ascii="SimSun" w:hAnsi="SimSun" w:cs="SimSun" w:hint="eastAsia"/>
          <w:sz w:val="24"/>
          <w:lang w:eastAsia="zh-CN"/>
        </w:rPr>
        <w:t>日第</w:t>
      </w:r>
      <w:hyperlink r:id="rId19" w:history="1">
        <w:r w:rsidRPr="00AC4BAD">
          <w:rPr>
            <w:rStyle w:val="Hyperlink"/>
            <w:sz w:val="24"/>
            <w:lang w:eastAsia="zh-CN"/>
          </w:rPr>
          <w:t>15/12</w:t>
        </w:r>
      </w:hyperlink>
      <w:r w:rsidRPr="00AC4BAD">
        <w:rPr>
          <w:rFonts w:ascii="SimSun" w:hAnsi="SimSun" w:cs="SimSun" w:hint="eastAsia"/>
          <w:sz w:val="24"/>
          <w:lang w:eastAsia="zh-CN"/>
        </w:rPr>
        <w:t>号决定，</w:t>
      </w:r>
    </w:p>
    <w:p w14:paraId="5E1C03D7" w14:textId="337D7A2E" w:rsidR="005F1584" w:rsidRPr="00AC4BAD" w:rsidRDefault="005F1584" w:rsidP="009D1868">
      <w:pPr>
        <w:pStyle w:val="CBDNormalNoNumber"/>
        <w:ind w:firstLine="567"/>
        <w:rPr>
          <w:sz w:val="24"/>
          <w:lang w:val="en-GB" w:eastAsia="zh-CN"/>
        </w:rPr>
      </w:pPr>
      <w:r w:rsidRPr="00AC4BAD">
        <w:rPr>
          <w:sz w:val="24"/>
          <w:lang w:eastAsia="zh-CN"/>
        </w:rPr>
        <w:t>1.</w:t>
      </w:r>
      <w:r w:rsidRPr="00AC4BAD">
        <w:rPr>
          <w:i/>
          <w:iCs/>
          <w:sz w:val="24"/>
          <w:lang w:eastAsia="zh-CN"/>
        </w:rPr>
        <w:tab/>
      </w:r>
      <w:r w:rsidR="00C84242" w:rsidRPr="00C84242">
        <w:rPr>
          <w:rFonts w:ascii="STKaiti" w:eastAsia="KaiTi" w:hAnsi="STKaiti" w:cs="STKaiti" w:hint="eastAsia"/>
          <w:sz w:val="24"/>
          <w:lang w:eastAsia="zh-CN"/>
        </w:rPr>
        <w:t>表示注意到</w:t>
      </w:r>
      <w:r w:rsidR="00C84242">
        <w:rPr>
          <w:rFonts w:ascii="SimSun" w:hAnsi="SimSun" w:cs="SimSun" w:hint="eastAsia"/>
          <w:sz w:val="24"/>
          <w:lang w:eastAsia="zh-CN"/>
        </w:rPr>
        <w:t>执行摘要</w:t>
      </w:r>
      <w:r w:rsidR="00C84242" w:rsidRPr="00C84242">
        <w:rPr>
          <w:rFonts w:ascii="SimSun" w:hAnsi="SimSun" w:cs="SimSun" w:hint="eastAsia"/>
          <w:sz w:val="24"/>
          <w:lang w:eastAsia="zh-CN"/>
        </w:rPr>
        <w:t>，</w:t>
      </w:r>
      <w:r w:rsidR="00C84242" w:rsidRPr="00A82775">
        <w:rPr>
          <w:rStyle w:val="FootnoteReference"/>
          <w:sz w:val="24"/>
          <w:lang w:val="en-GB"/>
        </w:rPr>
        <w:footnoteReference w:id="7"/>
      </w:r>
      <w:r w:rsidR="00C84242">
        <w:rPr>
          <w:rFonts w:ascii="SimSun" w:hAnsi="SimSun" w:cs="SimSun" w:hint="eastAsia"/>
          <w:sz w:val="24"/>
          <w:lang w:val="en-GB" w:eastAsia="zh-CN"/>
        </w:rPr>
        <w:t xml:space="preserve"> </w:t>
      </w:r>
      <w:r w:rsidR="00C84242" w:rsidRPr="00C84242">
        <w:rPr>
          <w:rFonts w:ascii="SimSun" w:hAnsi="SimSun" w:cs="SimSun" w:hint="eastAsia"/>
          <w:sz w:val="24"/>
          <w:lang w:eastAsia="zh-CN"/>
        </w:rPr>
        <w:t>即</w:t>
      </w:r>
      <w:r w:rsidRPr="00AC4BAD">
        <w:rPr>
          <w:rFonts w:ascii="SimSun" w:hAnsi="SimSun" w:cs="SimSun" w:hint="eastAsia"/>
          <w:sz w:val="24"/>
          <w:lang w:eastAsia="zh-CN"/>
        </w:rPr>
        <w:t>关于次国家政府、城市和其他地方当局在执行《生物多样性公约》</w:t>
      </w:r>
      <w:r w:rsidR="00C84242" w:rsidRPr="00A82775">
        <w:rPr>
          <w:rStyle w:val="FootnoteReference"/>
          <w:sz w:val="24"/>
          <w:lang w:val="en-GB"/>
        </w:rPr>
        <w:footnoteReference w:id="8"/>
      </w:r>
      <w:r w:rsidR="00C84242">
        <w:rPr>
          <w:rFonts w:ascii="SimSun" w:hAnsi="SimSun" w:cs="SimSun" w:hint="eastAsia"/>
          <w:sz w:val="24"/>
          <w:lang w:val="en-GB" w:eastAsia="zh-CN"/>
        </w:rPr>
        <w:t xml:space="preserve"> </w:t>
      </w:r>
      <w:r w:rsidRPr="00AC4BAD">
        <w:rPr>
          <w:rFonts w:ascii="SimSun" w:hAnsi="SimSun" w:cs="SimSun" w:hint="eastAsia"/>
          <w:sz w:val="24"/>
          <w:lang w:eastAsia="zh-CN"/>
        </w:rPr>
        <w:t>及其议定书</w:t>
      </w:r>
      <w:r w:rsidR="00DC0AC2">
        <w:rPr>
          <w:rFonts w:ascii="SimSun" w:hAnsi="SimSun" w:cs="SimSun" w:hint="eastAsia"/>
          <w:sz w:val="24"/>
          <w:lang w:eastAsia="zh-CN"/>
        </w:rPr>
        <w:t>以及</w:t>
      </w:r>
      <w:r w:rsidRPr="00AC4BAD">
        <w:rPr>
          <w:rFonts w:ascii="SimSun" w:hAnsi="SimSun" w:cs="SimSun" w:hint="eastAsia"/>
          <w:sz w:val="24"/>
          <w:lang w:eastAsia="zh-CN"/>
        </w:rPr>
        <w:t>《昆明</w:t>
      </w:r>
      <w:r w:rsidRPr="00AC4BAD">
        <w:rPr>
          <w:sz w:val="24"/>
          <w:lang w:eastAsia="zh-CN"/>
        </w:rPr>
        <w:t>-</w:t>
      </w:r>
      <w:r w:rsidRPr="00AC4BAD">
        <w:rPr>
          <w:rFonts w:ascii="SimSun" w:hAnsi="SimSun" w:cs="SimSun" w:hint="eastAsia"/>
          <w:sz w:val="24"/>
          <w:lang w:eastAsia="zh-CN"/>
        </w:rPr>
        <w:t>蒙特利尔全球生物多样性框架》</w:t>
      </w:r>
      <w:r w:rsidR="00C84242" w:rsidRPr="00A82775">
        <w:rPr>
          <w:rStyle w:val="FootnoteReference"/>
          <w:sz w:val="24"/>
          <w:lang w:val="en-GB"/>
        </w:rPr>
        <w:footnoteReference w:id="9"/>
      </w:r>
      <w:r w:rsidR="00C84242">
        <w:rPr>
          <w:rFonts w:ascii="SimSun" w:hAnsi="SimSun" w:cs="SimSun" w:hint="eastAsia"/>
          <w:sz w:val="24"/>
          <w:lang w:eastAsia="zh-CN"/>
        </w:rPr>
        <w:t xml:space="preserve"> </w:t>
      </w:r>
      <w:r w:rsidRPr="00AC4BAD">
        <w:rPr>
          <w:rFonts w:ascii="SimSun" w:hAnsi="SimSun" w:cs="SimSun" w:hint="eastAsia"/>
          <w:sz w:val="24"/>
          <w:lang w:eastAsia="zh-CN"/>
        </w:rPr>
        <w:t>方面</w:t>
      </w:r>
      <w:r w:rsidR="00D61891" w:rsidRPr="00AC4BAD">
        <w:rPr>
          <w:rFonts w:ascii="SimSun" w:hAnsi="SimSun" w:cs="SimSun" w:hint="eastAsia"/>
          <w:sz w:val="24"/>
          <w:lang w:eastAsia="zh-CN"/>
        </w:rPr>
        <w:t>的</w:t>
      </w:r>
      <w:r w:rsidRPr="00AC4BAD">
        <w:rPr>
          <w:rFonts w:ascii="SimSun" w:hAnsi="SimSun" w:cs="SimSun" w:hint="eastAsia"/>
          <w:sz w:val="24"/>
          <w:lang w:eastAsia="zh-CN"/>
        </w:rPr>
        <w:t>作用的审查报告的执行摘要；</w:t>
      </w:r>
    </w:p>
    <w:p w14:paraId="73CC341B" w14:textId="557968A2" w:rsidR="005F1584" w:rsidRPr="00AC4BAD" w:rsidRDefault="005F1584" w:rsidP="009D1868">
      <w:pPr>
        <w:pStyle w:val="CBDNormalNoNumber"/>
        <w:ind w:firstLine="567"/>
        <w:rPr>
          <w:sz w:val="24"/>
          <w:lang w:eastAsia="zh-CN"/>
        </w:rPr>
      </w:pPr>
      <w:r w:rsidRPr="00AC4BAD">
        <w:rPr>
          <w:sz w:val="24"/>
          <w:lang w:eastAsia="zh-CN"/>
        </w:rPr>
        <w:t>2.</w:t>
      </w:r>
      <w:r w:rsidRPr="00AC4BAD">
        <w:rPr>
          <w:i/>
          <w:iCs/>
          <w:sz w:val="24"/>
          <w:lang w:eastAsia="zh-CN"/>
        </w:rPr>
        <w:tab/>
      </w:r>
      <w:r w:rsidRPr="00AC4BAD">
        <w:rPr>
          <w:rFonts w:ascii="STKaiti" w:eastAsia="KaiTi" w:hAnsi="STKaiti" w:cs="STKaiti" w:hint="eastAsia"/>
          <w:sz w:val="24"/>
          <w:lang w:eastAsia="zh-CN"/>
        </w:rPr>
        <w:t>鼓励</w:t>
      </w:r>
      <w:r w:rsidRPr="00AC4BAD">
        <w:rPr>
          <w:rFonts w:ascii="SimSun" w:hAnsi="SimSun" w:cs="SimSun" w:hint="eastAsia"/>
          <w:sz w:val="24"/>
          <w:lang w:eastAsia="zh-CN"/>
        </w:rPr>
        <w:t>继续努力加强各级政府之间的协调、合作与互动，包括在执行《次国家政府、城市和其他地方当局生物多样性行动计划（</w:t>
      </w:r>
      <w:r w:rsidRPr="00AC4BAD">
        <w:rPr>
          <w:sz w:val="24"/>
          <w:lang w:eastAsia="zh-CN"/>
        </w:rPr>
        <w:t>2023-2030</w:t>
      </w:r>
      <w:r w:rsidRPr="00AC4BAD">
        <w:rPr>
          <w:rFonts w:ascii="SimSun" w:hAnsi="SimSun" w:cs="SimSun" w:hint="eastAsia"/>
          <w:sz w:val="24"/>
          <w:lang w:eastAsia="zh-CN"/>
        </w:rPr>
        <w:t>年）》</w:t>
      </w:r>
      <w:r w:rsidR="00F24F88" w:rsidRPr="00A82775">
        <w:rPr>
          <w:rStyle w:val="FootnoteReference"/>
          <w:sz w:val="24"/>
          <w:lang w:val="en-GB"/>
        </w:rPr>
        <w:footnoteReference w:id="10"/>
      </w:r>
      <w:r w:rsidR="009A62C0">
        <w:rPr>
          <w:rFonts w:ascii="SimSun" w:hAnsi="SimSun" w:cs="SimSun" w:hint="eastAsia"/>
          <w:sz w:val="24"/>
          <w:lang w:eastAsia="zh-CN"/>
        </w:rPr>
        <w:t xml:space="preserve"> </w:t>
      </w:r>
      <w:r w:rsidRPr="00AC4BAD">
        <w:rPr>
          <w:rFonts w:ascii="SimSun" w:hAnsi="SimSun" w:cs="SimSun" w:hint="eastAsia"/>
          <w:sz w:val="24"/>
          <w:lang w:eastAsia="zh-CN"/>
        </w:rPr>
        <w:t>的背景下，以支持执行《公约》及其议定书和《框架》。</w:t>
      </w:r>
    </w:p>
    <w:p w14:paraId="70E4FEAA" w14:textId="2D247EA9" w:rsidR="005F1584" w:rsidRPr="004772E2" w:rsidRDefault="005F1584" w:rsidP="004772E2">
      <w:pPr>
        <w:pStyle w:val="CBDNormalNumber"/>
        <w:numPr>
          <w:ilvl w:val="0"/>
          <w:numId w:val="0"/>
        </w:numPr>
        <w:rPr>
          <w:b/>
          <w:bCs/>
          <w:sz w:val="28"/>
          <w:szCs w:val="28"/>
          <w:lang w:eastAsia="zh-CN"/>
        </w:rPr>
      </w:pPr>
      <w:r w:rsidRPr="00AC4BAD">
        <w:rPr>
          <w:sz w:val="24"/>
          <w:lang w:eastAsia="zh-CN"/>
        </w:rPr>
        <w:br w:type="page"/>
      </w:r>
      <w:r w:rsidRPr="004772E2">
        <w:rPr>
          <w:rFonts w:ascii="SimSun" w:hAnsi="SimSun" w:cs="SimSun" w:hint="eastAsia"/>
          <w:b/>
          <w:bCs/>
          <w:sz w:val="28"/>
          <w:szCs w:val="28"/>
          <w:lang w:eastAsia="zh-CN"/>
        </w:rPr>
        <w:lastRenderedPageBreak/>
        <w:t>附件</w:t>
      </w:r>
    </w:p>
    <w:p w14:paraId="1C0AA67D" w14:textId="26F5DC8D" w:rsidR="005F1584" w:rsidRPr="00AC4BAD" w:rsidRDefault="005F1584" w:rsidP="0030172E">
      <w:pPr>
        <w:pStyle w:val="CBDTitle"/>
        <w:jc w:val="both"/>
        <w:rPr>
          <w:lang w:eastAsia="zh-CN"/>
        </w:rPr>
      </w:pPr>
      <w:r w:rsidRPr="004772E2">
        <w:rPr>
          <w:rFonts w:ascii="SimSun" w:hAnsi="SimSun" w:cs="SimSun" w:hint="eastAsia"/>
          <w:szCs w:val="28"/>
          <w:lang w:eastAsia="zh-CN"/>
        </w:rPr>
        <w:t>关于次国家政府、城市和其他地方当局在执行《生物多样性公约》及其议定书和《昆明</w:t>
      </w:r>
      <w:r w:rsidRPr="004772E2">
        <w:rPr>
          <w:szCs w:val="28"/>
          <w:lang w:eastAsia="zh-CN"/>
        </w:rPr>
        <w:t>-</w:t>
      </w:r>
      <w:r w:rsidRPr="004772E2">
        <w:rPr>
          <w:rFonts w:ascii="SimSun" w:hAnsi="SimSun" w:cs="SimSun" w:hint="eastAsia"/>
          <w:szCs w:val="28"/>
          <w:lang w:eastAsia="zh-CN"/>
        </w:rPr>
        <w:t>蒙特利尔全球生物多样性框架》方面</w:t>
      </w:r>
      <w:r w:rsidR="00D61891" w:rsidRPr="004772E2">
        <w:rPr>
          <w:rFonts w:ascii="SimSun" w:hAnsi="SimSun" w:cs="SimSun" w:hint="eastAsia"/>
          <w:szCs w:val="28"/>
          <w:lang w:eastAsia="zh-CN"/>
        </w:rPr>
        <w:t>的</w:t>
      </w:r>
      <w:r w:rsidRPr="004772E2">
        <w:rPr>
          <w:rFonts w:ascii="SimSun" w:hAnsi="SimSun" w:cs="SimSun" w:hint="eastAsia"/>
          <w:szCs w:val="28"/>
          <w:lang w:eastAsia="zh-CN"/>
        </w:rPr>
        <w:t>作用的审查报告的执行摘要</w:t>
      </w:r>
    </w:p>
    <w:p w14:paraId="5FA1BE15" w14:textId="0246A934" w:rsidR="005F1584" w:rsidRPr="00AC4BAD" w:rsidRDefault="005F1584" w:rsidP="00E52FA3">
      <w:pPr>
        <w:pStyle w:val="CBDNormalNoNumber"/>
        <w:rPr>
          <w:sz w:val="20"/>
          <w:szCs w:val="20"/>
          <w:lang w:eastAsia="zh-CN"/>
        </w:rPr>
      </w:pPr>
      <w:r w:rsidRPr="00AC4BAD">
        <w:rPr>
          <w:rFonts w:ascii="SimSun" w:hAnsi="SimSun" w:cs="SimSun" w:hint="eastAsia"/>
          <w:sz w:val="24"/>
          <w:lang w:eastAsia="zh-CN"/>
        </w:rPr>
        <w:t>关于次国家政府、城市和其他地方当局在实现《生物多样性公约》和《昆明</w:t>
      </w:r>
      <w:r w:rsidRPr="00AC4BAD">
        <w:rPr>
          <w:sz w:val="24"/>
          <w:lang w:eastAsia="zh-CN"/>
        </w:rPr>
        <w:t>-</w:t>
      </w:r>
      <w:r w:rsidRPr="00AC4BAD">
        <w:rPr>
          <w:rFonts w:ascii="SimSun" w:hAnsi="SimSun" w:cs="SimSun" w:hint="eastAsia"/>
          <w:sz w:val="24"/>
          <w:lang w:eastAsia="zh-CN"/>
        </w:rPr>
        <w:t>蒙特利尔全球生物多样性框架》目标方面</w:t>
      </w:r>
      <w:r w:rsidR="002F161D" w:rsidRPr="00AC4BAD">
        <w:rPr>
          <w:rFonts w:ascii="SimSun" w:hAnsi="SimSun" w:cs="SimSun" w:hint="eastAsia"/>
          <w:sz w:val="24"/>
          <w:lang w:eastAsia="zh-CN"/>
        </w:rPr>
        <w:t>的</w:t>
      </w:r>
      <w:r w:rsidRPr="00AC4BAD">
        <w:rPr>
          <w:rFonts w:ascii="SimSun" w:hAnsi="SimSun" w:cs="SimSun" w:hint="eastAsia"/>
          <w:sz w:val="24"/>
          <w:lang w:eastAsia="zh-CN"/>
        </w:rPr>
        <w:t>作用的审查报告的执行摘要按秘书处收到时的原文转载如下。</w:t>
      </w:r>
    </w:p>
    <w:p w14:paraId="5B062011" w14:textId="5D6FA30C" w:rsidR="005F1584" w:rsidRPr="00AC4BAD" w:rsidRDefault="00637218" w:rsidP="00634D96">
      <w:pPr>
        <w:pStyle w:val="CBDH1"/>
        <w:rPr>
          <w:lang w:eastAsia="zh-CN"/>
        </w:rPr>
      </w:pPr>
      <w:r>
        <w:rPr>
          <w:rFonts w:ascii="SimSun" w:hAnsi="SimSun" w:cs="SimSun" w:hint="eastAsia"/>
          <w:lang w:eastAsia="zh-CN"/>
        </w:rPr>
        <w:t>1</w:t>
      </w:r>
      <w:r w:rsidR="005F1584" w:rsidRPr="00AC4BAD">
        <w:rPr>
          <w:lang w:eastAsia="zh-CN"/>
        </w:rPr>
        <w:t>.</w:t>
      </w:r>
      <w:r w:rsidR="005F1584" w:rsidRPr="00AC4BAD">
        <w:rPr>
          <w:lang w:eastAsia="zh-CN"/>
        </w:rPr>
        <w:tab/>
      </w:r>
      <w:r w:rsidR="005F1584" w:rsidRPr="0032696A">
        <w:rPr>
          <w:rFonts w:ascii="SimSun" w:hAnsi="SimSun" w:cs="SimSun" w:hint="eastAsia"/>
          <w:lang w:eastAsia="zh-CN"/>
        </w:rPr>
        <w:t>导言</w:t>
      </w:r>
      <w:r w:rsidR="00D868AE" w:rsidRPr="0032696A">
        <w:rPr>
          <w:rFonts w:ascii="SimSun" w:hAnsi="SimSun" w:cs="SimSun" w:hint="eastAsia"/>
          <w:lang w:eastAsia="zh-CN"/>
        </w:rPr>
        <w:t>——</w:t>
      </w:r>
      <w:r w:rsidR="005F1584" w:rsidRPr="00AC4BAD">
        <w:rPr>
          <w:rFonts w:ascii="SimSun" w:hAnsi="SimSun" w:cs="SimSun" w:hint="eastAsia"/>
          <w:lang w:eastAsia="zh-CN"/>
        </w:rPr>
        <w:t>将蒙特利尔和卡利的势头延续至埃里温</w:t>
      </w:r>
    </w:p>
    <w:p w14:paraId="1509105C" w14:textId="63C76BC1" w:rsidR="005F1584" w:rsidRPr="00AC4BAD" w:rsidRDefault="005F1584" w:rsidP="00E52FA3">
      <w:pPr>
        <w:pStyle w:val="CBDNormalNoNumber"/>
        <w:rPr>
          <w:sz w:val="24"/>
          <w:lang w:eastAsia="zh-CN"/>
        </w:rPr>
      </w:pPr>
      <w:r w:rsidRPr="00AC4BAD">
        <w:rPr>
          <w:rFonts w:ascii="SimSun" w:hAnsi="SimSun" w:cs="SimSun" w:hint="eastAsia"/>
          <w:sz w:val="24"/>
          <w:lang w:eastAsia="zh-CN"/>
        </w:rPr>
        <w:t>本报告对第</w:t>
      </w:r>
      <w:r w:rsidRPr="00AC4BAD">
        <w:rPr>
          <w:sz w:val="24"/>
          <w:lang w:eastAsia="zh-CN"/>
        </w:rPr>
        <w:t>15/12</w:t>
      </w:r>
      <w:r w:rsidRPr="00AC4BAD">
        <w:rPr>
          <w:rFonts w:ascii="SimSun" w:hAnsi="SimSun" w:cs="SimSun" w:hint="eastAsia"/>
          <w:sz w:val="24"/>
          <w:lang w:eastAsia="zh-CN"/>
        </w:rPr>
        <w:t>号决定第</w:t>
      </w:r>
      <w:r w:rsidRPr="00AC4BAD">
        <w:rPr>
          <w:sz w:val="24"/>
          <w:lang w:eastAsia="zh-CN"/>
        </w:rPr>
        <w:t>7</w:t>
      </w:r>
      <w:r w:rsidRPr="00AC4BAD">
        <w:rPr>
          <w:rFonts w:ascii="SimSun" w:hAnsi="SimSun" w:cs="SimSun" w:hint="eastAsia"/>
          <w:sz w:val="24"/>
          <w:lang w:eastAsia="zh-CN"/>
        </w:rPr>
        <w:t>段作了回应，该段请执行秘书在缔约方大会第十七届会议之前对次国家和地方</w:t>
      </w:r>
      <w:r w:rsidR="00097D1B" w:rsidRPr="00AC4BAD">
        <w:rPr>
          <w:rFonts w:ascii="SimSun" w:hAnsi="SimSun" w:cs="SimSun" w:hint="eastAsia"/>
          <w:sz w:val="24"/>
          <w:lang w:eastAsia="zh-CN"/>
        </w:rPr>
        <w:t>政府</w:t>
      </w:r>
      <w:r w:rsidRPr="00AC4BAD">
        <w:rPr>
          <w:rFonts w:ascii="SimSun" w:hAnsi="SimSun" w:cs="SimSun" w:hint="eastAsia"/>
          <w:sz w:val="24"/>
          <w:lang w:eastAsia="zh-CN"/>
        </w:rPr>
        <w:t>在执行《公约》和《昆明</w:t>
      </w:r>
      <w:r w:rsidRPr="00AC4BAD">
        <w:rPr>
          <w:sz w:val="24"/>
          <w:lang w:eastAsia="zh-CN"/>
        </w:rPr>
        <w:t>-</w:t>
      </w:r>
      <w:r w:rsidRPr="00AC4BAD">
        <w:rPr>
          <w:rFonts w:ascii="SimSun" w:hAnsi="SimSun" w:cs="SimSun" w:hint="eastAsia"/>
          <w:sz w:val="24"/>
          <w:lang w:eastAsia="zh-CN"/>
        </w:rPr>
        <w:t>蒙特利尔全球生物多样性框架》（《昆蒙框架》）方面的作用进行一次审查。本次审查的时间安排与《昆蒙框架》集体执行进度全球审查的时间安排一致。尽管时间安排对应，且通过</w:t>
      </w:r>
      <w:hyperlink r:id="rId20" w:history="1">
        <w:r w:rsidRPr="00AC4BAD">
          <w:rPr>
            <w:rFonts w:ascii="SimSun" w:hAnsi="SimSun" w:cs="SimSun" w:hint="eastAsia"/>
            <w:color w:val="1155CC"/>
            <w:sz w:val="24"/>
            <w:u w:val="single"/>
            <w:lang w:eastAsia="zh-CN"/>
          </w:rPr>
          <w:t>城市自然</w:t>
        </w:r>
      </w:hyperlink>
      <w:r w:rsidRPr="00AC4BAD">
        <w:rPr>
          <w:rFonts w:ascii="SimSun" w:hAnsi="SimSun" w:cs="SimSun" w:hint="eastAsia"/>
          <w:sz w:val="24"/>
          <w:lang w:eastAsia="zh-CN"/>
        </w:rPr>
        <w:t>和</w:t>
      </w:r>
      <w:hyperlink r:id="rId21" w:history="1">
        <w:r w:rsidRPr="00AC4BAD">
          <w:rPr>
            <w:rFonts w:ascii="SimSun" w:hAnsi="SimSun" w:cs="SimSun" w:hint="eastAsia"/>
            <w:color w:val="1155CC"/>
            <w:sz w:val="24"/>
            <w:u w:val="single"/>
            <w:lang w:eastAsia="zh-CN"/>
          </w:rPr>
          <w:t>区域自然</w:t>
        </w:r>
      </w:hyperlink>
      <w:r w:rsidRPr="00AC4BAD">
        <w:rPr>
          <w:rFonts w:ascii="SimSun" w:hAnsi="SimSun" w:cs="SimSun" w:hint="eastAsia"/>
          <w:sz w:val="24"/>
          <w:lang w:eastAsia="zh-CN"/>
        </w:rPr>
        <w:t>行动平台报告的次国家和地方对《昆蒙框架》行动目标的贡献已提交至生物多样性公约信息交换所机制，但根据第</w:t>
      </w:r>
      <w:r w:rsidRPr="00AC4BAD">
        <w:rPr>
          <w:sz w:val="24"/>
          <w:lang w:eastAsia="zh-CN"/>
        </w:rPr>
        <w:t>15/12</w:t>
      </w:r>
      <w:r w:rsidRPr="00AC4BAD">
        <w:rPr>
          <w:rFonts w:ascii="SimSun" w:hAnsi="SimSun" w:cs="SimSun" w:hint="eastAsia"/>
          <w:sz w:val="24"/>
          <w:lang w:eastAsia="zh-CN"/>
        </w:rPr>
        <w:t>号决定对次国家和地方参与进行的审查是一个完全独立的进程和报告。为阐明全球审查与对次国家和地方政府的作用的审查之间的区别，本报告在概述次国家和地方政府在执行《昆蒙框架》方面的作用之前，首先简要概述了这两个审查进程各自的情况。</w:t>
      </w:r>
    </w:p>
    <w:p w14:paraId="17C54748" w14:textId="77777777" w:rsidR="005F1584" w:rsidRPr="00AC4BAD" w:rsidRDefault="005F1584" w:rsidP="00E52FA3">
      <w:pPr>
        <w:pStyle w:val="CBDH2"/>
        <w:spacing w:after="120"/>
        <w:jc w:val="left"/>
        <w:rPr>
          <w:lang w:eastAsia="zh-CN"/>
        </w:rPr>
      </w:pPr>
      <w:r w:rsidRPr="00AC4BAD">
        <w:rPr>
          <w:lang w:eastAsia="zh-CN"/>
        </w:rPr>
        <w:t>1.1.</w:t>
      </w:r>
      <w:r w:rsidRPr="00AC4BAD">
        <w:rPr>
          <w:lang w:eastAsia="zh-CN"/>
        </w:rPr>
        <w:tab/>
      </w:r>
      <w:r w:rsidRPr="00AC4BAD">
        <w:rPr>
          <w:rFonts w:ascii="SimSun" w:hAnsi="SimSun" w:cs="SimSun" w:hint="eastAsia"/>
          <w:lang w:eastAsia="zh-CN"/>
        </w:rPr>
        <w:t>《昆明</w:t>
      </w:r>
      <w:r w:rsidRPr="00AC4BAD">
        <w:rPr>
          <w:lang w:eastAsia="zh-CN"/>
        </w:rPr>
        <w:t>-</w:t>
      </w:r>
      <w:r w:rsidRPr="00AC4BAD">
        <w:rPr>
          <w:rFonts w:ascii="SimSun" w:hAnsi="SimSun" w:cs="SimSun" w:hint="eastAsia"/>
          <w:lang w:eastAsia="zh-CN"/>
        </w:rPr>
        <w:t>蒙特利尔全球生物多样性框架》集体执行进度全球审查</w:t>
      </w:r>
    </w:p>
    <w:p w14:paraId="064C4EEE" w14:textId="747DC133" w:rsidR="005F1584" w:rsidRPr="00AC4BAD" w:rsidRDefault="005F1584" w:rsidP="00E52FA3">
      <w:pPr>
        <w:pStyle w:val="CBDNormalNoNumber"/>
        <w:rPr>
          <w:sz w:val="24"/>
          <w:lang w:eastAsia="zh-CN"/>
        </w:rPr>
      </w:pPr>
      <w:r w:rsidRPr="00AC4BAD">
        <w:rPr>
          <w:rFonts w:ascii="SimSun" w:hAnsi="SimSun" w:cs="SimSun" w:hint="eastAsia"/>
          <w:sz w:val="24"/>
          <w:lang w:eastAsia="zh-CN"/>
        </w:rPr>
        <w:t>在《昆蒙框架》通过后，各缔约方已将其宏伟目标转化为国家优先事项和行动：截至</w:t>
      </w:r>
      <w:r w:rsidRPr="00AC4BAD">
        <w:rPr>
          <w:sz w:val="24"/>
          <w:lang w:eastAsia="zh-CN"/>
        </w:rPr>
        <w:t>2026</w:t>
      </w:r>
      <w:r w:rsidRPr="00AC4BAD">
        <w:rPr>
          <w:rFonts w:ascii="SimSun" w:hAnsi="SimSun" w:cs="SimSun" w:hint="eastAsia"/>
          <w:sz w:val="24"/>
          <w:lang w:eastAsia="zh-CN"/>
        </w:rPr>
        <w:t>年</w:t>
      </w:r>
      <w:r w:rsidRPr="00AC4BAD">
        <w:rPr>
          <w:sz w:val="24"/>
          <w:lang w:eastAsia="zh-CN"/>
        </w:rPr>
        <w:t>2</w:t>
      </w:r>
      <w:r w:rsidRPr="00AC4BAD">
        <w:rPr>
          <w:rFonts w:ascii="SimSun" w:hAnsi="SimSun" w:cs="SimSun" w:hint="eastAsia"/>
          <w:sz w:val="24"/>
          <w:lang w:eastAsia="zh-CN"/>
        </w:rPr>
        <w:t>月，</w:t>
      </w:r>
      <w:r w:rsidRPr="00AC4BAD">
        <w:rPr>
          <w:sz w:val="24"/>
          <w:lang w:eastAsia="zh-CN"/>
        </w:rPr>
        <w:t>119</w:t>
      </w:r>
      <w:r w:rsidRPr="00AC4BAD">
        <w:rPr>
          <w:rFonts w:ascii="SimSun" w:hAnsi="SimSun" w:cs="SimSun" w:hint="eastAsia"/>
          <w:sz w:val="24"/>
          <w:lang w:eastAsia="zh-CN"/>
        </w:rPr>
        <w:t>个缔约方提交了与该框架一致的国家行动目标，</w:t>
      </w:r>
      <w:r w:rsidRPr="00AC4BAD">
        <w:rPr>
          <w:sz w:val="24"/>
          <w:lang w:eastAsia="zh-CN"/>
        </w:rPr>
        <w:t>44</w:t>
      </w:r>
      <w:r w:rsidRPr="00AC4BAD">
        <w:rPr>
          <w:rFonts w:ascii="SimSun" w:hAnsi="SimSun" w:cs="SimSun" w:hint="eastAsia"/>
          <w:sz w:val="24"/>
          <w:lang w:eastAsia="zh-CN"/>
        </w:rPr>
        <w:t>个缔约方更新了其《国家生物多样性战略</w:t>
      </w:r>
      <w:r w:rsidR="003C624E" w:rsidRPr="00AC4BAD">
        <w:rPr>
          <w:rFonts w:ascii="SimSun" w:hAnsi="SimSun" w:cs="SimSun" w:hint="eastAsia"/>
          <w:sz w:val="24"/>
          <w:lang w:eastAsia="zh-CN"/>
        </w:rPr>
        <w:t>和</w:t>
      </w:r>
      <w:r w:rsidRPr="00AC4BAD">
        <w:rPr>
          <w:rFonts w:ascii="SimSun" w:hAnsi="SimSun" w:cs="SimSun" w:hint="eastAsia"/>
          <w:sz w:val="24"/>
          <w:lang w:eastAsia="zh-CN"/>
        </w:rPr>
        <w:t>行动计划》（《</w:t>
      </w:r>
      <w:bookmarkStart w:id="0" w:name="OLE_LINK62"/>
      <w:r w:rsidRPr="00AC4BAD">
        <w:rPr>
          <w:rFonts w:ascii="SimSun" w:hAnsi="SimSun" w:cs="SimSun" w:hint="eastAsia"/>
          <w:sz w:val="24"/>
          <w:lang w:eastAsia="zh-CN"/>
        </w:rPr>
        <w:t>国家战略和行动计划</w:t>
      </w:r>
      <w:bookmarkEnd w:id="0"/>
      <w:r w:rsidRPr="00AC4BAD">
        <w:rPr>
          <w:rFonts w:ascii="SimSun" w:hAnsi="SimSun" w:cs="SimSun" w:hint="eastAsia"/>
          <w:sz w:val="24"/>
          <w:lang w:eastAsia="zh-CN"/>
        </w:rPr>
        <w:t>》）。这些文件对于明确各国政府如何到</w:t>
      </w:r>
      <w:r w:rsidRPr="00AC4BAD">
        <w:rPr>
          <w:sz w:val="24"/>
          <w:lang w:eastAsia="zh-CN"/>
        </w:rPr>
        <w:t>2030</w:t>
      </w:r>
      <w:r w:rsidRPr="00AC4BAD">
        <w:rPr>
          <w:rFonts w:ascii="SimSun" w:hAnsi="SimSun" w:cs="SimSun" w:hint="eastAsia"/>
          <w:sz w:val="24"/>
          <w:lang w:eastAsia="zh-CN"/>
        </w:rPr>
        <w:t>年实现《昆蒙框架》的</w:t>
      </w:r>
      <w:r w:rsidRPr="00AC4BAD">
        <w:rPr>
          <w:sz w:val="24"/>
          <w:lang w:eastAsia="zh-CN"/>
        </w:rPr>
        <w:t>23</w:t>
      </w:r>
      <w:r w:rsidRPr="00AC4BAD">
        <w:rPr>
          <w:rFonts w:ascii="SimSun" w:hAnsi="SimSun" w:cs="SimSun" w:hint="eastAsia"/>
          <w:sz w:val="24"/>
          <w:lang w:eastAsia="zh-CN"/>
        </w:rPr>
        <w:t>项全球行动目标和到</w:t>
      </w:r>
      <w:r w:rsidRPr="00AC4BAD">
        <w:rPr>
          <w:sz w:val="24"/>
          <w:lang w:eastAsia="zh-CN"/>
        </w:rPr>
        <w:t>2050</w:t>
      </w:r>
      <w:r w:rsidRPr="00AC4BAD">
        <w:rPr>
          <w:rFonts w:ascii="SimSun" w:hAnsi="SimSun" w:cs="SimSun" w:hint="eastAsia"/>
          <w:sz w:val="24"/>
          <w:lang w:eastAsia="zh-CN"/>
        </w:rPr>
        <w:t>年实现其四项长期目标，以及确定次国家和地方行动框架至关重要。</w:t>
      </w:r>
    </w:p>
    <w:p w14:paraId="387CB5A9" w14:textId="77777777" w:rsidR="005F1584" w:rsidRPr="00AC4BAD" w:rsidRDefault="005F1584" w:rsidP="00E52FA3">
      <w:pPr>
        <w:pStyle w:val="CBDNormalNoNumber"/>
        <w:rPr>
          <w:sz w:val="24"/>
          <w:lang w:eastAsia="zh-CN"/>
        </w:rPr>
      </w:pPr>
      <w:r w:rsidRPr="00AC4BAD">
        <w:rPr>
          <w:rFonts w:ascii="SimSun" w:hAnsi="SimSun" w:cs="SimSun" w:hint="eastAsia"/>
          <w:sz w:val="24"/>
          <w:lang w:eastAsia="zh-CN"/>
        </w:rPr>
        <w:t>在卡利举行的缔约方大会第十六届会议上，缔约方表明执行工作必须加快步伐，并通过了若干旨在推动和加强执行与审查工作的决定——包括启动</w:t>
      </w:r>
      <w:r w:rsidRPr="00AC4BAD">
        <w:rPr>
          <w:rFonts w:ascii="SimSun" w:hAnsi="SimSun" w:cs="SimSun" w:hint="eastAsia"/>
          <w:color w:val="1155CC"/>
          <w:sz w:val="24"/>
          <w:u w:val="single"/>
          <w:lang w:eastAsia="zh-CN"/>
        </w:rPr>
        <w:t>卡利基金的运作，以促进数字序列信息所产生的惠益分享；</w:t>
      </w:r>
      <w:r w:rsidRPr="00AC4BAD">
        <w:rPr>
          <w:rFonts w:ascii="SimSun" w:hAnsi="SimSun" w:cs="SimSun" w:hint="eastAsia"/>
          <w:sz w:val="24"/>
          <w:lang w:eastAsia="zh-CN"/>
        </w:rPr>
        <w:t>设立一个</w:t>
      </w:r>
      <w:r w:rsidRPr="00AC4BAD">
        <w:rPr>
          <w:rFonts w:ascii="SimSun" w:hAnsi="SimSun" w:cs="SimSun" w:hint="eastAsia"/>
          <w:color w:val="1155CC"/>
          <w:sz w:val="24"/>
          <w:u w:val="single"/>
          <w:lang w:eastAsia="zh-CN"/>
        </w:rPr>
        <w:t>常设机构以提升土著人民和地方社区的地位；</w:t>
      </w:r>
      <w:r w:rsidRPr="00AC4BAD">
        <w:rPr>
          <w:rFonts w:ascii="SimSun" w:hAnsi="SimSun" w:cs="SimSun" w:hint="eastAsia"/>
          <w:sz w:val="24"/>
          <w:lang w:eastAsia="zh-CN"/>
        </w:rPr>
        <w:t>以及</w:t>
      </w:r>
      <w:r w:rsidRPr="00AC4BAD">
        <w:rPr>
          <w:rFonts w:ascii="SimSun" w:hAnsi="SimSun" w:cs="SimSun" w:hint="eastAsia"/>
          <w:color w:val="1155CC"/>
          <w:sz w:val="24"/>
          <w:u w:val="single"/>
          <w:lang w:eastAsia="zh-CN"/>
        </w:rPr>
        <w:t>制定一项《</w:t>
      </w:r>
      <w:r w:rsidRPr="00AC4BAD">
        <w:rPr>
          <w:color w:val="1155CC"/>
          <w:sz w:val="24"/>
          <w:u w:val="single"/>
          <w:lang w:eastAsia="zh-CN"/>
        </w:rPr>
        <w:t>2025-2030</w:t>
      </w:r>
      <w:r w:rsidRPr="00AC4BAD">
        <w:rPr>
          <w:rFonts w:ascii="SimSun" w:hAnsi="SimSun" w:cs="SimSun" w:hint="eastAsia"/>
          <w:color w:val="1155CC"/>
          <w:sz w:val="24"/>
          <w:u w:val="single"/>
          <w:lang w:eastAsia="zh-CN"/>
        </w:rPr>
        <w:t>年资源调动战略》。</w:t>
      </w:r>
    </w:p>
    <w:p w14:paraId="2351ECE3" w14:textId="3A237015" w:rsidR="005F1584" w:rsidRPr="00AC4BAD" w:rsidRDefault="005F1584" w:rsidP="00E52FA3">
      <w:pPr>
        <w:pStyle w:val="CBDNormalNoNumber"/>
        <w:rPr>
          <w:sz w:val="24"/>
          <w:lang w:eastAsia="zh-CN"/>
        </w:rPr>
      </w:pPr>
      <w:r w:rsidRPr="00AC4BAD">
        <w:rPr>
          <w:rFonts w:ascii="SimSun" w:hAnsi="SimSun" w:cs="SimSun" w:hint="eastAsia"/>
          <w:sz w:val="24"/>
          <w:lang w:eastAsia="zh-CN"/>
        </w:rPr>
        <w:t>此外，为确保及时、有效地衡量全球生物多样性目标与具体目标的进展情况，缔约方通过了</w:t>
      </w:r>
      <w:r w:rsidRPr="00AC4BAD">
        <w:rPr>
          <w:rFonts w:ascii="SimSun" w:hAnsi="SimSun" w:cs="SimSun" w:hint="eastAsia"/>
          <w:color w:val="1155CC"/>
          <w:sz w:val="24"/>
          <w:u w:val="single"/>
          <w:lang w:eastAsia="zh-CN"/>
        </w:rPr>
        <w:t>关于规划、监测、报告和审查的机制</w:t>
      </w:r>
      <w:r w:rsidRPr="00AC4BAD">
        <w:rPr>
          <w:rFonts w:ascii="SimSun" w:hAnsi="SimSun" w:cs="SimSun" w:hint="eastAsia"/>
          <w:sz w:val="24"/>
          <w:lang w:eastAsia="zh-CN"/>
        </w:rPr>
        <w:t>，</w:t>
      </w:r>
      <w:r w:rsidRPr="00AC4BAD">
        <w:rPr>
          <w:rFonts w:ascii="SimSun" w:hAnsi="SimSun" w:cs="SimSun" w:hint="eastAsia"/>
          <w:color w:val="1155CC"/>
          <w:sz w:val="24"/>
          <w:u w:val="single"/>
          <w:lang w:eastAsia="zh-CN"/>
        </w:rPr>
        <w:t>其中包括</w:t>
      </w:r>
      <w:r w:rsidRPr="00AC4BAD">
        <w:rPr>
          <w:rFonts w:ascii="SimSun" w:hAnsi="SimSun" w:cs="SimSun" w:hint="eastAsia"/>
          <w:sz w:val="24"/>
          <w:lang w:eastAsia="zh-CN"/>
        </w:rPr>
        <w:t>将在缔约方大会第十七届和第十九届会议上进行的</w:t>
      </w:r>
      <w:r w:rsidRPr="00AC4BAD">
        <w:rPr>
          <w:rFonts w:ascii="SimSun" w:hAnsi="SimSun" w:cs="SimSun" w:hint="eastAsia"/>
          <w:color w:val="1155CC"/>
          <w:sz w:val="24"/>
          <w:u w:val="single"/>
          <w:lang w:eastAsia="zh-CN"/>
        </w:rPr>
        <w:t>《昆蒙框架》集体执行进度全球审查</w:t>
      </w:r>
      <w:r w:rsidRPr="00AC4BAD">
        <w:rPr>
          <w:rFonts w:ascii="SimSun" w:hAnsi="SimSun" w:cs="SimSun" w:hint="eastAsia"/>
          <w:sz w:val="24"/>
          <w:lang w:eastAsia="zh-CN"/>
        </w:rPr>
        <w:t>（即“全球审查”）（第</w:t>
      </w:r>
      <w:r w:rsidRPr="00AC4BAD">
        <w:rPr>
          <w:sz w:val="24"/>
          <w:lang w:eastAsia="zh-CN"/>
        </w:rPr>
        <w:t>15/6</w:t>
      </w:r>
      <w:r w:rsidRPr="00AC4BAD">
        <w:rPr>
          <w:rFonts w:ascii="SimSun" w:hAnsi="SimSun" w:cs="SimSun" w:hint="eastAsia"/>
          <w:sz w:val="24"/>
          <w:lang w:eastAsia="zh-CN"/>
        </w:rPr>
        <w:t>号和第</w:t>
      </w:r>
      <w:r w:rsidRPr="00AC4BAD">
        <w:rPr>
          <w:sz w:val="24"/>
          <w:lang w:eastAsia="zh-CN"/>
        </w:rPr>
        <w:t>16/32</w:t>
      </w:r>
      <w:r w:rsidRPr="00AC4BAD">
        <w:rPr>
          <w:rFonts w:ascii="SimSun" w:hAnsi="SimSun" w:cs="SimSun" w:hint="eastAsia"/>
          <w:sz w:val="24"/>
          <w:lang w:eastAsia="zh-CN"/>
        </w:rPr>
        <w:t>号决定）。这建立了类似于气候机制的</w:t>
      </w:r>
      <w:r w:rsidRPr="00AC4BAD">
        <w:rPr>
          <w:rFonts w:ascii="SimSun" w:hAnsi="SimSun" w:cs="SimSun" w:hint="eastAsia"/>
          <w:b/>
          <w:bCs/>
          <w:sz w:val="24"/>
          <w:lang w:eastAsia="zh-CN"/>
        </w:rPr>
        <w:t>定期全球审查</w:t>
      </w:r>
      <w:r w:rsidRPr="00AC4BAD">
        <w:rPr>
          <w:rFonts w:ascii="SimSun" w:hAnsi="SimSun" w:cs="SimSun" w:hint="eastAsia"/>
          <w:sz w:val="24"/>
          <w:lang w:eastAsia="zh-CN"/>
        </w:rPr>
        <w:t>机制，以及用于报告和评估集体进度、识别差距，并帮助缔约方提升实现</w:t>
      </w:r>
      <w:r w:rsidRPr="00AC4BAD">
        <w:rPr>
          <w:sz w:val="24"/>
          <w:lang w:eastAsia="zh-CN"/>
        </w:rPr>
        <w:t>2030</w:t>
      </w:r>
      <w:r w:rsidRPr="00AC4BAD">
        <w:rPr>
          <w:rFonts w:ascii="SimSun" w:hAnsi="SimSun" w:cs="SimSun" w:hint="eastAsia"/>
          <w:sz w:val="24"/>
          <w:lang w:eastAsia="zh-CN"/>
        </w:rPr>
        <w:t>年行动目标和</w:t>
      </w:r>
      <w:r w:rsidRPr="00AC4BAD">
        <w:rPr>
          <w:sz w:val="24"/>
          <w:lang w:eastAsia="zh-CN"/>
        </w:rPr>
        <w:t>2050</w:t>
      </w:r>
      <w:r w:rsidRPr="00AC4BAD">
        <w:rPr>
          <w:rFonts w:ascii="SimSun" w:hAnsi="SimSun" w:cs="SimSun" w:hint="eastAsia"/>
          <w:sz w:val="24"/>
          <w:lang w:eastAsia="zh-CN"/>
        </w:rPr>
        <w:t>年长期目标的雄心的机制。第</w:t>
      </w:r>
      <w:r w:rsidRPr="00AC4BAD">
        <w:rPr>
          <w:sz w:val="24"/>
          <w:lang w:eastAsia="zh-CN"/>
        </w:rPr>
        <w:t>15/6</w:t>
      </w:r>
      <w:r w:rsidRPr="00AC4BAD">
        <w:rPr>
          <w:rFonts w:ascii="SimSun" w:hAnsi="SimSun" w:cs="SimSun" w:hint="eastAsia"/>
          <w:sz w:val="24"/>
          <w:lang w:eastAsia="zh-CN"/>
        </w:rPr>
        <w:t>号决定授权执行问题附属机构在科学、技术和工艺咨询附属机构（科咨机构）就全球审查的相关科学、技术和工艺投入提供咨询建议的基础上，制定全球审查的具体程序。</w:t>
      </w:r>
      <w:r w:rsidR="007640CD" w:rsidRPr="00A82775">
        <w:rPr>
          <w:sz w:val="24"/>
          <w:vertAlign w:val="superscript"/>
          <w:lang w:val="en-GB"/>
        </w:rPr>
        <w:footnoteReference w:id="11"/>
      </w:r>
      <w:r w:rsidRPr="00AC4BAD">
        <w:rPr>
          <w:sz w:val="24"/>
          <w:lang w:eastAsia="zh-CN"/>
        </w:rPr>
        <w:t xml:space="preserve"> </w:t>
      </w:r>
    </w:p>
    <w:p w14:paraId="18F987CD" w14:textId="77777777" w:rsidR="005F1584" w:rsidRPr="00AC4BAD" w:rsidRDefault="005F1584" w:rsidP="00E52FA3">
      <w:pPr>
        <w:pStyle w:val="CBDNormalNoNumber"/>
        <w:rPr>
          <w:sz w:val="24"/>
          <w:lang w:eastAsia="zh-CN"/>
        </w:rPr>
      </w:pPr>
      <w:r w:rsidRPr="00AC4BAD">
        <w:rPr>
          <w:rFonts w:ascii="SimSun" w:hAnsi="SimSun" w:cs="SimSun" w:hint="eastAsia"/>
          <w:sz w:val="24"/>
          <w:lang w:eastAsia="zh-CN"/>
        </w:rPr>
        <w:lastRenderedPageBreak/>
        <w:t>该全球审查进程由咨询委员会监督，以确保审查由缔约方主导，并得到编写昆明</w:t>
      </w:r>
      <w:r w:rsidRPr="00AC4BAD">
        <w:rPr>
          <w:sz w:val="24"/>
          <w:lang w:eastAsia="zh-CN"/>
        </w:rPr>
        <w:t>-</w:t>
      </w:r>
      <w:r w:rsidRPr="00AC4BAD">
        <w:rPr>
          <w:rFonts w:ascii="SimSun" w:hAnsi="SimSun" w:cs="SimSun" w:hint="eastAsia"/>
          <w:sz w:val="24"/>
          <w:lang w:eastAsia="zh-CN"/>
        </w:rPr>
        <w:t>蒙特利尔全球生物多样性框架集体执行进度报告特设科学和技术咨询小组的支持。全球审查进程在第</w:t>
      </w:r>
      <w:r w:rsidRPr="00AC4BAD">
        <w:rPr>
          <w:sz w:val="24"/>
          <w:lang w:eastAsia="zh-CN"/>
        </w:rPr>
        <w:t>15/6</w:t>
      </w:r>
      <w:r w:rsidRPr="00AC4BAD">
        <w:rPr>
          <w:rFonts w:ascii="SimSun" w:hAnsi="SimSun" w:cs="SimSun" w:hint="eastAsia"/>
          <w:sz w:val="24"/>
          <w:lang w:eastAsia="zh-CN"/>
        </w:rPr>
        <w:t>号决定通过后启动，审查依据的证据包括国家报告、科学评估以及政府与利益攸关方提供的意见。在全球审查过程中，缔约方将审视执行过程中遇到的障碍与汲取到的经验教训，分享良好做法，并明确需要哪些进一步的支持。</w:t>
      </w:r>
    </w:p>
    <w:p w14:paraId="37DB73F4" w14:textId="77777777" w:rsidR="005F1584" w:rsidRPr="00AC4BAD" w:rsidRDefault="005F1584" w:rsidP="00E52FA3">
      <w:pPr>
        <w:pStyle w:val="CBDNormalNoNumber"/>
        <w:rPr>
          <w:sz w:val="24"/>
          <w:lang w:eastAsia="zh-CN"/>
        </w:rPr>
      </w:pPr>
      <w:r w:rsidRPr="00AC4BAD">
        <w:rPr>
          <w:rFonts w:ascii="SimSun" w:hAnsi="SimSun" w:cs="SimSun" w:hint="eastAsia"/>
          <w:sz w:val="24"/>
          <w:lang w:eastAsia="zh-CN"/>
        </w:rPr>
        <w:t>自《昆蒙框架》通过以来，从蒙特利尔到卡利再到埃里温的路线图，始终明确聚焦于首次全球审查。缔约方、其他国家政府及观察员将齐聚亚美尼亚，参加缔约方大会第十七届会议。这将是《昆蒙框架》通过以来的首次，全球将在此回答一系列关键问题：</w:t>
      </w:r>
      <w:r w:rsidRPr="00AC4BAD">
        <w:rPr>
          <w:rFonts w:ascii="STKaiti" w:eastAsia="KaiTi" w:hAnsi="STKaiti" w:cs="STKaiti" w:hint="eastAsia"/>
          <w:sz w:val="24"/>
          <w:lang w:eastAsia="zh-CN"/>
        </w:rPr>
        <w:t>我们是否正走在按部就班实现</w:t>
      </w:r>
      <w:r w:rsidRPr="00AC4BAD">
        <w:rPr>
          <w:rFonts w:ascii="STKaiti" w:eastAsia="KaiTi" w:hAnsi="STKaiti" w:cs="STKaiti" w:hint="eastAsia"/>
          <w:sz w:val="24"/>
          <w:lang w:eastAsia="zh-CN"/>
        </w:rPr>
        <w:t>23</w:t>
      </w:r>
      <w:r w:rsidRPr="00AC4BAD">
        <w:rPr>
          <w:rFonts w:ascii="STKaiti" w:eastAsia="KaiTi" w:hAnsi="STKaiti" w:cs="STKaiti" w:hint="eastAsia"/>
          <w:sz w:val="24"/>
          <w:lang w:eastAsia="zh-CN"/>
        </w:rPr>
        <w:t>项全球行动目标？如果尚未实现，哪些方面需要加速推进、加强力度或做出纠正？</w:t>
      </w:r>
    </w:p>
    <w:p w14:paraId="78FC1F1E" w14:textId="1769A58F" w:rsidR="005F1584" w:rsidRPr="00AC4BAD" w:rsidRDefault="005F1584" w:rsidP="00E52FA3">
      <w:pPr>
        <w:pStyle w:val="CBDNormalNoNumber"/>
        <w:rPr>
          <w:sz w:val="24"/>
          <w:lang w:eastAsia="zh-CN"/>
        </w:rPr>
      </w:pPr>
      <w:r w:rsidRPr="00AC4BAD">
        <w:rPr>
          <w:rFonts w:ascii="SimSun" w:hAnsi="SimSun" w:cs="SimSun" w:hint="eastAsia"/>
          <w:sz w:val="24"/>
          <w:lang w:eastAsia="zh-CN"/>
        </w:rPr>
        <w:t>该路线图的一个重要里程碑是</w:t>
      </w:r>
      <w:r w:rsidRPr="00AC4BAD">
        <w:rPr>
          <w:sz w:val="24"/>
          <w:lang w:eastAsia="zh-CN"/>
        </w:rPr>
        <w:t>2025</w:t>
      </w:r>
      <w:r w:rsidRPr="00AC4BAD">
        <w:rPr>
          <w:rFonts w:ascii="SimSun" w:hAnsi="SimSun" w:cs="SimSun" w:hint="eastAsia"/>
          <w:sz w:val="24"/>
          <w:lang w:eastAsia="zh-CN"/>
        </w:rPr>
        <w:t>年</w:t>
      </w:r>
      <w:r w:rsidRPr="00AC4BAD">
        <w:rPr>
          <w:sz w:val="24"/>
          <w:lang w:eastAsia="zh-CN"/>
        </w:rPr>
        <w:t>10</w:t>
      </w:r>
      <w:r w:rsidRPr="00AC4BAD">
        <w:rPr>
          <w:rFonts w:ascii="SimSun" w:hAnsi="SimSun" w:cs="SimSun" w:hint="eastAsia"/>
          <w:sz w:val="24"/>
          <w:lang w:eastAsia="zh-CN"/>
        </w:rPr>
        <w:t>月在巴拿马城举行的科咨机构第</w:t>
      </w:r>
      <w:r w:rsidR="00F149DC" w:rsidRPr="00AC4BAD">
        <w:rPr>
          <w:rFonts w:hint="eastAsia"/>
          <w:sz w:val="24"/>
          <w:lang w:eastAsia="zh-CN"/>
        </w:rPr>
        <w:t>二十六</w:t>
      </w:r>
      <w:r w:rsidRPr="00AC4BAD">
        <w:rPr>
          <w:rFonts w:ascii="SimSun" w:hAnsi="SimSun" w:cs="SimSun" w:hint="eastAsia"/>
          <w:sz w:val="24"/>
          <w:lang w:eastAsia="zh-CN"/>
        </w:rPr>
        <w:t>次会议。会上，代表们就首份全球进度报告的草案纲要达成一致。该报告旨在评估集体进度，通过《国家战略和行动计划》分析各国的执行情况，识别尚存的差距，并概述为加快实现</w:t>
      </w:r>
      <w:r w:rsidR="00571510" w:rsidRPr="00AC4BAD">
        <w:rPr>
          <w:rFonts w:ascii="SimSun" w:hAnsi="SimSun" w:cs="SimSun" w:hint="eastAsia"/>
          <w:sz w:val="24"/>
          <w:lang w:eastAsia="zh-CN"/>
        </w:rPr>
        <w:t>《</w:t>
      </w:r>
      <w:r w:rsidRPr="00AC4BAD">
        <w:rPr>
          <w:rFonts w:ascii="SimSun" w:hAnsi="SimSun" w:cs="SimSun" w:hint="eastAsia"/>
          <w:sz w:val="24"/>
          <w:lang w:eastAsia="zh-CN"/>
        </w:rPr>
        <w:t>框架</w:t>
      </w:r>
      <w:r w:rsidR="00571510" w:rsidRPr="00AC4BAD">
        <w:rPr>
          <w:rFonts w:ascii="SimSun" w:hAnsi="SimSun" w:cs="SimSun" w:hint="eastAsia"/>
          <w:sz w:val="24"/>
          <w:lang w:eastAsia="zh-CN"/>
        </w:rPr>
        <w:t>》</w:t>
      </w:r>
      <w:r w:rsidRPr="00AC4BAD">
        <w:rPr>
          <w:rFonts w:ascii="SimSun" w:hAnsi="SimSun" w:cs="SimSun" w:hint="eastAsia"/>
          <w:sz w:val="24"/>
          <w:lang w:eastAsia="zh-CN"/>
        </w:rPr>
        <w:t>各项目标所需的优先行动。</w:t>
      </w:r>
    </w:p>
    <w:p w14:paraId="7B42CD09" w14:textId="77777777" w:rsidR="005F1584" w:rsidRPr="00AC4BAD" w:rsidRDefault="005F1584" w:rsidP="00E52FA3">
      <w:pPr>
        <w:pStyle w:val="CBDNormalNoNumber"/>
        <w:rPr>
          <w:sz w:val="24"/>
          <w:lang w:eastAsia="zh-CN"/>
        </w:rPr>
      </w:pPr>
      <w:r w:rsidRPr="00AC4BAD">
        <w:rPr>
          <w:rFonts w:ascii="SimSun" w:hAnsi="SimSun" w:cs="SimSun" w:hint="eastAsia"/>
          <w:sz w:val="24"/>
          <w:lang w:eastAsia="zh-CN"/>
        </w:rPr>
        <w:t>简而言之，从卡利到埃里温，国际社会正从承诺转向行动与问责。缔约方大会第十七届会议全球审查将为这个十年的后半程指明方向，确保《昆蒙框架》不仅是一纸计划，而是一条通往</w:t>
      </w:r>
      <w:r w:rsidRPr="00AC4BAD">
        <w:rPr>
          <w:sz w:val="24"/>
          <w:lang w:eastAsia="zh-CN"/>
        </w:rPr>
        <w:t>2050</w:t>
      </w:r>
      <w:r w:rsidRPr="00AC4BAD">
        <w:rPr>
          <w:rFonts w:ascii="SimSun" w:hAnsi="SimSun" w:cs="SimSun" w:hint="eastAsia"/>
          <w:sz w:val="24"/>
          <w:lang w:eastAsia="zh-CN"/>
        </w:rPr>
        <w:t>年前人与自然和谐共生的真正路径。</w:t>
      </w:r>
    </w:p>
    <w:p w14:paraId="4CC0DE4F" w14:textId="060110AF" w:rsidR="005F1584" w:rsidRPr="00AC4BAD" w:rsidRDefault="005F1584" w:rsidP="00E52FA3">
      <w:pPr>
        <w:pStyle w:val="CBDH2"/>
        <w:spacing w:after="120"/>
        <w:rPr>
          <w:lang w:eastAsia="zh-CN"/>
        </w:rPr>
      </w:pPr>
      <w:r w:rsidRPr="00AC4BAD">
        <w:rPr>
          <w:lang w:eastAsia="zh-CN"/>
        </w:rPr>
        <w:t>1.2.</w:t>
      </w:r>
      <w:r w:rsidRPr="00AC4BAD">
        <w:rPr>
          <w:lang w:eastAsia="zh-CN"/>
        </w:rPr>
        <w:tab/>
      </w:r>
      <w:r w:rsidRPr="00AC4BAD">
        <w:rPr>
          <w:rFonts w:ascii="SimSun" w:hAnsi="SimSun" w:cs="SimSun" w:hint="eastAsia"/>
          <w:lang w:eastAsia="zh-CN"/>
        </w:rPr>
        <w:t>次国家政府、城市和其他地方当局在执行《生物多样性公约》及其议定书和《昆蒙框架》方面</w:t>
      </w:r>
      <w:r w:rsidR="000D7ED1" w:rsidRPr="00AC4BAD">
        <w:rPr>
          <w:rFonts w:ascii="SimSun" w:hAnsi="SimSun" w:cs="SimSun" w:hint="eastAsia"/>
          <w:lang w:eastAsia="zh-CN"/>
        </w:rPr>
        <w:t>的</w:t>
      </w:r>
      <w:r w:rsidRPr="00AC4BAD">
        <w:rPr>
          <w:rFonts w:ascii="SimSun" w:hAnsi="SimSun" w:cs="SimSun" w:hint="eastAsia"/>
          <w:lang w:eastAsia="zh-CN"/>
        </w:rPr>
        <w:t>作用的审查的宗旨和范围</w:t>
      </w:r>
    </w:p>
    <w:p w14:paraId="1E1D6946" w14:textId="791157D7" w:rsidR="005F1584" w:rsidRPr="00AC4BAD" w:rsidRDefault="005F1584" w:rsidP="00E52FA3">
      <w:pPr>
        <w:pStyle w:val="CBDNormalNoNumber"/>
        <w:rPr>
          <w:sz w:val="24"/>
          <w:lang w:eastAsia="zh-CN"/>
        </w:rPr>
      </w:pPr>
      <w:r w:rsidRPr="00AC4BAD">
        <w:rPr>
          <w:rFonts w:ascii="SimSun" w:hAnsi="SimSun" w:cs="SimSun" w:hint="eastAsia"/>
          <w:sz w:val="24"/>
          <w:lang w:eastAsia="zh-CN"/>
        </w:rPr>
        <w:t>缔约方大会第十五届会议通过的关于与次国家政府、城市和其他地方当局互动加强执行《昆蒙框架》的第</w:t>
      </w:r>
      <w:r w:rsidRPr="00AC4BAD">
        <w:rPr>
          <w:sz w:val="24"/>
          <w:lang w:eastAsia="zh-CN"/>
        </w:rPr>
        <w:t>15/12</w:t>
      </w:r>
      <w:r w:rsidRPr="00AC4BAD">
        <w:rPr>
          <w:rFonts w:ascii="SimSun" w:hAnsi="SimSun" w:cs="SimSun" w:hint="eastAsia"/>
          <w:sz w:val="24"/>
          <w:lang w:eastAsia="zh-CN"/>
        </w:rPr>
        <w:t>号决定是一项具有里程碑意义的决定，因为它是三项里约公约中唯一一个关于多层次治理的机制。该决定为这十年提供了支持缔约方、次国家和地方政府执行《昆蒙框架》的框架和全面行动计划。如上所述，第</w:t>
      </w:r>
      <w:r w:rsidRPr="00AC4BAD">
        <w:rPr>
          <w:sz w:val="24"/>
          <w:lang w:eastAsia="zh-CN"/>
        </w:rPr>
        <w:t>15/12</w:t>
      </w:r>
      <w:r w:rsidRPr="00AC4BAD">
        <w:rPr>
          <w:rFonts w:ascii="SimSun" w:hAnsi="SimSun" w:cs="SimSun" w:hint="eastAsia"/>
          <w:sz w:val="24"/>
          <w:lang w:eastAsia="zh-CN"/>
        </w:rPr>
        <w:t>号决定请执行秘书对次国家政府、城市和其他地方当局在实现《公约》及其议定书和《昆蒙框架》的目标方面的作用进行一次审查，并将审查报告在缔约方大会第十七届会议之前提交执行问题附属机构审议。</w:t>
      </w:r>
    </w:p>
    <w:p w14:paraId="695C5D79" w14:textId="0EA1EC57" w:rsidR="005F1584" w:rsidRPr="00AC4BAD" w:rsidRDefault="005F1584" w:rsidP="00E52FA3">
      <w:pPr>
        <w:pStyle w:val="CBDNormalNoNumber"/>
        <w:rPr>
          <w:sz w:val="24"/>
          <w:lang w:eastAsia="zh-CN"/>
        </w:rPr>
      </w:pPr>
      <w:r w:rsidRPr="00AC4BAD">
        <w:rPr>
          <w:rFonts w:ascii="SimSun" w:hAnsi="SimSun" w:cs="SimSun" w:hint="eastAsia"/>
          <w:sz w:val="24"/>
          <w:lang w:eastAsia="zh-CN"/>
        </w:rPr>
        <w:t>本报告旨在回应缔约方的这一请求，通过对照第</w:t>
      </w:r>
      <w:r w:rsidRPr="00AC4BAD">
        <w:rPr>
          <w:sz w:val="24"/>
          <w:lang w:eastAsia="zh-CN"/>
        </w:rPr>
        <w:t>15/12</w:t>
      </w:r>
      <w:r w:rsidRPr="00AC4BAD">
        <w:rPr>
          <w:rFonts w:ascii="SimSun" w:hAnsi="SimSun" w:cs="SimSun" w:hint="eastAsia"/>
          <w:sz w:val="24"/>
          <w:lang w:eastAsia="zh-CN"/>
        </w:rPr>
        <w:t>号决定中确定的七个行动领域，审查次国家和地方政府在推动执行《昆蒙框架》和实现其</w:t>
      </w:r>
      <w:r w:rsidRPr="00AC4BAD">
        <w:rPr>
          <w:sz w:val="24"/>
          <w:lang w:eastAsia="zh-CN"/>
        </w:rPr>
        <w:t>2030</w:t>
      </w:r>
      <w:r w:rsidRPr="00AC4BAD">
        <w:rPr>
          <w:rFonts w:ascii="SimSun" w:hAnsi="SimSun" w:cs="SimSun" w:hint="eastAsia"/>
          <w:sz w:val="24"/>
          <w:lang w:eastAsia="zh-CN"/>
        </w:rPr>
        <w:t>年行动目标方面所发挥的关键作用。作为最贴近民众并负责土地利用规划、生态恢复、保护区和社区层面行动的当局，次国家和地方政府处于生物多样性压力最为直接的治理前沿。因此，它们拥有最为有利的条件，能够采取最有效的行动和解决方案，从实地层面应对生物多样性丧失和生态系统退化问题。</w:t>
      </w:r>
    </w:p>
    <w:p w14:paraId="177AC9E5" w14:textId="74F48BCF" w:rsidR="005F1584" w:rsidRPr="00AC4BAD" w:rsidRDefault="005F1584" w:rsidP="00E52FA3">
      <w:pPr>
        <w:pStyle w:val="CBDNormalNoNumber"/>
        <w:rPr>
          <w:sz w:val="24"/>
          <w:lang w:eastAsia="zh-CN"/>
        </w:rPr>
      </w:pPr>
      <w:r w:rsidRPr="00AC4BAD">
        <w:rPr>
          <w:rFonts w:ascii="SimSun" w:hAnsi="SimSun" w:cs="SimSun" w:hint="eastAsia"/>
          <w:sz w:val="24"/>
          <w:lang w:eastAsia="zh-CN"/>
        </w:rPr>
        <w:t>本报告</w:t>
      </w:r>
      <w:r w:rsidRPr="00AC4BAD">
        <w:rPr>
          <w:rFonts w:ascii="SimSun" w:hAnsi="SimSun" w:cs="SimSun" w:hint="eastAsia"/>
          <w:b/>
          <w:bCs/>
          <w:sz w:val="24"/>
          <w:lang w:eastAsia="zh-CN"/>
        </w:rPr>
        <w:t>并非旨在</w:t>
      </w:r>
      <w:r w:rsidRPr="00AC4BAD">
        <w:rPr>
          <w:rFonts w:ascii="SimSun" w:hAnsi="SimSun" w:cs="SimSun" w:hint="eastAsia"/>
          <w:sz w:val="24"/>
          <w:lang w:eastAsia="zh-CN"/>
        </w:rPr>
        <w:t>作为一份系统性和全面性的报告，以展示和衡量次国家和地方政府已取得的进展。其范围仅限于概览性呈现全球各地城市（无论规模大小）、区级主管部门、省、州及县正在执行的众多倡议、行动、计划和项目中的一部分，这些举措均为实现</w:t>
      </w:r>
      <w:r w:rsidRPr="00AC4BAD">
        <w:rPr>
          <w:sz w:val="24"/>
          <w:lang w:eastAsia="zh-CN"/>
        </w:rPr>
        <w:t>2030</w:t>
      </w:r>
      <w:r w:rsidRPr="00AC4BAD">
        <w:rPr>
          <w:rFonts w:ascii="SimSun" w:hAnsi="SimSun" w:cs="SimSun" w:hint="eastAsia"/>
          <w:sz w:val="24"/>
          <w:lang w:eastAsia="zh-CN"/>
        </w:rPr>
        <w:t>年行动目标及生物多样性公约第</w:t>
      </w:r>
      <w:r w:rsidRPr="00AC4BAD">
        <w:rPr>
          <w:sz w:val="24"/>
          <w:lang w:eastAsia="zh-CN"/>
        </w:rPr>
        <w:t>15/12</w:t>
      </w:r>
      <w:r w:rsidRPr="00AC4BAD">
        <w:rPr>
          <w:rFonts w:ascii="SimSun" w:hAnsi="SimSun" w:cs="SimSun" w:hint="eastAsia"/>
          <w:sz w:val="24"/>
          <w:lang w:eastAsia="zh-CN"/>
        </w:rPr>
        <w:t>号决定通过的《行动计划》中确定的行动领域做出了贡献。这一呈现将通过两个互补的视角来体现：</w:t>
      </w:r>
    </w:p>
    <w:p w14:paraId="5CA00EFC" w14:textId="64A48BF8" w:rsidR="005F1584" w:rsidRPr="00AC4BAD" w:rsidRDefault="005F1584" w:rsidP="00E52FA3">
      <w:pPr>
        <w:widowControl w:val="0"/>
        <w:numPr>
          <w:ilvl w:val="0"/>
          <w:numId w:val="27"/>
        </w:numPr>
        <w:tabs>
          <w:tab w:val="clear" w:pos="567"/>
          <w:tab w:val="clear" w:pos="1134"/>
          <w:tab w:val="clear" w:pos="1701"/>
          <w:tab w:val="clear" w:pos="2268"/>
          <w:tab w:val="left" w:pos="420"/>
        </w:tabs>
        <w:spacing w:after="120"/>
        <w:rPr>
          <w:sz w:val="24"/>
          <w:lang w:eastAsia="zh-CN"/>
        </w:rPr>
      </w:pPr>
      <w:r w:rsidRPr="00AC4BAD">
        <w:rPr>
          <w:rFonts w:ascii="SimSun" w:hAnsi="SimSun" w:cs="SimSun" w:hint="eastAsia"/>
          <w:sz w:val="24"/>
          <w:lang w:eastAsia="zh-CN" w:bidi="ar"/>
        </w:rPr>
        <w:t>首先，从次国家和地方政府的视角，对为落实第</w:t>
      </w:r>
      <w:r w:rsidRPr="00AC4BAD">
        <w:rPr>
          <w:sz w:val="24"/>
          <w:lang w:eastAsia="zh-CN" w:bidi="ar"/>
        </w:rPr>
        <w:t>15/12</w:t>
      </w:r>
      <w:r w:rsidRPr="00AC4BAD">
        <w:rPr>
          <w:rFonts w:ascii="SimSun" w:hAnsi="SimSun" w:cs="SimSun" w:hint="eastAsia"/>
          <w:sz w:val="24"/>
          <w:lang w:eastAsia="zh-CN" w:bidi="ar"/>
        </w:rPr>
        <w:t>号决定中所确定的行动领域而采取的行动进行桌面审查；以及</w:t>
      </w:r>
    </w:p>
    <w:p w14:paraId="036BCD9D" w14:textId="179A8808" w:rsidR="005F1584" w:rsidRPr="00AC4BAD" w:rsidRDefault="005F1584" w:rsidP="00E52FA3">
      <w:pPr>
        <w:widowControl w:val="0"/>
        <w:numPr>
          <w:ilvl w:val="0"/>
          <w:numId w:val="27"/>
        </w:numPr>
        <w:tabs>
          <w:tab w:val="clear" w:pos="567"/>
          <w:tab w:val="clear" w:pos="1134"/>
          <w:tab w:val="clear" w:pos="1701"/>
          <w:tab w:val="clear" w:pos="2268"/>
          <w:tab w:val="left" w:pos="420"/>
        </w:tabs>
        <w:spacing w:after="120"/>
        <w:rPr>
          <w:sz w:val="24"/>
          <w:lang w:eastAsia="zh-CN"/>
        </w:rPr>
      </w:pPr>
      <w:r w:rsidRPr="00AC4BAD">
        <w:rPr>
          <w:rFonts w:ascii="SimSun" w:hAnsi="SimSun" w:cs="SimSun" w:hint="eastAsia"/>
          <w:sz w:val="24"/>
          <w:lang w:eastAsia="zh-CN" w:bidi="ar"/>
        </w:rPr>
        <w:lastRenderedPageBreak/>
        <w:t>其次，从全球范围内遴选次国家和地方政府具有代表性的案例研究，以说明它们如何为实现《昆蒙框架》各项行动目标做出贡献。</w:t>
      </w:r>
    </w:p>
    <w:p w14:paraId="59BBC15F" w14:textId="16D4EE18" w:rsidR="005F1584" w:rsidRPr="00AC4BAD" w:rsidRDefault="005F1584" w:rsidP="00E52FA3">
      <w:pPr>
        <w:pStyle w:val="CBDNormalNoNumber"/>
        <w:rPr>
          <w:spacing w:val="-4"/>
          <w:sz w:val="24"/>
          <w:lang w:eastAsia="zh-CN"/>
        </w:rPr>
      </w:pPr>
      <w:r w:rsidRPr="00AC4BAD">
        <w:rPr>
          <w:rFonts w:ascii="SimSun" w:hAnsi="SimSun" w:cs="SimSun" w:hint="eastAsia"/>
          <w:spacing w:val="-4"/>
          <w:sz w:val="24"/>
          <w:lang w:eastAsia="zh-CN"/>
        </w:rPr>
        <w:t>通过与第</w:t>
      </w:r>
      <w:r w:rsidRPr="00AC4BAD">
        <w:rPr>
          <w:spacing w:val="-4"/>
          <w:sz w:val="24"/>
          <w:lang w:eastAsia="zh-CN"/>
        </w:rPr>
        <w:t>15/12</w:t>
      </w:r>
      <w:r w:rsidRPr="00AC4BAD">
        <w:rPr>
          <w:rFonts w:ascii="SimSun" w:hAnsi="SimSun" w:cs="SimSun" w:hint="eastAsia"/>
          <w:spacing w:val="-4"/>
          <w:sz w:val="24"/>
          <w:lang w:eastAsia="zh-CN"/>
        </w:rPr>
        <w:t>号决定保持一致，本报告强调，承认并加强次国家和地方政府的贡献与《昆蒙框架》所体现的“全政府参与”方法是一致的。次国家和地方政府是许多缔约方及其他国家政府的组成部分，它们在实现《公约》目标，以及在监测与报告、主流化、资源调动、能力建设、宣传、教育和公众意识提升、社会参与及公众获取信息等方面所发挥的作用，对于《昆蒙框架》的成功和有效执行至关重要。</w:t>
      </w:r>
    </w:p>
    <w:p w14:paraId="12F64257" w14:textId="5F5809DA" w:rsidR="005F1584" w:rsidRPr="00AC4BAD" w:rsidRDefault="005F1584" w:rsidP="00E52FA3">
      <w:pPr>
        <w:pStyle w:val="CBDH2"/>
        <w:spacing w:after="120"/>
        <w:jc w:val="left"/>
        <w:rPr>
          <w:lang w:eastAsia="zh-CN"/>
        </w:rPr>
      </w:pPr>
      <w:r w:rsidRPr="00AC4BAD">
        <w:rPr>
          <w:lang w:eastAsia="zh-CN"/>
        </w:rPr>
        <w:t xml:space="preserve">1.3. </w:t>
      </w:r>
      <w:r w:rsidR="00775645" w:rsidRPr="00AC4BAD">
        <w:rPr>
          <w:lang w:eastAsia="zh-CN"/>
        </w:rPr>
        <w:tab/>
      </w:r>
      <w:r w:rsidRPr="00AC4BAD">
        <w:rPr>
          <w:rFonts w:ascii="SimSun" w:hAnsi="SimSun" w:cs="SimSun" w:hint="eastAsia"/>
          <w:lang w:eastAsia="zh-CN"/>
        </w:rPr>
        <w:t>开展审查所遵循的流程和方法</w:t>
      </w:r>
    </w:p>
    <w:p w14:paraId="0C5BBB81" w14:textId="2A211315" w:rsidR="005F1584" w:rsidRPr="00AC4BAD" w:rsidRDefault="005F1584" w:rsidP="00E52FA3">
      <w:pPr>
        <w:pStyle w:val="CBDNormalNoNumber"/>
        <w:rPr>
          <w:sz w:val="24"/>
          <w:lang w:eastAsia="zh-CN"/>
        </w:rPr>
      </w:pPr>
      <w:r w:rsidRPr="00AC4BAD">
        <w:rPr>
          <w:rFonts w:ascii="SimSun" w:hAnsi="SimSun" w:cs="SimSun" w:hint="eastAsia"/>
          <w:sz w:val="24"/>
          <w:lang w:eastAsia="zh-CN"/>
        </w:rPr>
        <w:t>第</w:t>
      </w:r>
      <w:r w:rsidRPr="00AC4BAD">
        <w:rPr>
          <w:sz w:val="24"/>
          <w:lang w:eastAsia="zh-CN"/>
        </w:rPr>
        <w:t>15/12</w:t>
      </w:r>
      <w:r w:rsidRPr="00AC4BAD">
        <w:rPr>
          <w:rFonts w:ascii="SimSun" w:hAnsi="SimSun" w:cs="SimSun" w:hint="eastAsia"/>
          <w:sz w:val="24"/>
          <w:lang w:eastAsia="zh-CN"/>
        </w:rPr>
        <w:t>号决定除确认审查工作“在资源允许的情况下”开展外，未就审查应遵循的流程、程序以及范围作出规定。由于资源有限，无法在各级政府和各部门开展全面、系统且经核实的数据收集与审查。故而资源的缺乏意味着本次审查仅限于易于获取的现有数据。据此，本报告采用对现有数据来源进行快速和高层次的案头审查与分析相结合的方法编制而成。报告主要借鉴了地方政府网络案例研究数据库中的案例研究，以及次国家和地方政府在</w:t>
      </w:r>
      <w:hyperlink r:id="rId22" w:history="1">
        <w:r w:rsidRPr="00AC4BAD">
          <w:rPr>
            <w:rFonts w:ascii="SimSun" w:hAnsi="SimSun" w:cs="SimSun" w:hint="eastAsia"/>
            <w:color w:val="1155CC"/>
            <w:sz w:val="24"/>
            <w:u w:val="single"/>
            <w:lang w:eastAsia="zh-CN"/>
          </w:rPr>
          <w:t>区域自然</w:t>
        </w:r>
      </w:hyperlink>
      <w:r w:rsidRPr="00AC4BAD">
        <w:rPr>
          <w:rFonts w:ascii="SimSun" w:hAnsi="SimSun" w:cs="SimSun" w:hint="eastAsia"/>
          <w:sz w:val="24"/>
          <w:lang w:eastAsia="zh-CN"/>
        </w:rPr>
        <w:t>和</w:t>
      </w:r>
      <w:hyperlink r:id="rId23" w:history="1">
        <w:r w:rsidRPr="00AC4BAD">
          <w:rPr>
            <w:rFonts w:ascii="SimSun" w:hAnsi="SimSun" w:cs="SimSun" w:hint="eastAsia"/>
            <w:color w:val="1155CC"/>
            <w:sz w:val="24"/>
            <w:u w:val="single"/>
            <w:lang w:eastAsia="zh-CN"/>
          </w:rPr>
          <w:t>城市自然</w:t>
        </w:r>
      </w:hyperlink>
      <w:r w:rsidRPr="00AC4BAD">
        <w:rPr>
          <w:rFonts w:ascii="SimSun" w:hAnsi="SimSun" w:cs="SimSun" w:hint="eastAsia"/>
          <w:sz w:val="24"/>
          <w:lang w:eastAsia="zh-CN"/>
        </w:rPr>
        <w:t>行动平台上报告的承诺、行动和进度。这些来源共同提供了次国家和地方政府在执行《昆蒙框架》中的创新、挑战及所作贡献方面具有代表性的例证。然而，由于缺乏开展全面数据收集的资源，本报告也暴露出一定的不足。首先，报告仅提供了次国家层面的视角，未能反映更广泛的多级治理格局中的行动或进展。由于缺乏资金无法开展全面、系统性的进度调查，未能获取国家层面围绕《行动计划》七个行动领域所采取的行动并将其纳入本报告。其次，由于本报告基于现有文献案例研究以及各城市和区域自愿提交的承诺，其对全球次国家和地方政府的代表性具有一定的局限性。</w:t>
      </w:r>
    </w:p>
    <w:p w14:paraId="36350AAC" w14:textId="77777777" w:rsidR="005F1584" w:rsidRPr="000B4663" w:rsidRDefault="005F1584" w:rsidP="00E52FA3">
      <w:pPr>
        <w:pStyle w:val="CBDH2"/>
        <w:spacing w:after="120"/>
        <w:jc w:val="left"/>
        <w:rPr>
          <w:sz w:val="28"/>
          <w:szCs w:val="24"/>
          <w:lang w:eastAsia="zh-CN"/>
        </w:rPr>
      </w:pPr>
      <w:r w:rsidRPr="000B4663">
        <w:rPr>
          <w:sz w:val="28"/>
          <w:szCs w:val="24"/>
          <w:lang w:eastAsia="zh-CN"/>
        </w:rPr>
        <w:t>2.</w:t>
      </w:r>
      <w:r w:rsidRPr="000B4663">
        <w:rPr>
          <w:rFonts w:hint="eastAsia"/>
          <w:sz w:val="28"/>
          <w:szCs w:val="24"/>
          <w:lang w:eastAsia="zh-CN"/>
        </w:rPr>
        <w:tab/>
      </w:r>
      <w:r w:rsidRPr="000B4663">
        <w:rPr>
          <w:rFonts w:ascii="SimSun" w:hAnsi="SimSun" w:cs="SimSun" w:hint="eastAsia"/>
          <w:sz w:val="28"/>
          <w:szCs w:val="24"/>
          <w:lang w:eastAsia="zh-CN"/>
        </w:rPr>
        <w:t>背景</w:t>
      </w:r>
    </w:p>
    <w:p w14:paraId="2BE734EA" w14:textId="77777777" w:rsidR="005F1584" w:rsidRPr="00AC4BAD" w:rsidRDefault="005F1584" w:rsidP="00E52FA3">
      <w:pPr>
        <w:pStyle w:val="CBDH2"/>
        <w:spacing w:after="120"/>
        <w:jc w:val="left"/>
        <w:rPr>
          <w:lang w:eastAsia="zh-CN"/>
        </w:rPr>
      </w:pPr>
      <w:r w:rsidRPr="00AC4BAD">
        <w:rPr>
          <w:lang w:eastAsia="zh-CN"/>
        </w:rPr>
        <w:t>2.1.</w:t>
      </w:r>
      <w:r w:rsidRPr="00AC4BAD">
        <w:rPr>
          <w:rFonts w:hint="eastAsia"/>
          <w:lang w:eastAsia="zh-CN"/>
        </w:rPr>
        <w:tab/>
      </w:r>
      <w:r w:rsidRPr="00AC4BAD">
        <w:rPr>
          <w:rFonts w:ascii="SimSun" w:hAnsi="SimSun" w:cs="SimSun" w:hint="eastAsia"/>
          <w:lang w:eastAsia="zh-CN"/>
        </w:rPr>
        <w:t>执行《昆明</w:t>
      </w:r>
      <w:r w:rsidRPr="00AC4BAD">
        <w:rPr>
          <w:lang w:eastAsia="zh-CN"/>
        </w:rPr>
        <w:t>-</w:t>
      </w:r>
      <w:r w:rsidRPr="00AC4BAD">
        <w:rPr>
          <w:rFonts w:ascii="SimSun" w:hAnsi="SimSun" w:cs="SimSun" w:hint="eastAsia"/>
          <w:lang w:eastAsia="zh-CN"/>
        </w:rPr>
        <w:t>蒙特利尔全球生物多样性框架》方面的“全政府”办法</w:t>
      </w:r>
    </w:p>
    <w:p w14:paraId="5FE5B2F9" w14:textId="6EF00A75" w:rsidR="005F1584" w:rsidRPr="00AC4BAD" w:rsidRDefault="005F1584" w:rsidP="00E52FA3">
      <w:pPr>
        <w:pStyle w:val="CBDNormalNoNumber"/>
        <w:rPr>
          <w:sz w:val="24"/>
          <w:lang w:eastAsia="zh-CN"/>
        </w:rPr>
      </w:pPr>
      <w:r w:rsidRPr="00AC4BAD">
        <w:rPr>
          <w:rFonts w:ascii="SimSun" w:hAnsi="SimSun" w:cs="SimSun" w:hint="eastAsia"/>
          <w:sz w:val="24"/>
          <w:lang w:eastAsia="zh-CN"/>
        </w:rPr>
        <w:t>在实践中，“全政府”办法意味着缔约方负责制定和颁布国家层面执行所需的公共政策、法律和行政措施，而各省、市和直辖市应为实现《昆蒙框架》的各项行动目标以及到</w:t>
      </w:r>
      <w:r w:rsidRPr="00AC4BAD">
        <w:rPr>
          <w:sz w:val="24"/>
          <w:lang w:eastAsia="zh-CN"/>
        </w:rPr>
        <w:t>2050</w:t>
      </w:r>
      <w:r w:rsidRPr="00AC4BAD">
        <w:rPr>
          <w:rFonts w:ascii="SimSun" w:hAnsi="SimSun" w:cs="SimSun" w:hint="eastAsia"/>
          <w:sz w:val="24"/>
          <w:lang w:eastAsia="zh-CN"/>
        </w:rPr>
        <w:t>年实现“人与自然和谐共生”的愿景作出贡献。这一办法认识到，《昆蒙框架》的成功实施需要政府最高层的政治意愿和认可，</w:t>
      </w:r>
      <w:r w:rsidRPr="00AC4BAD">
        <w:rPr>
          <w:rFonts w:ascii="SimSun" w:hAnsi="SimSun" w:cs="SimSun" w:hint="eastAsia"/>
          <w:b/>
          <w:bCs/>
          <w:sz w:val="24"/>
          <w:lang w:eastAsia="zh-CN"/>
        </w:rPr>
        <w:t>并依赖于各级政府采取行动并开展合作</w:t>
      </w:r>
      <w:r w:rsidRPr="00AC4BAD">
        <w:rPr>
          <w:rFonts w:ascii="SimSun" w:hAnsi="SimSun" w:cs="SimSun" w:hint="eastAsia"/>
          <w:sz w:val="24"/>
          <w:lang w:eastAsia="zh-CN"/>
        </w:rPr>
        <w:t>。这一点在《昆蒙框架》本身中已有体现：《昆蒙框架》首次纳入了一项专门面向地方政府的行动目标（行动目标</w:t>
      </w:r>
      <w:r w:rsidRPr="00AC4BAD">
        <w:rPr>
          <w:sz w:val="24"/>
          <w:lang w:eastAsia="zh-CN"/>
        </w:rPr>
        <w:t>12</w:t>
      </w:r>
      <w:r w:rsidRPr="00AC4BAD">
        <w:rPr>
          <w:rFonts w:ascii="SimSun" w:hAnsi="SimSun" w:cs="SimSun" w:hint="eastAsia"/>
          <w:sz w:val="24"/>
          <w:lang w:eastAsia="zh-CN"/>
        </w:rPr>
        <w:t>），同时在生物多样性公约的多项决定中多次提及次国家当局和地方当局的作用。对案例研究中记载的次国家和地方层面所采取的行动以及在</w:t>
      </w:r>
      <w:r w:rsidR="00935618" w:rsidRPr="00AC4BAD">
        <w:rPr>
          <w:rFonts w:ascii="SimSun" w:hAnsi="SimSun" w:cs="SimSun" w:hint="eastAsia"/>
          <w:sz w:val="24"/>
          <w:lang w:eastAsia="zh-CN"/>
        </w:rPr>
        <w:t>城市</w:t>
      </w:r>
      <w:r w:rsidRPr="00AC4BAD">
        <w:rPr>
          <w:rFonts w:ascii="SimSun" w:hAnsi="SimSun" w:cs="SimSun" w:hint="eastAsia"/>
          <w:sz w:val="24"/>
          <w:lang w:eastAsia="zh-CN"/>
        </w:rPr>
        <w:t>自然和</w:t>
      </w:r>
      <w:r w:rsidR="00935618" w:rsidRPr="00AC4BAD">
        <w:rPr>
          <w:rFonts w:ascii="SimSun" w:hAnsi="SimSun" w:cs="SimSun" w:hint="eastAsia"/>
          <w:sz w:val="24"/>
          <w:lang w:eastAsia="zh-CN"/>
        </w:rPr>
        <w:t>区域</w:t>
      </w:r>
      <w:r w:rsidRPr="00AC4BAD">
        <w:rPr>
          <w:rFonts w:ascii="SimSun" w:hAnsi="SimSun" w:cs="SimSun" w:hint="eastAsia"/>
          <w:sz w:val="24"/>
          <w:lang w:eastAsia="zh-CN"/>
        </w:rPr>
        <w:t>自然行动平台上报告的行动所进行的案头审查表明，这些层级的政府不仅为实现行动目标</w:t>
      </w:r>
      <w:r w:rsidRPr="00AC4BAD">
        <w:rPr>
          <w:sz w:val="24"/>
          <w:lang w:eastAsia="zh-CN"/>
        </w:rPr>
        <w:t>12</w:t>
      </w:r>
      <w:r w:rsidRPr="00AC4BAD">
        <w:rPr>
          <w:rFonts w:ascii="SimSun" w:hAnsi="SimSun" w:cs="SimSun" w:hint="eastAsia"/>
          <w:sz w:val="24"/>
          <w:lang w:eastAsia="zh-CN"/>
        </w:rPr>
        <w:t>作出了贡献，还为推动更广泛一系列行动目标的实现做出了贡献。</w:t>
      </w:r>
    </w:p>
    <w:p w14:paraId="0A0FDC9E" w14:textId="2BACF32D" w:rsidR="005F1584" w:rsidRPr="00AC4BAD" w:rsidRDefault="005F1584" w:rsidP="00E52FA3">
      <w:pPr>
        <w:pStyle w:val="CBDNormalNoNumber"/>
        <w:rPr>
          <w:sz w:val="24"/>
          <w:lang w:eastAsia="zh-CN"/>
        </w:rPr>
      </w:pPr>
      <w:r w:rsidRPr="00AC4BAD">
        <w:rPr>
          <w:rFonts w:ascii="SimSun" w:hAnsi="SimSun" w:cs="SimSun" w:hint="eastAsia"/>
          <w:sz w:val="24"/>
          <w:lang w:eastAsia="zh-CN"/>
        </w:rPr>
        <w:t>此外，“全政府”办法有助于在各项多边环境协定之间形成更强的协同效应。即便是采取适度举措协调执行</w:t>
      </w:r>
      <w:r w:rsidR="00935618" w:rsidRPr="00AC4BAD">
        <w:rPr>
          <w:rFonts w:ascii="SimSun" w:hAnsi="SimSun" w:cs="SimSun" w:hint="eastAsia"/>
          <w:sz w:val="24"/>
          <w:lang w:eastAsia="zh-CN"/>
        </w:rPr>
        <w:t>《</w:t>
      </w:r>
      <w:r w:rsidRPr="00AC4BAD">
        <w:rPr>
          <w:rFonts w:ascii="SimSun" w:hAnsi="SimSun" w:cs="SimSun" w:hint="eastAsia"/>
          <w:sz w:val="24"/>
          <w:lang w:eastAsia="zh-CN"/>
        </w:rPr>
        <w:t>国家战略和行动计划</w:t>
      </w:r>
      <w:r w:rsidR="00935618" w:rsidRPr="00AC4BAD">
        <w:rPr>
          <w:rFonts w:ascii="SimSun" w:hAnsi="SimSun" w:cs="SimSun" w:hint="eastAsia"/>
          <w:sz w:val="24"/>
          <w:lang w:eastAsia="zh-CN"/>
        </w:rPr>
        <w:t>》</w:t>
      </w:r>
      <w:r w:rsidRPr="00AC4BAD">
        <w:rPr>
          <w:rFonts w:ascii="SimSun" w:hAnsi="SimSun" w:cs="SimSun" w:hint="eastAsia"/>
          <w:sz w:val="24"/>
          <w:lang w:eastAsia="zh-CN"/>
        </w:rPr>
        <w:t>、国家自主贡献和土地退化零增长目标，也能产生显著效益。里约三公约秘书处在促进此类协调方面发挥着重要作用。在此方面，案头审查也发现了若干案例，表明次国家和地方政府已将生物多样性考量纳入地方气候计划，同时也将气候相关考量纳入生物多样性计划，实现了气候目标与生物多样性目标的同步推进。</w:t>
      </w:r>
    </w:p>
    <w:p w14:paraId="3C7BB012" w14:textId="77777777" w:rsidR="00810DB7" w:rsidRPr="00AC4BAD" w:rsidRDefault="00810DB7" w:rsidP="00E52FA3">
      <w:pPr>
        <w:pStyle w:val="CBDH2"/>
        <w:spacing w:after="120"/>
        <w:jc w:val="left"/>
        <w:rPr>
          <w:lang w:val="en-GB" w:eastAsia="zh-CN"/>
        </w:rPr>
      </w:pPr>
      <w:r w:rsidRPr="00AC4BAD">
        <w:rPr>
          <w:rFonts w:hint="eastAsia"/>
          <w:lang w:val="en-GB" w:eastAsia="zh-CN"/>
        </w:rPr>
        <w:lastRenderedPageBreak/>
        <w:t>2.2.</w:t>
      </w:r>
      <w:r w:rsidRPr="00AC4BAD">
        <w:rPr>
          <w:rFonts w:hint="eastAsia"/>
          <w:lang w:val="en-GB" w:eastAsia="zh-CN"/>
        </w:rPr>
        <w:tab/>
      </w:r>
      <w:r w:rsidRPr="00AC4BAD">
        <w:rPr>
          <w:rFonts w:hint="eastAsia"/>
          <w:lang w:val="en-GB" w:eastAsia="zh-CN"/>
        </w:rPr>
        <w:t>第</w:t>
      </w:r>
      <w:r w:rsidRPr="00AC4BAD">
        <w:rPr>
          <w:rFonts w:hint="eastAsia"/>
          <w:lang w:val="en-GB" w:eastAsia="zh-CN"/>
        </w:rPr>
        <w:t>15/12</w:t>
      </w:r>
      <w:r w:rsidRPr="00AC4BAD">
        <w:rPr>
          <w:rFonts w:hint="eastAsia"/>
          <w:lang w:val="en-GB" w:eastAsia="zh-CN"/>
        </w:rPr>
        <w:t>号决定下的《行动计划》</w:t>
      </w:r>
    </w:p>
    <w:p w14:paraId="701E89B6" w14:textId="77777777" w:rsidR="00810DB7" w:rsidRPr="00A82775" w:rsidRDefault="00810DB7" w:rsidP="00E52FA3">
      <w:pPr>
        <w:pStyle w:val="CBDNormalNoNumber"/>
        <w:rPr>
          <w:sz w:val="24"/>
          <w:lang w:val="en-GB" w:eastAsia="zh-CN"/>
        </w:rPr>
      </w:pPr>
      <w:r w:rsidRPr="00A82775">
        <w:rPr>
          <w:rFonts w:hint="eastAsia"/>
          <w:sz w:val="24"/>
          <w:lang w:val="en-GB" w:eastAsia="zh-CN"/>
        </w:rPr>
        <w:t>《行动计划》旨在根据国家立法</w:t>
      </w:r>
      <w:r w:rsidRPr="00A82775">
        <w:rPr>
          <w:rFonts w:hint="eastAsia"/>
          <w:sz w:val="24"/>
          <w:lang w:eastAsia="zh-CN"/>
        </w:rPr>
        <w:t>予以执行</w:t>
      </w:r>
      <w:r w:rsidRPr="00A82775">
        <w:rPr>
          <w:rFonts w:hint="eastAsia"/>
          <w:sz w:val="24"/>
          <w:lang w:val="en-GB" w:eastAsia="zh-CN"/>
        </w:rPr>
        <w:t>，包含一系列活动，分为七个相互关联且互为补充的行动领域。《行动计划》的目标如下：</w:t>
      </w:r>
    </w:p>
    <w:p w14:paraId="5E960FE3" w14:textId="77777777" w:rsidR="00810DB7" w:rsidRPr="00A82775" w:rsidRDefault="00810DB7" w:rsidP="00E52FA3">
      <w:pPr>
        <w:tabs>
          <w:tab w:val="clear" w:pos="1134"/>
        </w:tabs>
        <w:spacing w:after="120"/>
        <w:ind w:left="567" w:firstLine="567"/>
        <w:rPr>
          <w:sz w:val="24"/>
          <w:lang w:val="en-GB" w:eastAsia="zh-CN"/>
        </w:rPr>
      </w:pPr>
      <w:r w:rsidRPr="00A82775">
        <w:rPr>
          <w:rFonts w:hint="eastAsia"/>
          <w:sz w:val="24"/>
          <w:lang w:val="en-GB" w:eastAsia="zh-CN"/>
        </w:rPr>
        <w:t>(a)</w:t>
      </w:r>
      <w:r w:rsidRPr="00A82775">
        <w:rPr>
          <w:rFonts w:hint="eastAsia"/>
          <w:sz w:val="24"/>
          <w:lang w:val="en-GB" w:eastAsia="zh-CN"/>
        </w:rPr>
        <w:tab/>
      </w:r>
      <w:r w:rsidRPr="00A82775">
        <w:rPr>
          <w:rFonts w:hint="eastAsia"/>
          <w:b/>
          <w:bCs/>
          <w:sz w:val="24"/>
          <w:lang w:val="en-GB" w:eastAsia="zh-CN"/>
        </w:rPr>
        <w:t>加强地方参与</w:t>
      </w:r>
      <w:r w:rsidRPr="00A82775">
        <w:rPr>
          <w:rFonts w:hint="eastAsia"/>
          <w:sz w:val="24"/>
          <w:lang w:val="en-GB" w:eastAsia="zh-CN"/>
        </w:rPr>
        <w:t>，提高次国家政府和城市在生物多样性框架和战略的</w:t>
      </w:r>
      <w:r w:rsidRPr="00A82775">
        <w:rPr>
          <w:rFonts w:hint="eastAsia"/>
          <w:sz w:val="24"/>
          <w:lang w:eastAsia="zh-CN"/>
        </w:rPr>
        <w:t>执行</w:t>
      </w:r>
      <w:r w:rsidRPr="00A82775">
        <w:rPr>
          <w:rFonts w:hint="eastAsia"/>
          <w:sz w:val="24"/>
          <w:lang w:val="en-GB" w:eastAsia="zh-CN"/>
        </w:rPr>
        <w:t>与报告方面的参与度；</w:t>
      </w:r>
    </w:p>
    <w:p w14:paraId="3DEC7293" w14:textId="77777777" w:rsidR="00810DB7" w:rsidRPr="00A82775" w:rsidRDefault="00810DB7" w:rsidP="00E52FA3">
      <w:pPr>
        <w:tabs>
          <w:tab w:val="clear" w:pos="1134"/>
        </w:tabs>
        <w:spacing w:after="120"/>
        <w:ind w:left="567" w:firstLine="567"/>
        <w:rPr>
          <w:sz w:val="24"/>
          <w:lang w:val="en-GB" w:eastAsia="zh-CN"/>
        </w:rPr>
      </w:pPr>
      <w:r w:rsidRPr="00A82775">
        <w:rPr>
          <w:rFonts w:hint="eastAsia"/>
          <w:sz w:val="24"/>
          <w:lang w:val="en-GB" w:eastAsia="zh-CN"/>
        </w:rPr>
        <w:t>(b)</w:t>
      </w:r>
      <w:r w:rsidRPr="00A82775">
        <w:rPr>
          <w:rFonts w:hint="eastAsia"/>
          <w:sz w:val="24"/>
          <w:lang w:val="en-GB" w:eastAsia="zh-CN"/>
        </w:rPr>
        <w:tab/>
      </w:r>
      <w:r w:rsidRPr="00A82775">
        <w:rPr>
          <w:rFonts w:hint="eastAsia"/>
          <w:b/>
          <w:bCs/>
          <w:sz w:val="24"/>
          <w:lang w:val="en-GB" w:eastAsia="zh-CN"/>
        </w:rPr>
        <w:t>加强协调与知识共享</w:t>
      </w:r>
      <w:r w:rsidRPr="00A82775">
        <w:rPr>
          <w:rFonts w:hint="eastAsia"/>
          <w:sz w:val="24"/>
          <w:lang w:val="en-GB" w:eastAsia="zh-CN"/>
        </w:rPr>
        <w:t>，促进政府、组织、学术界和捐助方之间的合作与经验交流，支持可持续的生物多样性管理并将其纳入规划；</w:t>
      </w:r>
    </w:p>
    <w:p w14:paraId="32F43597" w14:textId="77777777" w:rsidR="00810DB7" w:rsidRPr="00A82775" w:rsidRDefault="00810DB7" w:rsidP="00E52FA3">
      <w:pPr>
        <w:tabs>
          <w:tab w:val="clear" w:pos="1134"/>
        </w:tabs>
        <w:spacing w:after="120"/>
        <w:ind w:left="567" w:firstLine="567"/>
        <w:rPr>
          <w:sz w:val="24"/>
          <w:lang w:val="en-GB" w:eastAsia="zh-CN"/>
        </w:rPr>
      </w:pPr>
      <w:r w:rsidRPr="00A82775">
        <w:rPr>
          <w:rFonts w:hint="eastAsia"/>
          <w:sz w:val="24"/>
          <w:lang w:val="en-GB" w:eastAsia="zh-CN"/>
        </w:rPr>
        <w:t>(c)</w:t>
      </w:r>
      <w:r w:rsidRPr="00A82775">
        <w:rPr>
          <w:rFonts w:hint="eastAsia"/>
          <w:sz w:val="24"/>
          <w:lang w:val="en-GB" w:eastAsia="zh-CN"/>
        </w:rPr>
        <w:tab/>
      </w:r>
      <w:r w:rsidRPr="00A82775">
        <w:rPr>
          <w:rFonts w:hint="eastAsia"/>
          <w:b/>
          <w:bCs/>
          <w:sz w:val="24"/>
          <w:lang w:val="en-GB" w:eastAsia="zh-CN"/>
        </w:rPr>
        <w:t>支持工具开发和能力建设</w:t>
      </w:r>
      <w:r w:rsidRPr="00A82775">
        <w:rPr>
          <w:rFonts w:hint="eastAsia"/>
          <w:sz w:val="24"/>
          <w:lang w:val="en-GB" w:eastAsia="zh-CN"/>
        </w:rPr>
        <w:t>，确定并推广相关政策、融资机制和方案，赋能地方当局采取有效的生物多样性行动，与国家层面的工作保持一致；</w:t>
      </w:r>
    </w:p>
    <w:p w14:paraId="5DB8A092" w14:textId="77777777" w:rsidR="00810DB7" w:rsidRPr="00A82775" w:rsidRDefault="00810DB7" w:rsidP="00E52FA3">
      <w:pPr>
        <w:tabs>
          <w:tab w:val="clear" w:pos="1134"/>
        </w:tabs>
        <w:spacing w:after="120"/>
        <w:ind w:left="567" w:firstLine="567"/>
        <w:rPr>
          <w:sz w:val="24"/>
          <w:lang w:val="en-GB" w:eastAsia="zh-CN"/>
        </w:rPr>
      </w:pPr>
      <w:r w:rsidRPr="00A82775">
        <w:rPr>
          <w:rFonts w:hint="eastAsia"/>
          <w:sz w:val="24"/>
          <w:lang w:val="en-GB" w:eastAsia="zh-CN"/>
        </w:rPr>
        <w:t>(d)</w:t>
      </w:r>
      <w:r w:rsidRPr="00A82775">
        <w:rPr>
          <w:rFonts w:hint="eastAsia"/>
          <w:sz w:val="24"/>
          <w:lang w:val="en-GB" w:eastAsia="zh-CN"/>
        </w:rPr>
        <w:tab/>
      </w:r>
      <w:r w:rsidRPr="00A82775">
        <w:rPr>
          <w:rFonts w:hint="eastAsia"/>
          <w:b/>
          <w:bCs/>
          <w:sz w:val="24"/>
          <w:lang w:val="en-GB" w:eastAsia="zh-CN"/>
        </w:rPr>
        <w:t>提高认识</w:t>
      </w:r>
      <w:r w:rsidRPr="00A82775">
        <w:rPr>
          <w:rFonts w:hint="eastAsia"/>
          <w:sz w:val="24"/>
          <w:lang w:val="en-GB" w:eastAsia="zh-CN"/>
        </w:rPr>
        <w:t>，通过传播、教育和公众意识举措，促进生物多样性。</w:t>
      </w:r>
    </w:p>
    <w:p w14:paraId="0EF4DC28" w14:textId="4F3CCC44" w:rsidR="00810DB7" w:rsidRPr="00A82775" w:rsidRDefault="00810DB7" w:rsidP="00E52FA3">
      <w:pPr>
        <w:pStyle w:val="CBDNormalNoNumber"/>
        <w:rPr>
          <w:sz w:val="24"/>
          <w:lang w:val="en-GB" w:eastAsia="zh-CN"/>
        </w:rPr>
      </w:pPr>
      <w:r w:rsidRPr="00A82775">
        <w:rPr>
          <w:rFonts w:hint="eastAsia"/>
          <w:sz w:val="24"/>
          <w:lang w:val="en-GB" w:eastAsia="zh-CN"/>
        </w:rPr>
        <w:t>敦促各缔约方和其他</w:t>
      </w:r>
      <w:r w:rsidRPr="00A82775">
        <w:rPr>
          <w:rFonts w:hint="eastAsia"/>
          <w:sz w:val="24"/>
          <w:lang w:eastAsia="zh-CN"/>
        </w:rPr>
        <w:t>国家</w:t>
      </w:r>
      <w:r w:rsidRPr="00A82775">
        <w:rPr>
          <w:rFonts w:hint="eastAsia"/>
          <w:sz w:val="24"/>
          <w:lang w:val="en-GB" w:eastAsia="zh-CN"/>
        </w:rPr>
        <w:t>政府在秘书处及其他关键伙伴（如地方政府可持续发展网络、地方政府网络、爱知生物多样性目标地方政府联盟和欧盟地区委员会）的支持下，</w:t>
      </w:r>
      <w:r w:rsidRPr="00A82775">
        <w:rPr>
          <w:rFonts w:hint="eastAsia"/>
          <w:sz w:val="24"/>
          <w:lang w:eastAsia="zh-CN"/>
        </w:rPr>
        <w:t>考虑</w:t>
      </w:r>
      <w:r w:rsidRPr="00A82775">
        <w:rPr>
          <w:rFonts w:hint="eastAsia"/>
          <w:sz w:val="24"/>
          <w:lang w:val="en-GB" w:eastAsia="zh-CN"/>
        </w:rPr>
        <w:t>本国优先事项、能力和需求，酌情</w:t>
      </w:r>
      <w:r w:rsidRPr="00A82775">
        <w:rPr>
          <w:rFonts w:hint="eastAsia"/>
          <w:sz w:val="24"/>
          <w:lang w:eastAsia="zh-CN"/>
        </w:rPr>
        <w:t>执行</w:t>
      </w:r>
      <w:r w:rsidRPr="00A82775">
        <w:rPr>
          <w:rFonts w:hint="eastAsia"/>
          <w:sz w:val="24"/>
          <w:lang w:val="en-GB" w:eastAsia="zh-CN"/>
        </w:rPr>
        <w:t>《行动计划》。关于</w:t>
      </w:r>
      <w:r w:rsidRPr="00A82775">
        <w:rPr>
          <w:rFonts w:hint="eastAsia"/>
          <w:sz w:val="24"/>
          <w:lang w:eastAsia="zh-CN"/>
        </w:rPr>
        <w:t>执行</w:t>
      </w:r>
      <w:r w:rsidRPr="00A82775">
        <w:rPr>
          <w:rFonts w:hint="eastAsia"/>
          <w:sz w:val="24"/>
          <w:lang w:val="en-GB" w:eastAsia="zh-CN"/>
        </w:rPr>
        <w:t>《行动计划》的其他关键要素包括：</w:t>
      </w:r>
    </w:p>
    <w:p w14:paraId="62AE9936" w14:textId="77777777" w:rsidR="00810DB7" w:rsidRPr="00A82775" w:rsidRDefault="00810DB7" w:rsidP="00E52FA3">
      <w:pPr>
        <w:widowControl w:val="0"/>
        <w:numPr>
          <w:ilvl w:val="0"/>
          <w:numId w:val="10"/>
        </w:numPr>
        <w:tabs>
          <w:tab w:val="clear" w:pos="1134"/>
          <w:tab w:val="clear" w:pos="1701"/>
          <w:tab w:val="clear" w:pos="2268"/>
        </w:tabs>
        <w:spacing w:after="120"/>
        <w:ind w:left="1418" w:hanging="425"/>
        <w:rPr>
          <w:sz w:val="24"/>
          <w:lang w:val="en-GB" w:eastAsia="zh-CN"/>
        </w:rPr>
      </w:pPr>
      <w:r w:rsidRPr="00A82775">
        <w:rPr>
          <w:rFonts w:hint="eastAsia"/>
          <w:b/>
          <w:bCs/>
          <w:sz w:val="24"/>
          <w:lang w:val="en-GB" w:eastAsia="zh-CN"/>
        </w:rPr>
        <w:t>评估与数据：</w:t>
      </w:r>
      <w:r w:rsidRPr="00A82775">
        <w:rPr>
          <w:rFonts w:hint="eastAsia"/>
          <w:sz w:val="24"/>
          <w:lang w:val="en-GB" w:eastAsia="zh-CN"/>
        </w:rPr>
        <w:t>推广新加坡指数等自愿性工具，改进数据共同产出，以支持循证规划；</w:t>
      </w:r>
    </w:p>
    <w:p w14:paraId="5F388CAC" w14:textId="77777777" w:rsidR="00810DB7" w:rsidRPr="00A82775" w:rsidRDefault="00810DB7" w:rsidP="00E52FA3">
      <w:pPr>
        <w:widowControl w:val="0"/>
        <w:numPr>
          <w:ilvl w:val="0"/>
          <w:numId w:val="10"/>
        </w:numPr>
        <w:tabs>
          <w:tab w:val="clear" w:pos="1134"/>
          <w:tab w:val="clear" w:pos="1701"/>
          <w:tab w:val="clear" w:pos="2268"/>
        </w:tabs>
        <w:spacing w:after="120"/>
        <w:ind w:left="1418" w:hanging="425"/>
        <w:rPr>
          <w:b/>
          <w:bCs/>
          <w:sz w:val="24"/>
          <w:lang w:val="en-GB" w:eastAsia="zh-CN"/>
        </w:rPr>
      </w:pPr>
      <w:r w:rsidRPr="00A82775">
        <w:rPr>
          <w:rFonts w:hint="eastAsia"/>
          <w:b/>
          <w:bCs/>
          <w:sz w:val="24"/>
          <w:lang w:val="en-GB" w:eastAsia="zh-CN"/>
        </w:rPr>
        <w:t>监测与报告：</w:t>
      </w:r>
      <w:r w:rsidRPr="00A82775">
        <w:rPr>
          <w:rFonts w:hint="eastAsia"/>
          <w:sz w:val="24"/>
          <w:lang w:val="en-GB" w:eastAsia="zh-CN"/>
        </w:rPr>
        <w:t>鼓励使用区域自然和</w:t>
      </w:r>
      <w:r w:rsidRPr="00A82775">
        <w:rPr>
          <w:rFonts w:hint="eastAsia"/>
          <w:sz w:val="24"/>
          <w:lang w:eastAsia="zh-CN"/>
        </w:rPr>
        <w:t>城市自然</w:t>
      </w:r>
      <w:r w:rsidRPr="00A82775">
        <w:rPr>
          <w:rFonts w:hint="eastAsia"/>
          <w:sz w:val="24"/>
          <w:lang w:val="en-GB" w:eastAsia="zh-CN"/>
        </w:rPr>
        <w:t>等承诺与报告平台，并将地方层面的贡献纳入国家报告；</w:t>
      </w:r>
    </w:p>
    <w:p w14:paraId="17799D72" w14:textId="119AAC4F" w:rsidR="00810DB7" w:rsidRPr="00A82775" w:rsidRDefault="00810DB7" w:rsidP="00E52FA3">
      <w:pPr>
        <w:widowControl w:val="0"/>
        <w:numPr>
          <w:ilvl w:val="0"/>
          <w:numId w:val="10"/>
        </w:numPr>
        <w:tabs>
          <w:tab w:val="clear" w:pos="1134"/>
          <w:tab w:val="clear" w:pos="1701"/>
          <w:tab w:val="clear" w:pos="2268"/>
        </w:tabs>
        <w:spacing w:after="120"/>
        <w:ind w:left="1418" w:hanging="425"/>
        <w:rPr>
          <w:b/>
          <w:bCs/>
          <w:sz w:val="24"/>
          <w:lang w:val="en-GB" w:eastAsia="zh-CN"/>
        </w:rPr>
      </w:pPr>
      <w:r w:rsidRPr="00A82775">
        <w:rPr>
          <w:rFonts w:hint="eastAsia"/>
          <w:b/>
          <w:bCs/>
          <w:sz w:val="24"/>
          <w:lang w:val="en-GB" w:eastAsia="zh-CN"/>
        </w:rPr>
        <w:t>机构支持：</w:t>
      </w:r>
      <w:r w:rsidRPr="00A82775">
        <w:rPr>
          <w:rFonts w:hint="eastAsia"/>
          <w:sz w:val="24"/>
          <w:lang w:val="en-GB" w:eastAsia="zh-CN"/>
        </w:rPr>
        <w:t>动员全球伙伴关系和</w:t>
      </w:r>
      <w:r w:rsidR="009A62C0">
        <w:rPr>
          <w:rFonts w:hint="eastAsia"/>
          <w:sz w:val="24"/>
          <w:lang w:val="en-GB" w:eastAsia="zh-CN"/>
        </w:rPr>
        <w:t>生物多样性公约</w:t>
      </w:r>
      <w:r w:rsidRPr="00A82775">
        <w:rPr>
          <w:rFonts w:hint="eastAsia"/>
          <w:sz w:val="24"/>
          <w:lang w:val="en-GB" w:eastAsia="zh-CN"/>
        </w:rPr>
        <w:t>咨询委员会，为《行动计划》的</w:t>
      </w:r>
      <w:r w:rsidRPr="00A82775">
        <w:rPr>
          <w:rFonts w:hint="eastAsia"/>
          <w:sz w:val="24"/>
          <w:lang w:eastAsia="zh-CN"/>
        </w:rPr>
        <w:t>执行</w:t>
      </w:r>
      <w:r w:rsidRPr="00A82775">
        <w:rPr>
          <w:rFonts w:hint="eastAsia"/>
          <w:sz w:val="24"/>
          <w:lang w:val="en-GB" w:eastAsia="zh-CN"/>
        </w:rPr>
        <w:t>提供指导和协调；以及</w:t>
      </w:r>
    </w:p>
    <w:p w14:paraId="2F99D4AA" w14:textId="77777777" w:rsidR="00810DB7" w:rsidRPr="00A82775" w:rsidRDefault="00810DB7" w:rsidP="00E52FA3">
      <w:pPr>
        <w:widowControl w:val="0"/>
        <w:numPr>
          <w:ilvl w:val="0"/>
          <w:numId w:val="10"/>
        </w:numPr>
        <w:tabs>
          <w:tab w:val="clear" w:pos="1134"/>
          <w:tab w:val="clear" w:pos="1701"/>
          <w:tab w:val="clear" w:pos="2268"/>
        </w:tabs>
        <w:spacing w:after="120"/>
        <w:ind w:left="1418" w:hanging="425"/>
        <w:rPr>
          <w:sz w:val="24"/>
          <w:lang w:val="en-GB" w:eastAsia="zh-CN"/>
        </w:rPr>
      </w:pPr>
      <w:r w:rsidRPr="00A82775">
        <w:rPr>
          <w:rFonts w:hint="eastAsia"/>
          <w:b/>
          <w:bCs/>
          <w:sz w:val="24"/>
          <w:lang w:val="en-GB" w:eastAsia="zh-CN"/>
        </w:rPr>
        <w:t>灵活性：</w:t>
      </w:r>
      <w:r w:rsidRPr="00A82775">
        <w:rPr>
          <w:rFonts w:hint="eastAsia"/>
          <w:sz w:val="24"/>
          <w:lang w:val="en-GB" w:eastAsia="zh-CN"/>
        </w:rPr>
        <w:t>确保《行动计划》能够适应不断变化的国家和地方优先事项。</w:t>
      </w:r>
    </w:p>
    <w:p w14:paraId="3B8044B7" w14:textId="705C6D34" w:rsidR="00810DB7" w:rsidRPr="00A82775" w:rsidRDefault="00810DB7" w:rsidP="00E52FA3">
      <w:pPr>
        <w:pStyle w:val="CBDNormalNoNumber"/>
        <w:rPr>
          <w:sz w:val="24"/>
          <w:lang w:val="en-GB" w:eastAsia="zh-CN"/>
        </w:rPr>
      </w:pPr>
      <w:r w:rsidRPr="00A82775">
        <w:rPr>
          <w:rFonts w:hint="eastAsia"/>
          <w:sz w:val="24"/>
          <w:lang w:val="en-GB" w:eastAsia="zh-CN"/>
        </w:rPr>
        <w:t>此外，《行动计划》确定了七个相互关联且互为补充的行动领域作为框架，各缔约方、其次国家和地方政府以及利益攸关方</w:t>
      </w:r>
      <w:r w:rsidRPr="00A82775">
        <w:rPr>
          <w:rFonts w:hint="eastAsia"/>
          <w:sz w:val="24"/>
          <w:lang w:eastAsia="zh-CN"/>
        </w:rPr>
        <w:t>可</w:t>
      </w:r>
      <w:r w:rsidRPr="00A82775">
        <w:rPr>
          <w:rFonts w:hint="eastAsia"/>
          <w:sz w:val="24"/>
          <w:lang w:val="en-GB" w:eastAsia="zh-CN"/>
        </w:rPr>
        <w:t>据此制定各自</w:t>
      </w:r>
      <w:r w:rsidRPr="00A82775">
        <w:rPr>
          <w:rFonts w:hint="eastAsia"/>
          <w:sz w:val="24"/>
          <w:lang w:eastAsia="zh-CN"/>
        </w:rPr>
        <w:t>执行</w:t>
      </w:r>
      <w:r w:rsidRPr="00A82775">
        <w:rPr>
          <w:rFonts w:hint="eastAsia"/>
          <w:sz w:val="24"/>
          <w:lang w:val="en-GB" w:eastAsia="zh-CN"/>
        </w:rPr>
        <w:t>《行动计划》的行动。从根本上说，第</w:t>
      </w:r>
      <w:r w:rsidRPr="00A82775">
        <w:rPr>
          <w:rFonts w:hint="eastAsia"/>
          <w:sz w:val="24"/>
          <w:lang w:val="en-GB" w:eastAsia="zh-CN"/>
        </w:rPr>
        <w:t>15/12</w:t>
      </w:r>
      <w:r w:rsidRPr="00A82775">
        <w:rPr>
          <w:rFonts w:hint="eastAsia"/>
          <w:sz w:val="24"/>
          <w:lang w:val="en-GB" w:eastAsia="zh-CN"/>
        </w:rPr>
        <w:t>号决定加强了次国家和地方政府在</w:t>
      </w:r>
      <w:r w:rsidR="009A62C0">
        <w:rPr>
          <w:sz w:val="24"/>
          <w:lang w:eastAsia="zh-CN"/>
        </w:rPr>
        <w:t>生物多样性公约</w:t>
      </w:r>
      <w:r w:rsidRPr="00A82775">
        <w:rPr>
          <w:rFonts w:hint="eastAsia"/>
          <w:sz w:val="24"/>
          <w:lang w:val="en-GB" w:eastAsia="zh-CN"/>
        </w:rPr>
        <w:t>框架下所作贡献的可见度、支持和整合，</w:t>
      </w:r>
      <w:r w:rsidRPr="00A82775">
        <w:rPr>
          <w:rFonts w:hint="eastAsia"/>
          <w:sz w:val="24"/>
          <w:lang w:eastAsia="zh-CN"/>
        </w:rPr>
        <w:t>并</w:t>
      </w:r>
      <w:r w:rsidRPr="00A82775">
        <w:rPr>
          <w:rFonts w:hint="eastAsia"/>
          <w:sz w:val="24"/>
          <w:lang w:val="en-GB" w:eastAsia="zh-CN"/>
        </w:rPr>
        <w:t>认识到《全球生物多样性框架》的有效</w:t>
      </w:r>
      <w:r w:rsidRPr="00A82775">
        <w:rPr>
          <w:rFonts w:hint="eastAsia"/>
          <w:sz w:val="24"/>
          <w:lang w:eastAsia="zh-CN"/>
        </w:rPr>
        <w:t>执行有赖</w:t>
      </w:r>
      <w:r w:rsidRPr="00A82775">
        <w:rPr>
          <w:rFonts w:hint="eastAsia"/>
          <w:sz w:val="24"/>
          <w:lang w:val="en-GB" w:eastAsia="zh-CN"/>
        </w:rPr>
        <w:t>各级政府的协调行动。</w:t>
      </w:r>
    </w:p>
    <w:p w14:paraId="42D8FAD8" w14:textId="77777777" w:rsidR="00810DB7" w:rsidRPr="00AC4BAD" w:rsidRDefault="00810DB7" w:rsidP="00E52FA3">
      <w:pPr>
        <w:pStyle w:val="CBDH1"/>
        <w:spacing w:before="0"/>
        <w:rPr>
          <w:lang w:eastAsia="zh-CN"/>
        </w:rPr>
      </w:pPr>
      <w:r w:rsidRPr="00AC4BAD">
        <w:rPr>
          <w:rFonts w:hint="eastAsia"/>
          <w:lang w:eastAsia="zh-CN"/>
        </w:rPr>
        <w:t>3.</w:t>
      </w:r>
      <w:r w:rsidRPr="00AC4BAD">
        <w:rPr>
          <w:rFonts w:hint="eastAsia"/>
          <w:lang w:eastAsia="zh-CN"/>
        </w:rPr>
        <w:tab/>
      </w:r>
      <w:r w:rsidRPr="00AC4BAD">
        <w:rPr>
          <w:rFonts w:hint="eastAsia"/>
          <w:lang w:eastAsia="zh-CN"/>
        </w:rPr>
        <w:t>《行动计划》七个行动领域的进展</w:t>
      </w:r>
    </w:p>
    <w:p w14:paraId="191C0C8F" w14:textId="18791CDE" w:rsidR="00810DB7" w:rsidRPr="00A82775" w:rsidRDefault="00810DB7" w:rsidP="00E52FA3">
      <w:pPr>
        <w:pStyle w:val="CBDNormalNoNumber"/>
        <w:rPr>
          <w:sz w:val="24"/>
          <w:lang w:val="en-GB" w:eastAsia="zh-CN"/>
        </w:rPr>
      </w:pPr>
      <w:r w:rsidRPr="00A82775">
        <w:rPr>
          <w:rFonts w:hint="eastAsia"/>
          <w:sz w:val="24"/>
          <w:lang w:val="en-GB" w:eastAsia="zh-CN"/>
        </w:rPr>
        <w:t>鉴于第</w:t>
      </w:r>
      <w:r w:rsidRPr="00A82775">
        <w:rPr>
          <w:rFonts w:hint="eastAsia"/>
          <w:sz w:val="24"/>
          <w:lang w:val="en-GB" w:eastAsia="zh-CN"/>
        </w:rPr>
        <w:t>15/12</w:t>
      </w:r>
      <w:r w:rsidRPr="00A82775">
        <w:rPr>
          <w:rFonts w:hint="eastAsia"/>
          <w:sz w:val="24"/>
          <w:lang w:val="en-GB" w:eastAsia="zh-CN"/>
        </w:rPr>
        <w:t>号决定设想由地方政府与</w:t>
      </w:r>
      <w:r w:rsidR="002A0FDF" w:rsidRPr="00A82775">
        <w:rPr>
          <w:rFonts w:hint="eastAsia"/>
          <w:sz w:val="24"/>
          <w:lang w:val="en-GB" w:eastAsia="zh-CN"/>
        </w:rPr>
        <w:t>生物多样性</w:t>
      </w:r>
      <w:r w:rsidRPr="00A82775">
        <w:rPr>
          <w:rFonts w:hint="eastAsia"/>
          <w:sz w:val="24"/>
          <w:lang w:val="en-GB" w:eastAsia="zh-CN"/>
        </w:rPr>
        <w:t>咨询委员会、次国家政府与生物多样性咨询委员会以及次国家和地方政府生物多样性全球伙伴关系为《行动计划》的</w:t>
      </w:r>
      <w:r w:rsidRPr="00A82775">
        <w:rPr>
          <w:rFonts w:hint="eastAsia"/>
          <w:sz w:val="24"/>
          <w:lang w:eastAsia="zh-CN"/>
        </w:rPr>
        <w:t>执行</w:t>
      </w:r>
      <w:r w:rsidRPr="00A82775">
        <w:rPr>
          <w:rFonts w:hint="eastAsia"/>
          <w:sz w:val="24"/>
          <w:lang w:val="en-GB" w:eastAsia="zh-CN"/>
        </w:rPr>
        <w:t>提供支持，本节首先简要概述这些机构自</w:t>
      </w:r>
      <w:r w:rsidRPr="00A82775">
        <w:rPr>
          <w:rFonts w:hint="eastAsia"/>
          <w:sz w:val="24"/>
          <w:lang w:val="en-GB" w:eastAsia="zh-CN"/>
        </w:rPr>
        <w:t>2022</w:t>
      </w:r>
      <w:r w:rsidRPr="00A82775">
        <w:rPr>
          <w:rFonts w:hint="eastAsia"/>
          <w:sz w:val="24"/>
          <w:lang w:val="en-GB" w:eastAsia="zh-CN"/>
        </w:rPr>
        <w:t>年以来如何支持</w:t>
      </w:r>
      <w:r w:rsidRPr="00A82775">
        <w:rPr>
          <w:rFonts w:hint="eastAsia"/>
          <w:sz w:val="24"/>
          <w:lang w:eastAsia="zh-CN"/>
        </w:rPr>
        <w:t>执行</w:t>
      </w:r>
      <w:r w:rsidRPr="00A82775">
        <w:rPr>
          <w:rFonts w:hint="eastAsia"/>
          <w:sz w:val="24"/>
          <w:lang w:val="en-GB" w:eastAsia="zh-CN"/>
        </w:rPr>
        <w:t>工作。</w:t>
      </w:r>
      <w:r w:rsidRPr="00A82775">
        <w:rPr>
          <w:rFonts w:hint="eastAsia"/>
          <w:sz w:val="24"/>
          <w:lang w:eastAsia="zh-CN"/>
        </w:rPr>
        <w:t>从</w:t>
      </w:r>
      <w:r w:rsidR="00C41F77" w:rsidRPr="00A82775">
        <w:rPr>
          <w:rFonts w:hint="eastAsia"/>
          <w:sz w:val="24"/>
          <w:lang w:eastAsia="zh-CN"/>
        </w:rPr>
        <w:t>下文</w:t>
      </w:r>
      <w:r w:rsidR="00A117F7" w:rsidRPr="00A82775">
        <w:rPr>
          <w:rFonts w:hint="eastAsia"/>
          <w:sz w:val="24"/>
          <w:lang w:eastAsia="zh-CN"/>
        </w:rPr>
        <w:t>第</w:t>
      </w:r>
      <w:r w:rsidRPr="00A82775">
        <w:rPr>
          <w:rFonts w:hint="eastAsia"/>
          <w:sz w:val="24"/>
          <w:lang w:val="en-GB" w:eastAsia="zh-CN"/>
        </w:rPr>
        <w:t>3.3</w:t>
      </w:r>
      <w:r w:rsidR="002A0FDF" w:rsidRPr="00A82775">
        <w:rPr>
          <w:rFonts w:hint="eastAsia"/>
          <w:sz w:val="24"/>
          <w:lang w:val="en-GB" w:eastAsia="zh-CN"/>
        </w:rPr>
        <w:t>小</w:t>
      </w:r>
      <w:r w:rsidRPr="00A82775">
        <w:rPr>
          <w:rFonts w:hint="eastAsia"/>
          <w:sz w:val="24"/>
          <w:lang w:val="en-GB" w:eastAsia="zh-CN"/>
        </w:rPr>
        <w:t>节起，本报告将简要概述次国家和地方政府在七个行动领域中各领域</w:t>
      </w:r>
      <w:r w:rsidRPr="00A82775">
        <w:rPr>
          <w:rFonts w:hint="eastAsia"/>
          <w:sz w:val="24"/>
          <w:lang w:eastAsia="zh-CN"/>
        </w:rPr>
        <w:t>取得</w:t>
      </w:r>
      <w:r w:rsidRPr="00A82775">
        <w:rPr>
          <w:rFonts w:hint="eastAsia"/>
          <w:sz w:val="24"/>
          <w:lang w:val="en-GB" w:eastAsia="zh-CN"/>
        </w:rPr>
        <w:t>的进展。如</w:t>
      </w:r>
      <w:r w:rsidR="00C41F77" w:rsidRPr="00A82775">
        <w:rPr>
          <w:rFonts w:hint="eastAsia"/>
          <w:sz w:val="24"/>
          <w:lang w:val="en-GB" w:eastAsia="zh-CN"/>
        </w:rPr>
        <w:t>上文</w:t>
      </w:r>
      <w:r w:rsidRPr="00A82775">
        <w:rPr>
          <w:rFonts w:hint="eastAsia"/>
          <w:sz w:val="24"/>
          <w:lang w:val="en-GB" w:eastAsia="zh-CN"/>
        </w:rPr>
        <w:t>第</w:t>
      </w:r>
      <w:r w:rsidRPr="00A82775">
        <w:rPr>
          <w:rFonts w:hint="eastAsia"/>
          <w:sz w:val="24"/>
          <w:lang w:val="en-GB" w:eastAsia="zh-CN"/>
        </w:rPr>
        <w:t>1.3</w:t>
      </w:r>
      <w:r w:rsidRPr="00A82775">
        <w:rPr>
          <w:rFonts w:hint="eastAsia"/>
          <w:sz w:val="24"/>
          <w:lang w:val="en-GB" w:eastAsia="zh-CN"/>
        </w:rPr>
        <w:t>节所述，其不涉及国家层面围绕《行动计划》七个行动领域所采取的行动。</w:t>
      </w:r>
    </w:p>
    <w:p w14:paraId="641A867D" w14:textId="4FED3CEA" w:rsidR="00810DB7" w:rsidRPr="00AC4BAD" w:rsidRDefault="00810DB7" w:rsidP="00E52FA3">
      <w:pPr>
        <w:pStyle w:val="CBDH2"/>
        <w:spacing w:after="120"/>
        <w:rPr>
          <w:lang w:eastAsia="zh-CN"/>
        </w:rPr>
      </w:pPr>
      <w:r w:rsidRPr="00AC4BAD">
        <w:rPr>
          <w:rFonts w:hint="eastAsia"/>
          <w:lang w:eastAsia="zh-CN"/>
        </w:rPr>
        <w:lastRenderedPageBreak/>
        <w:t>3.1.</w:t>
      </w:r>
      <w:r w:rsidRPr="00AC4BAD">
        <w:rPr>
          <w:rFonts w:hint="eastAsia"/>
          <w:lang w:eastAsia="zh-CN"/>
        </w:rPr>
        <w:tab/>
      </w:r>
      <w:r w:rsidR="009A62C0">
        <w:rPr>
          <w:lang w:eastAsia="zh-CN"/>
        </w:rPr>
        <w:t>生物多样性公约</w:t>
      </w:r>
      <w:r w:rsidRPr="00AC4BAD">
        <w:rPr>
          <w:rFonts w:hint="eastAsia"/>
          <w:lang w:eastAsia="zh-CN"/>
        </w:rPr>
        <w:t>次国家政府与生物多样性咨询委员会以及地方政府与生物多样性咨询委员会</w:t>
      </w:r>
    </w:p>
    <w:p w14:paraId="68A6609E" w14:textId="77777777" w:rsidR="00810DB7" w:rsidRPr="00A82775" w:rsidRDefault="00810DB7" w:rsidP="00E52FA3">
      <w:pPr>
        <w:pStyle w:val="CBDNormalNoNumber"/>
        <w:rPr>
          <w:sz w:val="24"/>
          <w:lang w:val="en-GB" w:eastAsia="zh-CN"/>
        </w:rPr>
      </w:pPr>
      <w:r w:rsidRPr="00A82775">
        <w:rPr>
          <w:rFonts w:hint="eastAsia"/>
          <w:sz w:val="24"/>
          <w:lang w:val="en-GB" w:eastAsia="zh-CN"/>
        </w:rPr>
        <w:t>根据</w:t>
      </w:r>
      <w:r w:rsidRPr="00A82775">
        <w:rPr>
          <w:rFonts w:hint="eastAsia"/>
          <w:sz w:val="24"/>
          <w:lang w:val="en-GB" w:eastAsia="zh-CN"/>
        </w:rPr>
        <w:t>2010</w:t>
      </w:r>
      <w:r w:rsidRPr="00A82775">
        <w:rPr>
          <w:rFonts w:hint="eastAsia"/>
          <w:sz w:val="24"/>
          <w:lang w:val="en-GB" w:eastAsia="zh-CN"/>
        </w:rPr>
        <w:t>年第</w:t>
      </w:r>
      <w:r w:rsidRPr="00A82775">
        <w:rPr>
          <w:rFonts w:hint="eastAsia"/>
          <w:sz w:val="24"/>
          <w:lang w:val="en-GB" w:eastAsia="zh-CN"/>
        </w:rPr>
        <w:t>X/22</w:t>
      </w:r>
      <w:r w:rsidRPr="00A82775">
        <w:rPr>
          <w:rFonts w:hint="eastAsia"/>
          <w:sz w:val="24"/>
          <w:lang w:val="en-GB" w:eastAsia="zh-CN"/>
        </w:rPr>
        <w:t>号决定设立并经第</w:t>
      </w:r>
      <w:r w:rsidRPr="00A82775">
        <w:rPr>
          <w:rFonts w:hint="eastAsia"/>
          <w:sz w:val="24"/>
          <w:lang w:val="en-GB" w:eastAsia="zh-CN"/>
        </w:rPr>
        <w:t>15/12</w:t>
      </w:r>
      <w:r w:rsidRPr="00A82775">
        <w:rPr>
          <w:rFonts w:hint="eastAsia"/>
          <w:sz w:val="24"/>
          <w:lang w:val="en-GB" w:eastAsia="zh-CN"/>
        </w:rPr>
        <w:t>号决定续期的地方政府与生物多样性咨询委员会和次国家政府与生物多样性咨询委员会，其宗旨分别是：从城市和地方当局以及从次国家政府的角度为执行《行动计划》提供投入和支持。</w:t>
      </w:r>
    </w:p>
    <w:p w14:paraId="51D58D3A" w14:textId="36CF0030" w:rsidR="00810DB7" w:rsidRPr="00A82775" w:rsidRDefault="00810DB7" w:rsidP="00E52FA3">
      <w:pPr>
        <w:pStyle w:val="CBDNormalNoNumber"/>
        <w:rPr>
          <w:sz w:val="24"/>
          <w:lang w:val="en-GB" w:eastAsia="zh-CN"/>
        </w:rPr>
      </w:pPr>
      <w:r w:rsidRPr="00A82775">
        <w:rPr>
          <w:rFonts w:hint="eastAsia"/>
          <w:b/>
          <w:bCs/>
          <w:sz w:val="24"/>
          <w:lang w:val="en-GB" w:eastAsia="zh-CN"/>
        </w:rPr>
        <w:t>次国家政府与生物多样性咨询委员会</w:t>
      </w:r>
      <w:r w:rsidRPr="00A82775">
        <w:rPr>
          <w:rFonts w:hint="eastAsia"/>
          <w:sz w:val="24"/>
          <w:lang w:val="en-GB" w:eastAsia="zh-CN"/>
        </w:rPr>
        <w:t>由地方政府网络与魁北克政府合作协调。该委员会目前由</w:t>
      </w:r>
      <w:r w:rsidRPr="00A82775">
        <w:rPr>
          <w:rFonts w:hint="eastAsia"/>
          <w:sz w:val="24"/>
          <w:lang w:val="en-GB" w:eastAsia="zh-CN"/>
        </w:rPr>
        <w:t>26</w:t>
      </w:r>
      <w:r w:rsidR="000E4CA9" w:rsidRPr="00A82775">
        <w:rPr>
          <w:rFonts w:hint="eastAsia"/>
          <w:sz w:val="24"/>
          <w:lang w:val="en-GB" w:eastAsia="zh-CN"/>
        </w:rPr>
        <w:t>个</w:t>
      </w:r>
      <w:r w:rsidR="00615BDC" w:rsidRPr="00A82775">
        <w:rPr>
          <w:rStyle w:val="FootnoteReference"/>
          <w:rFonts w:hint="eastAsia"/>
          <w:sz w:val="24"/>
          <w:lang w:val="en-GB"/>
        </w:rPr>
        <w:footnoteReference w:id="12"/>
      </w:r>
      <w:r w:rsidR="00D12651">
        <w:rPr>
          <w:rFonts w:hint="eastAsia"/>
          <w:sz w:val="24"/>
          <w:lang w:val="en-GB" w:eastAsia="zh-CN"/>
        </w:rPr>
        <w:t xml:space="preserve"> </w:t>
      </w:r>
      <w:r w:rsidR="000E4CA9" w:rsidRPr="00A82775">
        <w:rPr>
          <w:rFonts w:hint="eastAsia"/>
          <w:sz w:val="24"/>
          <w:lang w:val="en-GB" w:eastAsia="zh-CN"/>
        </w:rPr>
        <w:t>区域政府</w:t>
      </w:r>
      <w:r w:rsidRPr="00A82775">
        <w:rPr>
          <w:rFonts w:hint="eastAsia"/>
          <w:sz w:val="24"/>
          <w:lang w:val="en-GB" w:eastAsia="zh-CN"/>
        </w:rPr>
        <w:t>组成，在伙伴组织</w:t>
      </w:r>
      <w:r w:rsidRPr="00A82775">
        <w:rPr>
          <w:rStyle w:val="FootnoteReference"/>
          <w:sz w:val="24"/>
          <w:lang w:val="en-GB"/>
        </w:rPr>
        <w:footnoteReference w:id="13"/>
      </w:r>
      <w:r w:rsidR="00D12651">
        <w:rPr>
          <w:rFonts w:hint="eastAsia"/>
          <w:sz w:val="24"/>
          <w:lang w:val="en-GB" w:eastAsia="zh-CN"/>
        </w:rPr>
        <w:t xml:space="preserve"> </w:t>
      </w:r>
      <w:r w:rsidRPr="00A82775">
        <w:rPr>
          <w:rFonts w:hint="eastAsia"/>
          <w:sz w:val="24"/>
          <w:lang w:val="en-GB" w:eastAsia="zh-CN"/>
        </w:rPr>
        <w:t>的支持下，通过每季度召开执行会议，共同推进相关工作。次国家政府与生物多样性咨询委员</w:t>
      </w:r>
      <w:r w:rsidR="00B978DC" w:rsidRPr="00A82775">
        <w:rPr>
          <w:rFonts w:hint="eastAsia"/>
          <w:sz w:val="24"/>
          <w:lang w:val="en-GB" w:eastAsia="zh-CN"/>
        </w:rPr>
        <w:t>会</w:t>
      </w:r>
      <w:r w:rsidRPr="00A82775">
        <w:rPr>
          <w:rFonts w:hint="eastAsia"/>
          <w:sz w:val="24"/>
          <w:lang w:val="en-GB" w:eastAsia="zh-CN"/>
        </w:rPr>
        <w:t>的主要目标是在</w:t>
      </w:r>
      <w:r w:rsidR="009A62C0">
        <w:rPr>
          <w:rFonts w:hint="eastAsia"/>
          <w:sz w:val="24"/>
          <w:lang w:val="en-GB" w:eastAsia="zh-CN"/>
        </w:rPr>
        <w:t>生物多样性公约</w:t>
      </w:r>
      <w:r w:rsidRPr="00A82775">
        <w:rPr>
          <w:rFonts w:hint="eastAsia"/>
          <w:sz w:val="24"/>
          <w:lang w:val="en-GB" w:eastAsia="zh-CN"/>
        </w:rPr>
        <w:t>闭会期间会议和缔约方大会上代表其成员并进行倡导，强调区域领导人在实现《公约》目标方面发挥的关键作用。同时，该委员会还作为一个平台供成员交流在各自区域推进生物多样性行动时的经验。该委员会还致力于加强其成员、</w:t>
      </w:r>
      <w:r w:rsidR="009A62C0">
        <w:rPr>
          <w:rFonts w:hint="eastAsia"/>
          <w:sz w:val="24"/>
          <w:lang w:val="en-GB" w:eastAsia="zh-CN"/>
        </w:rPr>
        <w:t>生物多样性公约</w:t>
      </w:r>
      <w:r w:rsidRPr="00A82775">
        <w:rPr>
          <w:rFonts w:hint="eastAsia"/>
          <w:sz w:val="24"/>
          <w:lang w:val="en-GB" w:eastAsia="zh-CN"/>
        </w:rPr>
        <w:t>秘书处和缔约方之间的合作。这项工作由其运营伙伴</w:t>
      </w:r>
      <w:r w:rsidRPr="00AC4BAD">
        <w:rPr>
          <w:sz w:val="24"/>
          <w:szCs w:val="24"/>
          <w:lang w:eastAsia="zh-CN"/>
        </w:rPr>
        <w:t>爱知生物多样性目标地方政府联盟</w:t>
      </w:r>
      <w:r w:rsidRPr="00AC4BAD">
        <w:rPr>
          <w:rFonts w:hint="eastAsia"/>
          <w:sz w:val="24"/>
          <w:szCs w:val="24"/>
          <w:lang w:eastAsia="zh-CN"/>
        </w:rPr>
        <w:t>（在爱知县的领导下）</w:t>
      </w:r>
      <w:r w:rsidRPr="00A82775">
        <w:rPr>
          <w:rFonts w:hint="eastAsia"/>
          <w:sz w:val="24"/>
          <w:lang w:val="en-GB" w:eastAsia="zh-CN"/>
        </w:rPr>
        <w:t>以及地方政府网络生物多样性学习平台提供支持。</w:t>
      </w:r>
      <w:r w:rsidRPr="00A82775">
        <w:rPr>
          <w:sz w:val="24"/>
          <w:lang w:val="en-GB" w:eastAsia="zh-CN"/>
        </w:rPr>
        <w:t>爱知生物多样性目标地方政府联盟</w:t>
      </w:r>
      <w:r w:rsidRPr="00A82775">
        <w:rPr>
          <w:rFonts w:hint="eastAsia"/>
          <w:sz w:val="24"/>
          <w:lang w:val="en-GB" w:eastAsia="zh-CN"/>
        </w:rPr>
        <w:t>召集政治层面的活动并每两年发布一份进度报告，而地方政府网络生物多样性学习平台则促进为其成员提供知识交流和同行学习的机会。</w:t>
      </w:r>
    </w:p>
    <w:p w14:paraId="0897BF44" w14:textId="2586E84D" w:rsidR="00810DB7" w:rsidRPr="00A82775" w:rsidRDefault="00810DB7" w:rsidP="00E52FA3">
      <w:pPr>
        <w:pStyle w:val="CBDNormalNoNumber"/>
        <w:rPr>
          <w:sz w:val="24"/>
          <w:lang w:val="en-GB" w:eastAsia="zh-CN"/>
        </w:rPr>
      </w:pPr>
      <w:r w:rsidRPr="00A82775">
        <w:rPr>
          <w:rFonts w:hint="eastAsia"/>
          <w:b/>
          <w:bCs/>
          <w:sz w:val="24"/>
          <w:lang w:val="en-GB" w:eastAsia="zh-CN"/>
        </w:rPr>
        <w:t>地方政府与生物多样性咨询委员会</w:t>
      </w:r>
      <w:r w:rsidRPr="00A82775">
        <w:rPr>
          <w:rFonts w:hint="eastAsia"/>
          <w:sz w:val="24"/>
          <w:lang w:val="en-GB" w:eastAsia="zh-CN"/>
        </w:rPr>
        <w:t>由</w:t>
      </w:r>
      <w:r w:rsidRPr="00A82775">
        <w:rPr>
          <w:sz w:val="24"/>
          <w:lang w:val="en-GB" w:eastAsia="zh-CN"/>
        </w:rPr>
        <w:t>爱知生物多样性目标地方政府联盟</w:t>
      </w:r>
      <w:r w:rsidRPr="00A82775">
        <w:rPr>
          <w:rFonts w:hint="eastAsia"/>
          <w:sz w:val="24"/>
          <w:lang w:val="en-GB" w:eastAsia="zh-CN"/>
        </w:rPr>
        <w:t>的全球城市生物多样性中心协调。该委员会目前由来自</w:t>
      </w:r>
      <w:r w:rsidRPr="00A82775">
        <w:rPr>
          <w:rFonts w:hint="eastAsia"/>
          <w:sz w:val="24"/>
          <w:lang w:val="en-GB" w:eastAsia="zh-CN"/>
        </w:rPr>
        <w:t>15</w:t>
      </w:r>
      <w:r w:rsidRPr="00A82775">
        <w:rPr>
          <w:rFonts w:hint="eastAsia"/>
          <w:sz w:val="24"/>
          <w:lang w:val="en-GB" w:eastAsia="zh-CN"/>
        </w:rPr>
        <w:t>个城市</w:t>
      </w:r>
      <w:r w:rsidRPr="00A82775">
        <w:rPr>
          <w:rStyle w:val="FootnoteReference"/>
          <w:sz w:val="24"/>
          <w:lang w:val="en-GB" w:eastAsia="zh-CN"/>
        </w:rPr>
        <w:footnoteReference w:id="14"/>
      </w:r>
      <w:r w:rsidR="00D12651">
        <w:rPr>
          <w:rFonts w:hint="eastAsia"/>
          <w:sz w:val="24"/>
          <w:lang w:val="en-GB" w:eastAsia="zh-CN"/>
        </w:rPr>
        <w:t xml:space="preserve"> </w:t>
      </w:r>
      <w:r w:rsidRPr="00A82775">
        <w:rPr>
          <w:rFonts w:hint="eastAsia"/>
          <w:sz w:val="24"/>
          <w:lang w:val="en-GB" w:eastAsia="zh-CN"/>
        </w:rPr>
        <w:t>的市长组成，并配套一个技术工作组提供支持。该工作组由各成员城市的高级技术人员和</w:t>
      </w:r>
      <w:r w:rsidRPr="00A82775">
        <w:rPr>
          <w:rFonts w:hint="eastAsia"/>
          <w:sz w:val="24"/>
          <w:lang w:val="en-GB" w:eastAsia="zh-CN"/>
        </w:rPr>
        <w:t>/</w:t>
      </w:r>
      <w:r w:rsidRPr="00A82775">
        <w:rPr>
          <w:rFonts w:hint="eastAsia"/>
          <w:sz w:val="24"/>
          <w:lang w:val="en-GB" w:eastAsia="zh-CN"/>
        </w:rPr>
        <w:t>或专家构成。该咨询委员会的主要目标包括：作为城市积极参与</w:t>
      </w:r>
      <w:r w:rsidR="009A62C0">
        <w:rPr>
          <w:rFonts w:hint="eastAsia"/>
          <w:sz w:val="24"/>
          <w:lang w:val="en-GB" w:eastAsia="zh-CN"/>
        </w:rPr>
        <w:t>生物多样性公约</w:t>
      </w:r>
      <w:r w:rsidRPr="00A82775">
        <w:rPr>
          <w:rFonts w:hint="eastAsia"/>
          <w:sz w:val="24"/>
          <w:lang w:val="en-GB" w:eastAsia="zh-CN"/>
        </w:rPr>
        <w:t>进程和闭会期间会议并为其提供意见的机制；以及作为制定和商定城市在推动《昆蒙框架》和《</w:t>
      </w:r>
      <w:r w:rsidRPr="00A82775">
        <w:rPr>
          <w:sz w:val="24"/>
          <w:lang w:val="en-GB" w:eastAsia="zh-CN"/>
        </w:rPr>
        <w:t>国家战略和行动计划</w:t>
      </w:r>
      <w:r w:rsidRPr="00A82775">
        <w:rPr>
          <w:rFonts w:hint="eastAsia"/>
          <w:sz w:val="24"/>
          <w:lang w:val="en-GB" w:eastAsia="zh-CN"/>
        </w:rPr>
        <w:t>》</w:t>
      </w:r>
      <w:r w:rsidRPr="00ED46FA">
        <w:rPr>
          <w:rFonts w:hint="eastAsia"/>
          <w:spacing w:val="-4"/>
          <w:sz w:val="24"/>
          <w:lang w:val="en-GB" w:eastAsia="zh-CN"/>
        </w:rPr>
        <w:t>方面的雄心与立场的平台。此外，该咨询委员会还致力于通过反映城市对《行动计划》和《昆蒙框架》执行工作的看法，加强其成员、</w:t>
      </w:r>
      <w:r w:rsidR="009A62C0">
        <w:rPr>
          <w:rFonts w:hint="eastAsia"/>
          <w:spacing w:val="-4"/>
          <w:sz w:val="24"/>
          <w:lang w:val="en-GB" w:eastAsia="zh-CN"/>
        </w:rPr>
        <w:t>生物多样性公约</w:t>
      </w:r>
      <w:r w:rsidRPr="00ED46FA">
        <w:rPr>
          <w:rFonts w:hint="eastAsia"/>
          <w:spacing w:val="-4"/>
          <w:sz w:val="24"/>
          <w:lang w:val="en-GB" w:eastAsia="zh-CN"/>
        </w:rPr>
        <w:t>秘书处与缔约方之间的合作。</w:t>
      </w:r>
    </w:p>
    <w:p w14:paraId="40915B56" w14:textId="77777777" w:rsidR="00810DB7" w:rsidRPr="00AC4BAD" w:rsidRDefault="00810DB7" w:rsidP="00E52FA3">
      <w:pPr>
        <w:pStyle w:val="CBDH2"/>
        <w:spacing w:after="120"/>
        <w:rPr>
          <w:lang w:val="en-GB" w:eastAsia="zh-CN"/>
        </w:rPr>
      </w:pPr>
      <w:r w:rsidRPr="00AC4BAD">
        <w:rPr>
          <w:rFonts w:hint="eastAsia"/>
          <w:lang w:val="en-GB" w:eastAsia="zh-CN"/>
        </w:rPr>
        <w:t>3.2.</w:t>
      </w:r>
      <w:r w:rsidRPr="00AC4BAD">
        <w:rPr>
          <w:rFonts w:hint="eastAsia"/>
          <w:lang w:val="en-GB" w:eastAsia="zh-CN"/>
        </w:rPr>
        <w:tab/>
      </w:r>
      <w:r w:rsidRPr="00AC4BAD">
        <w:rPr>
          <w:rFonts w:hint="eastAsia"/>
          <w:lang w:val="en-GB" w:eastAsia="zh-CN"/>
        </w:rPr>
        <w:t>地方和次国家生物多样性行动全球伙伴关系</w:t>
      </w:r>
    </w:p>
    <w:p w14:paraId="2369BE99" w14:textId="4A3FF1C4" w:rsidR="00810DB7" w:rsidRPr="00A82775" w:rsidRDefault="00810DB7" w:rsidP="00E52FA3">
      <w:pPr>
        <w:pStyle w:val="CBDNormalNoNumber"/>
        <w:rPr>
          <w:sz w:val="24"/>
          <w:lang w:val="en-GB" w:eastAsia="zh-CN"/>
        </w:rPr>
      </w:pPr>
      <w:r w:rsidRPr="00A82775">
        <w:rPr>
          <w:rFonts w:hint="eastAsia"/>
          <w:sz w:val="24"/>
          <w:lang w:val="en-GB" w:eastAsia="zh-CN"/>
        </w:rPr>
        <w:t>城市与生物多样性全球伙伴关系的建立源于认识到城市和次国家政府是执行《生物多样性公约》的关键行为主体。</w:t>
      </w:r>
      <w:r w:rsidRPr="00A82775">
        <w:rPr>
          <w:rFonts w:hint="eastAsia"/>
          <w:sz w:val="24"/>
          <w:lang w:val="en-GB" w:eastAsia="zh-CN"/>
        </w:rPr>
        <w:t>2006</w:t>
      </w:r>
      <w:r w:rsidRPr="00A82775">
        <w:rPr>
          <w:rFonts w:hint="eastAsia"/>
          <w:sz w:val="24"/>
          <w:lang w:val="en-GB" w:eastAsia="zh-CN"/>
        </w:rPr>
        <w:t>年，在开普敦举行的</w:t>
      </w:r>
      <w:r w:rsidRPr="00AC4BAD">
        <w:rPr>
          <w:sz w:val="24"/>
          <w:szCs w:val="24"/>
          <w:lang w:eastAsia="zh-CN"/>
        </w:rPr>
        <w:t>地方政府可持续发展网络</w:t>
      </w:r>
      <w:r w:rsidRPr="00A82775">
        <w:rPr>
          <w:rFonts w:hint="eastAsia"/>
          <w:sz w:val="24"/>
          <w:lang w:val="en-GB" w:eastAsia="zh-CN"/>
        </w:rPr>
        <w:t>大会上，</w:t>
      </w:r>
      <w:r w:rsidRPr="00A82775">
        <w:rPr>
          <w:rFonts w:hint="eastAsia"/>
          <w:sz w:val="24"/>
          <w:lang w:val="en-GB" w:eastAsia="zh-CN"/>
        </w:rPr>
        <w:t>300</w:t>
      </w:r>
      <w:r w:rsidRPr="00A82775">
        <w:rPr>
          <w:rFonts w:hint="eastAsia"/>
          <w:sz w:val="24"/>
          <w:lang w:val="en-GB" w:eastAsia="zh-CN"/>
        </w:rPr>
        <w:t>多个地方当局呼吁发起一项“地方生物多样性行动”试点倡议。随后，代表</w:t>
      </w:r>
      <w:r w:rsidRPr="00A82775">
        <w:rPr>
          <w:rFonts w:hint="eastAsia"/>
          <w:sz w:val="24"/>
          <w:lang w:val="en-GB" w:eastAsia="zh-CN"/>
        </w:rPr>
        <w:t>5,200</w:t>
      </w:r>
      <w:r w:rsidRPr="00A82775">
        <w:rPr>
          <w:rFonts w:hint="eastAsia"/>
          <w:sz w:val="24"/>
          <w:lang w:val="en-GB" w:eastAsia="zh-CN"/>
        </w:rPr>
        <w:t>万人口的</w:t>
      </w:r>
      <w:r w:rsidRPr="00A82775">
        <w:rPr>
          <w:rFonts w:hint="eastAsia"/>
          <w:sz w:val="24"/>
          <w:lang w:val="en-GB" w:eastAsia="zh-CN"/>
        </w:rPr>
        <w:t>21</w:t>
      </w:r>
      <w:r w:rsidRPr="00A82775">
        <w:rPr>
          <w:rFonts w:hint="eastAsia"/>
          <w:sz w:val="24"/>
          <w:lang w:val="en-GB" w:eastAsia="zh-CN"/>
        </w:rPr>
        <w:t>个城市与</w:t>
      </w:r>
      <w:r w:rsidRPr="00AC4BAD">
        <w:rPr>
          <w:sz w:val="24"/>
          <w:szCs w:val="24"/>
          <w:lang w:eastAsia="zh-CN"/>
        </w:rPr>
        <w:t>地方政府可持续发展网络</w:t>
      </w:r>
      <w:r w:rsidRPr="00A82775">
        <w:rPr>
          <w:rFonts w:hint="eastAsia"/>
          <w:sz w:val="24"/>
          <w:lang w:val="en-GB" w:eastAsia="zh-CN"/>
        </w:rPr>
        <w:t>和国际自然保护联盟的“</w:t>
      </w:r>
      <w:r w:rsidRPr="00A82775">
        <w:rPr>
          <w:rFonts w:hint="eastAsia"/>
          <w:sz w:val="24"/>
          <w:lang w:val="en-GB" w:eastAsia="zh-CN"/>
        </w:rPr>
        <w:t>2010</w:t>
      </w:r>
      <w:r w:rsidRPr="00A82775">
        <w:rPr>
          <w:rFonts w:hint="eastAsia"/>
          <w:sz w:val="24"/>
          <w:lang w:val="en-GB" w:eastAsia="zh-CN"/>
        </w:rPr>
        <w:t>年倒计时”倡议展开合作。</w:t>
      </w:r>
      <w:r w:rsidRPr="00A82775">
        <w:rPr>
          <w:rFonts w:hint="eastAsia"/>
          <w:sz w:val="24"/>
          <w:lang w:val="en-GB" w:eastAsia="zh-CN"/>
        </w:rPr>
        <w:t>2007</w:t>
      </w:r>
      <w:r w:rsidRPr="00A82775">
        <w:rPr>
          <w:rFonts w:hint="eastAsia"/>
          <w:sz w:val="24"/>
          <w:lang w:val="en-GB" w:eastAsia="zh-CN"/>
        </w:rPr>
        <w:t>年，在巴西库里提巴举行的一次会议上，</w:t>
      </w:r>
      <w:r w:rsidRPr="00A82775">
        <w:rPr>
          <w:rFonts w:hint="eastAsia"/>
          <w:sz w:val="24"/>
          <w:lang w:val="en-GB" w:eastAsia="zh-CN"/>
        </w:rPr>
        <w:t>34</w:t>
      </w:r>
      <w:r w:rsidRPr="00A82775">
        <w:rPr>
          <w:rFonts w:hint="eastAsia"/>
          <w:sz w:val="24"/>
          <w:lang w:val="en-GB" w:eastAsia="zh-CN"/>
        </w:rPr>
        <w:t>位市长或代表参加了此次会议，会议通过了《关于城市和生物多样性问题的库里提巴声明》，城市承诺支持《生物多样性公约》目标和</w:t>
      </w:r>
      <w:r w:rsidRPr="00A82775">
        <w:rPr>
          <w:rFonts w:hint="eastAsia"/>
          <w:sz w:val="24"/>
          <w:lang w:val="en-GB" w:eastAsia="zh-CN"/>
        </w:rPr>
        <w:t>2010</w:t>
      </w:r>
      <w:r w:rsidRPr="00A82775">
        <w:rPr>
          <w:rFonts w:hint="eastAsia"/>
          <w:sz w:val="24"/>
          <w:lang w:val="en-GB" w:eastAsia="zh-CN"/>
        </w:rPr>
        <w:t>年生物多样性具体目标。</w:t>
      </w:r>
      <w:r w:rsidRPr="00A82775">
        <w:rPr>
          <w:rFonts w:hint="eastAsia"/>
          <w:sz w:val="24"/>
          <w:lang w:val="en-GB" w:eastAsia="zh-CN"/>
        </w:rPr>
        <w:lastRenderedPageBreak/>
        <w:t>随后成立了一个特别工作组，成员包括</w:t>
      </w:r>
      <w:r w:rsidR="009A62C0">
        <w:rPr>
          <w:rFonts w:hint="eastAsia"/>
          <w:sz w:val="24"/>
          <w:lang w:val="en-GB" w:eastAsia="zh-CN"/>
        </w:rPr>
        <w:t>生物多样性公约</w:t>
      </w:r>
      <w:r w:rsidRPr="00A82775">
        <w:rPr>
          <w:rFonts w:hint="eastAsia"/>
          <w:sz w:val="24"/>
          <w:lang w:val="en-GB" w:eastAsia="zh-CN"/>
        </w:rPr>
        <w:t>秘书处、</w:t>
      </w:r>
      <w:r w:rsidRPr="00AC4BAD">
        <w:rPr>
          <w:sz w:val="24"/>
          <w:szCs w:val="24"/>
          <w:lang w:eastAsia="zh-CN"/>
        </w:rPr>
        <w:t>地方政府可持续发展网络</w:t>
      </w:r>
      <w:r w:rsidRPr="00A82775">
        <w:rPr>
          <w:rFonts w:hint="eastAsia"/>
          <w:sz w:val="24"/>
          <w:lang w:val="en-GB" w:eastAsia="zh-CN"/>
        </w:rPr>
        <w:t>、环境署、</w:t>
      </w:r>
      <w:r w:rsidRPr="00AC4BAD">
        <w:rPr>
          <w:color w:val="000000"/>
          <w:sz w:val="24"/>
          <w:szCs w:val="24"/>
          <w:lang w:eastAsia="zh-CN"/>
        </w:rPr>
        <w:t>人居署</w:t>
      </w:r>
      <w:r w:rsidRPr="00A82775">
        <w:rPr>
          <w:rFonts w:hint="eastAsia"/>
          <w:sz w:val="24"/>
          <w:lang w:val="en-GB" w:eastAsia="zh-CN"/>
        </w:rPr>
        <w:t>、</w:t>
      </w:r>
      <w:r w:rsidRPr="00AC4BAD">
        <w:rPr>
          <w:color w:val="000000"/>
          <w:sz w:val="24"/>
          <w:szCs w:val="24"/>
          <w:lang w:eastAsia="zh-CN"/>
        </w:rPr>
        <w:t>自然保护联盟</w:t>
      </w:r>
      <w:r w:rsidRPr="00A82775">
        <w:rPr>
          <w:rFonts w:hint="eastAsia"/>
          <w:sz w:val="24"/>
          <w:lang w:val="en-GB" w:eastAsia="zh-CN"/>
        </w:rPr>
        <w:t>、教科文组织以及库里提巴、波恩、名古屋、蒙特利尔和新加坡的市长。</w:t>
      </w:r>
    </w:p>
    <w:p w14:paraId="2AC1AA95" w14:textId="0FA2F2A9" w:rsidR="00810DB7" w:rsidRPr="00A82775" w:rsidRDefault="00810DB7" w:rsidP="00E52FA3">
      <w:pPr>
        <w:pStyle w:val="CBDNormalNoNumber"/>
        <w:rPr>
          <w:sz w:val="24"/>
          <w:lang w:val="en-GB" w:eastAsia="zh-CN"/>
        </w:rPr>
      </w:pPr>
      <w:r w:rsidRPr="00A82775">
        <w:rPr>
          <w:rFonts w:hint="eastAsia"/>
          <w:sz w:val="24"/>
          <w:lang w:val="en-GB" w:eastAsia="zh-CN"/>
        </w:rPr>
        <w:t>2008</w:t>
      </w:r>
      <w:r w:rsidRPr="00A82775">
        <w:rPr>
          <w:rFonts w:hint="eastAsia"/>
          <w:sz w:val="24"/>
          <w:lang w:val="en-GB" w:eastAsia="zh-CN"/>
        </w:rPr>
        <w:t>年，在波恩举行的</w:t>
      </w:r>
      <w:bookmarkStart w:id="1" w:name="OLE_LINK6"/>
      <w:r w:rsidRPr="00A82775">
        <w:rPr>
          <w:rFonts w:hint="eastAsia"/>
          <w:sz w:val="24"/>
          <w:lang w:val="en-GB" w:eastAsia="zh-CN"/>
        </w:rPr>
        <w:t>联合国生物多样性峰会</w:t>
      </w:r>
      <w:bookmarkEnd w:id="1"/>
      <w:r w:rsidRPr="00A82775">
        <w:rPr>
          <w:rFonts w:hint="eastAsia"/>
          <w:sz w:val="24"/>
          <w:lang w:val="en-GB" w:eastAsia="zh-CN"/>
        </w:rPr>
        <w:t>上，通过《波恩宣言》推动了正式建立城市与生物多样性全球伙伴关系的提议，并于</w:t>
      </w:r>
      <w:r w:rsidRPr="00A82775">
        <w:rPr>
          <w:rFonts w:hint="eastAsia"/>
          <w:sz w:val="24"/>
          <w:lang w:val="en-GB" w:eastAsia="zh-CN"/>
        </w:rPr>
        <w:t>2008</w:t>
      </w:r>
      <w:r w:rsidRPr="00A82775">
        <w:rPr>
          <w:rFonts w:hint="eastAsia"/>
          <w:sz w:val="24"/>
          <w:lang w:val="en-GB" w:eastAsia="zh-CN"/>
        </w:rPr>
        <w:t>年在巴塞罗那举行的自然保护联盟世界自然保护大会上正式启动。该网络推动各城市为</w:t>
      </w:r>
      <w:r w:rsidRPr="00A82775">
        <w:rPr>
          <w:rFonts w:hint="eastAsia"/>
          <w:sz w:val="24"/>
          <w:lang w:val="en-GB" w:eastAsia="zh-CN"/>
        </w:rPr>
        <w:t>2010</w:t>
      </w:r>
      <w:r w:rsidRPr="00A82775">
        <w:rPr>
          <w:rFonts w:hint="eastAsia"/>
          <w:sz w:val="24"/>
          <w:lang w:val="en-GB" w:eastAsia="zh-CN"/>
        </w:rPr>
        <w:t>年联合国国际生物多样性年做好准备工作，最终促成了《</w:t>
      </w:r>
      <w:bookmarkStart w:id="2" w:name="OLE_LINK15"/>
      <w:r w:rsidRPr="00A82775">
        <w:rPr>
          <w:rFonts w:hint="eastAsia"/>
          <w:sz w:val="24"/>
          <w:lang w:val="en-GB" w:eastAsia="zh-CN"/>
        </w:rPr>
        <w:t>关于地方当局与生物多样性的爱知</w:t>
      </w:r>
      <w:r w:rsidRPr="00A82775">
        <w:rPr>
          <w:rFonts w:hint="eastAsia"/>
          <w:sz w:val="24"/>
          <w:lang w:val="en-GB" w:eastAsia="zh-CN"/>
        </w:rPr>
        <w:t>/</w:t>
      </w:r>
      <w:r w:rsidRPr="00A82775">
        <w:rPr>
          <w:rFonts w:hint="eastAsia"/>
          <w:sz w:val="24"/>
          <w:lang w:val="en-GB" w:eastAsia="zh-CN"/>
        </w:rPr>
        <w:t>名古屋宣言</w:t>
      </w:r>
      <w:bookmarkEnd w:id="2"/>
      <w:r w:rsidRPr="00A82775">
        <w:rPr>
          <w:rFonts w:hint="eastAsia"/>
          <w:sz w:val="24"/>
          <w:lang w:val="en-GB" w:eastAsia="zh-CN"/>
        </w:rPr>
        <w:t>》，以及在名古屋举行的缔约方大会第十届会议上通过了《</w:t>
      </w:r>
      <w:r w:rsidRPr="00A82775">
        <w:rPr>
          <w:rFonts w:hint="eastAsia"/>
          <w:sz w:val="24"/>
          <w:lang w:val="en-GB" w:eastAsia="zh-CN"/>
        </w:rPr>
        <w:t>2011-2020</w:t>
      </w:r>
      <w:r w:rsidRPr="00A82775">
        <w:rPr>
          <w:rFonts w:hint="eastAsia"/>
          <w:sz w:val="24"/>
          <w:lang w:val="en-GB" w:eastAsia="zh-CN"/>
        </w:rPr>
        <w:t>年</w:t>
      </w:r>
      <w:r w:rsidR="009A62C0">
        <w:rPr>
          <w:rFonts w:hint="eastAsia"/>
          <w:sz w:val="24"/>
          <w:lang w:val="en-GB" w:eastAsia="zh-CN"/>
        </w:rPr>
        <w:t>生物多样性公约</w:t>
      </w:r>
      <w:r w:rsidRPr="00A82775">
        <w:rPr>
          <w:rFonts w:hint="eastAsia"/>
          <w:sz w:val="24"/>
          <w:lang w:val="en-GB" w:eastAsia="zh-CN"/>
        </w:rPr>
        <w:t>城市、地方当局与生物多样性行动计划》。首次执行会议于</w:t>
      </w:r>
      <w:r w:rsidRPr="00A82775">
        <w:rPr>
          <w:rFonts w:hint="eastAsia"/>
          <w:sz w:val="24"/>
          <w:lang w:val="en-GB" w:eastAsia="zh-CN"/>
        </w:rPr>
        <w:t>2011</w:t>
      </w:r>
      <w:r w:rsidRPr="00A82775">
        <w:rPr>
          <w:rFonts w:hint="eastAsia"/>
          <w:sz w:val="24"/>
          <w:lang w:val="en-GB" w:eastAsia="zh-CN"/>
        </w:rPr>
        <w:t>年在法国蒙彼利埃举行，随后在缔约方大会历届会议上持续开展相关协调工作。</w:t>
      </w:r>
    </w:p>
    <w:p w14:paraId="62B9D60A" w14:textId="77777777" w:rsidR="00810DB7" w:rsidRPr="00AC4BAD" w:rsidRDefault="00810DB7" w:rsidP="00E52FA3">
      <w:pPr>
        <w:pStyle w:val="CBDH2"/>
        <w:spacing w:after="120"/>
        <w:rPr>
          <w:lang w:val="en-GB" w:eastAsia="zh-CN"/>
        </w:rPr>
      </w:pPr>
      <w:r w:rsidRPr="00AC4BAD">
        <w:rPr>
          <w:rFonts w:hint="eastAsia"/>
          <w:lang w:val="en-GB" w:eastAsia="zh-CN"/>
        </w:rPr>
        <w:t>3.3.</w:t>
      </w:r>
      <w:r w:rsidRPr="00AC4BAD">
        <w:rPr>
          <w:rFonts w:hint="eastAsia"/>
          <w:lang w:val="en-GB" w:eastAsia="zh-CN"/>
        </w:rPr>
        <w:tab/>
      </w:r>
      <w:r w:rsidRPr="00AC4BAD">
        <w:rPr>
          <w:rFonts w:hint="eastAsia"/>
          <w:lang w:val="en-GB" w:eastAsia="zh-CN"/>
        </w:rPr>
        <w:t>行动领域</w:t>
      </w:r>
      <w:r w:rsidRPr="00AC4BAD">
        <w:rPr>
          <w:rFonts w:hint="eastAsia"/>
          <w:lang w:val="en-GB" w:eastAsia="zh-CN"/>
        </w:rPr>
        <w:t>1</w:t>
      </w:r>
      <w:r w:rsidRPr="00AC4BAD">
        <w:rPr>
          <w:rFonts w:hint="eastAsia"/>
          <w:lang w:val="en-GB" w:eastAsia="zh-CN"/>
        </w:rPr>
        <w:t>：生物多样性战略和行动的制定和执行</w:t>
      </w:r>
    </w:p>
    <w:p w14:paraId="0E553B84" w14:textId="77777777" w:rsidR="00810DB7" w:rsidRPr="00A82775" w:rsidRDefault="00810DB7" w:rsidP="00E52FA3">
      <w:pPr>
        <w:spacing w:after="120"/>
        <w:ind w:left="567"/>
        <w:rPr>
          <w:b/>
          <w:bCs/>
          <w:sz w:val="24"/>
          <w:lang w:val="en-GB" w:eastAsia="zh-CN"/>
        </w:rPr>
      </w:pPr>
      <w:r w:rsidRPr="00A82775">
        <w:rPr>
          <w:rFonts w:hint="eastAsia"/>
          <w:b/>
          <w:bCs/>
          <w:sz w:val="24"/>
          <w:lang w:val="en-GB" w:eastAsia="zh-CN"/>
        </w:rPr>
        <w:t>美利坚合众国加利福尼亚州陆地和沿海水域的</w:t>
      </w:r>
      <w:r w:rsidRPr="00A82775">
        <w:rPr>
          <w:rFonts w:hint="eastAsia"/>
          <w:b/>
          <w:bCs/>
          <w:sz w:val="24"/>
          <w:lang w:val="en-GB" w:eastAsia="zh-CN"/>
        </w:rPr>
        <w:t>30x30</w:t>
      </w:r>
      <w:r w:rsidRPr="00A82775">
        <w:rPr>
          <w:rFonts w:hint="eastAsia"/>
          <w:b/>
          <w:bCs/>
          <w:sz w:val="24"/>
          <w:lang w:val="en-GB" w:eastAsia="zh-CN"/>
        </w:rPr>
        <w:t>保护</w:t>
      </w:r>
    </w:p>
    <w:p w14:paraId="76D8F06C" w14:textId="77777777" w:rsidR="00810DB7" w:rsidRPr="00A82775" w:rsidRDefault="00810DB7" w:rsidP="00E52FA3">
      <w:pPr>
        <w:pStyle w:val="CBDNormalNoNumber"/>
        <w:rPr>
          <w:sz w:val="24"/>
          <w:lang w:val="en-GB" w:eastAsia="zh-CN"/>
        </w:rPr>
      </w:pPr>
      <w:bookmarkStart w:id="3" w:name="OLE_LINK18"/>
      <w:r w:rsidRPr="00A82775">
        <w:rPr>
          <w:rFonts w:hint="eastAsia"/>
          <w:sz w:val="24"/>
          <w:lang w:val="en-GB" w:eastAsia="zh-CN"/>
        </w:rPr>
        <w:t>加利福尼亚州的</w:t>
      </w:r>
      <w:r w:rsidRPr="00A82775">
        <w:rPr>
          <w:rFonts w:hint="eastAsia"/>
          <w:sz w:val="24"/>
          <w:lang w:val="en-GB" w:eastAsia="zh-CN"/>
        </w:rPr>
        <w:t>30x30</w:t>
      </w:r>
      <w:r w:rsidRPr="00A82775">
        <w:rPr>
          <w:rFonts w:hint="eastAsia"/>
          <w:sz w:val="24"/>
          <w:lang w:val="en-GB" w:eastAsia="zh-CN"/>
        </w:rPr>
        <w:t>方案</w:t>
      </w:r>
      <w:bookmarkEnd w:id="3"/>
      <w:r w:rsidRPr="00A82775">
        <w:rPr>
          <w:rFonts w:hint="eastAsia"/>
          <w:sz w:val="24"/>
          <w:lang w:val="en-GB" w:eastAsia="zh-CN"/>
        </w:rPr>
        <w:t>旨在通过州政府各机构、部落和地方合作伙伴的协调行动实现到</w:t>
      </w:r>
      <w:r w:rsidRPr="00A82775">
        <w:rPr>
          <w:rFonts w:hint="eastAsia"/>
          <w:sz w:val="24"/>
          <w:lang w:val="en-GB" w:eastAsia="zh-CN"/>
        </w:rPr>
        <w:t>2030</w:t>
      </w:r>
      <w:r w:rsidRPr="00A82775">
        <w:rPr>
          <w:rFonts w:hint="eastAsia"/>
          <w:sz w:val="24"/>
          <w:lang w:val="en-GB" w:eastAsia="zh-CN"/>
        </w:rPr>
        <w:t>年保护</w:t>
      </w:r>
      <w:r w:rsidRPr="00A82775">
        <w:rPr>
          <w:rFonts w:hint="eastAsia"/>
          <w:sz w:val="24"/>
          <w:lang w:val="en-GB" w:eastAsia="zh-CN"/>
        </w:rPr>
        <w:t>30%</w:t>
      </w:r>
      <w:r w:rsidRPr="00A82775">
        <w:rPr>
          <w:rFonts w:hint="eastAsia"/>
          <w:sz w:val="24"/>
          <w:lang w:val="en-GB" w:eastAsia="zh-CN"/>
        </w:rPr>
        <w:t>的陆地和沿海水域。该倡议的进展通过</w:t>
      </w:r>
      <w:bookmarkStart w:id="4" w:name="OLE_LINK19"/>
      <w:r w:rsidRPr="00A82775">
        <w:rPr>
          <w:rFonts w:hint="eastAsia"/>
          <w:sz w:val="24"/>
          <w:lang w:val="en-GB" w:eastAsia="zh-CN"/>
        </w:rPr>
        <w:t>CA Nature</w:t>
      </w:r>
      <w:bookmarkEnd w:id="4"/>
      <w:r w:rsidRPr="00A82775">
        <w:rPr>
          <w:rFonts w:hint="eastAsia"/>
          <w:sz w:val="24"/>
          <w:lang w:val="en-GB" w:eastAsia="zh-CN"/>
        </w:rPr>
        <w:t>地理信息系统平台和年度报告制度进行跟踪。截至</w:t>
      </w:r>
      <w:r w:rsidRPr="00A82775">
        <w:rPr>
          <w:rFonts w:hint="eastAsia"/>
          <w:sz w:val="24"/>
          <w:lang w:val="en-GB" w:eastAsia="zh-CN"/>
        </w:rPr>
        <w:t>2025</w:t>
      </w:r>
      <w:r w:rsidRPr="00A82775">
        <w:rPr>
          <w:rFonts w:hint="eastAsia"/>
          <w:sz w:val="24"/>
          <w:lang w:val="en-GB" w:eastAsia="zh-CN"/>
        </w:rPr>
        <w:t>年，已有超过</w:t>
      </w:r>
      <w:r w:rsidRPr="00A82775">
        <w:rPr>
          <w:rFonts w:hint="eastAsia"/>
          <w:sz w:val="24"/>
          <w:lang w:val="en-GB" w:eastAsia="zh-CN"/>
        </w:rPr>
        <w:t>26%</w:t>
      </w:r>
      <w:r w:rsidRPr="00A82775">
        <w:rPr>
          <w:rFonts w:hint="eastAsia"/>
          <w:sz w:val="24"/>
          <w:lang w:val="en-GB" w:eastAsia="zh-CN"/>
        </w:rPr>
        <w:t>的陆地和</w:t>
      </w:r>
      <w:r w:rsidRPr="00A82775">
        <w:rPr>
          <w:rFonts w:hint="eastAsia"/>
          <w:sz w:val="24"/>
          <w:lang w:val="en-GB" w:eastAsia="zh-CN"/>
        </w:rPr>
        <w:t>21.9%</w:t>
      </w:r>
      <w:r w:rsidRPr="00A82775">
        <w:rPr>
          <w:rFonts w:hint="eastAsia"/>
          <w:sz w:val="24"/>
          <w:lang w:val="en-GB" w:eastAsia="zh-CN"/>
        </w:rPr>
        <w:t>的沿海水域得到保护。更多信息见</w:t>
      </w:r>
      <w:hyperlink r:id="rId24" w:history="1">
        <w:r w:rsidRPr="00A82775">
          <w:rPr>
            <w:rStyle w:val="Hyperlink"/>
            <w:sz w:val="24"/>
            <w:lang w:val="en-GB" w:eastAsia="zh-CN"/>
          </w:rPr>
          <w:t>此处</w:t>
        </w:r>
      </w:hyperlink>
      <w:r w:rsidRPr="00A82775">
        <w:rPr>
          <w:rFonts w:hint="eastAsia"/>
          <w:sz w:val="24"/>
          <w:lang w:val="en-GB" w:eastAsia="zh-CN"/>
        </w:rPr>
        <w:t>。</w:t>
      </w:r>
    </w:p>
    <w:p w14:paraId="7B8C4549" w14:textId="77777777" w:rsidR="00810DB7" w:rsidRPr="00A82775" w:rsidRDefault="00810DB7" w:rsidP="00E52FA3">
      <w:pPr>
        <w:spacing w:after="120"/>
        <w:ind w:left="567"/>
        <w:rPr>
          <w:b/>
          <w:bCs/>
          <w:sz w:val="24"/>
          <w:lang w:val="en-GB" w:eastAsia="zh-CN"/>
        </w:rPr>
      </w:pPr>
      <w:r w:rsidRPr="00A82775">
        <w:rPr>
          <w:rFonts w:hint="eastAsia"/>
          <w:b/>
          <w:bCs/>
          <w:sz w:val="24"/>
          <w:lang w:val="en-GB" w:eastAsia="zh-CN"/>
        </w:rPr>
        <w:t>加拿大魁北克省推进</w:t>
      </w:r>
      <w:r w:rsidRPr="00A82775">
        <w:rPr>
          <w:rFonts w:hint="eastAsia"/>
          <w:b/>
          <w:bCs/>
          <w:sz w:val="24"/>
          <w:lang w:val="en-GB" w:eastAsia="zh-CN"/>
        </w:rPr>
        <w:t>30x30</w:t>
      </w:r>
      <w:r w:rsidRPr="00A82775">
        <w:rPr>
          <w:rFonts w:hint="eastAsia"/>
          <w:b/>
          <w:bCs/>
          <w:sz w:val="24"/>
          <w:lang w:val="en-GB" w:eastAsia="zh-CN"/>
        </w:rPr>
        <w:t>保护的参与和工具主流化</w:t>
      </w:r>
    </w:p>
    <w:p w14:paraId="4F4AEAA5" w14:textId="254035DD" w:rsidR="00810DB7" w:rsidRPr="00A82775" w:rsidRDefault="00810DB7" w:rsidP="00E52FA3">
      <w:pPr>
        <w:pStyle w:val="CBDNormalNoNumber"/>
        <w:rPr>
          <w:sz w:val="24"/>
          <w:lang w:val="en-GB" w:eastAsia="zh-CN"/>
        </w:rPr>
      </w:pPr>
      <w:r w:rsidRPr="00A82775">
        <w:rPr>
          <w:rFonts w:hint="eastAsia"/>
          <w:sz w:val="24"/>
          <w:lang w:val="en-GB" w:eastAsia="zh-CN"/>
        </w:rPr>
        <w:t>魁北克省通过公开征集保护区、结构化的利益攸关方对话以及</w:t>
      </w:r>
      <w:r w:rsidRPr="00A82775">
        <w:rPr>
          <w:sz w:val="24"/>
          <w:lang w:val="en-GB" w:eastAsia="zh-CN"/>
        </w:rPr>
        <w:t>其他基于区域的有效保护措施</w:t>
      </w:r>
      <w:r w:rsidRPr="00A82775">
        <w:rPr>
          <w:rFonts w:hint="eastAsia"/>
          <w:sz w:val="24"/>
          <w:lang w:val="en-GB" w:eastAsia="zh-CN"/>
        </w:rPr>
        <w:t>识别工具来推进其</w:t>
      </w:r>
      <w:r w:rsidRPr="00A82775">
        <w:rPr>
          <w:rFonts w:hint="eastAsia"/>
          <w:sz w:val="24"/>
          <w:lang w:val="en-GB" w:eastAsia="zh-CN"/>
        </w:rPr>
        <w:t>30x30</w:t>
      </w:r>
      <w:r w:rsidRPr="00A82775">
        <w:rPr>
          <w:rFonts w:hint="eastAsia"/>
          <w:sz w:val="24"/>
          <w:lang w:val="en-GB" w:eastAsia="zh-CN"/>
        </w:rPr>
        <w:t>目标的落实。该过程整合了区域协商、土著人民参与和决策支持工具，以确定重点保护区。其已征集</w:t>
      </w:r>
      <w:r w:rsidRPr="00A82775">
        <w:rPr>
          <w:rFonts w:hint="eastAsia"/>
          <w:sz w:val="24"/>
          <w:lang w:val="en-GB" w:eastAsia="zh-CN"/>
        </w:rPr>
        <w:t>500</w:t>
      </w:r>
      <w:r w:rsidRPr="00A82775">
        <w:rPr>
          <w:rFonts w:hint="eastAsia"/>
          <w:sz w:val="24"/>
          <w:lang w:val="en-GB" w:eastAsia="zh-CN"/>
        </w:rPr>
        <w:t>余份提案，并推进了新的保护区和养护区的认定。更多信息见</w:t>
      </w:r>
      <w:hyperlink r:id="rId25" w:history="1">
        <w:r w:rsidRPr="00A82775">
          <w:rPr>
            <w:rStyle w:val="Hyperlink"/>
            <w:sz w:val="24"/>
            <w:lang w:val="en-GB" w:eastAsia="zh-CN"/>
          </w:rPr>
          <w:t>此处</w:t>
        </w:r>
      </w:hyperlink>
      <w:r w:rsidRPr="00A82775">
        <w:rPr>
          <w:rFonts w:hint="eastAsia"/>
          <w:sz w:val="24"/>
          <w:lang w:val="en-GB" w:eastAsia="zh-CN"/>
        </w:rPr>
        <w:t>。</w:t>
      </w:r>
    </w:p>
    <w:p w14:paraId="08188FCA"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蒙特利尔地方生物多样性战略</w:t>
      </w:r>
    </w:p>
    <w:p w14:paraId="3150F5AD" w14:textId="17E00F32" w:rsidR="00810DB7" w:rsidRPr="00A82775" w:rsidRDefault="00810DB7" w:rsidP="00E52FA3">
      <w:pPr>
        <w:pStyle w:val="CBDNormalNoNumber"/>
        <w:rPr>
          <w:sz w:val="24"/>
          <w:lang w:val="en-GB" w:eastAsia="zh-CN"/>
        </w:rPr>
      </w:pPr>
      <w:r w:rsidRPr="00A82775">
        <w:rPr>
          <w:rFonts w:hint="eastAsia"/>
          <w:sz w:val="24"/>
          <w:lang w:val="en-GB" w:eastAsia="zh-CN"/>
        </w:rPr>
        <w:t>加拿大魁北克省蒙特利尔市制定了一份地方生物多样性战略和行动计划，即</w:t>
      </w:r>
      <w:hyperlink r:id="rId26" w:history="1">
        <w:r w:rsidRPr="00C8555D">
          <w:rPr>
            <w:rStyle w:val="Hyperlink"/>
            <w:rFonts w:eastAsia="KaiTi" w:hint="eastAsia"/>
            <w:sz w:val="24"/>
            <w:lang w:val="en-GB" w:eastAsia="zh-CN"/>
          </w:rPr>
          <w:t>《保护生物多样性并促进亲近自然</w:t>
        </w:r>
        <w:r w:rsidRPr="00C8555D">
          <w:rPr>
            <w:rStyle w:val="Hyperlink"/>
            <w:rFonts w:eastAsia="KaiTi" w:hint="eastAsia"/>
            <w:sz w:val="24"/>
            <w:lang w:val="en-GB" w:eastAsia="zh-CN"/>
          </w:rPr>
          <w:t>2030</w:t>
        </w:r>
        <w:r w:rsidRPr="00C8555D">
          <w:rPr>
            <w:rStyle w:val="Hyperlink"/>
            <w:rFonts w:eastAsia="KaiTi" w:hint="eastAsia"/>
            <w:sz w:val="24"/>
            <w:lang w:val="en-GB" w:eastAsia="zh-CN"/>
          </w:rPr>
          <w:t>年自然计划（</w:t>
        </w:r>
        <w:r w:rsidR="003A5C9C" w:rsidRPr="00C8555D">
          <w:rPr>
            <w:rStyle w:val="Hyperlink"/>
            <w:rFonts w:ascii="SimSun" w:eastAsia="KaiTi" w:hAnsi="SimSun" w:hint="eastAsia"/>
            <w:sz w:val="24"/>
            <w:lang w:val="en-GB" w:eastAsia="zh-CN"/>
          </w:rPr>
          <w:t>〈</w:t>
        </w:r>
        <w:r w:rsidRPr="00C8555D">
          <w:rPr>
            <w:rStyle w:val="Hyperlink"/>
            <w:rFonts w:eastAsia="KaiTi"/>
            <w:sz w:val="24"/>
            <w:lang w:val="en-GB" w:eastAsia="zh-CN"/>
          </w:rPr>
          <w:t>2024</w:t>
        </w:r>
        <w:r w:rsidRPr="00C8555D">
          <w:rPr>
            <w:rStyle w:val="Hyperlink"/>
            <w:rFonts w:eastAsia="KaiTi"/>
            <w:sz w:val="24"/>
            <w:lang w:eastAsia="zh-CN"/>
          </w:rPr>
          <w:t>-</w:t>
        </w:r>
        <w:r w:rsidRPr="00C8555D">
          <w:rPr>
            <w:rStyle w:val="Hyperlink"/>
            <w:rFonts w:eastAsia="KaiTi"/>
            <w:sz w:val="24"/>
            <w:lang w:val="en-GB" w:eastAsia="zh-CN"/>
          </w:rPr>
          <w:t>2028</w:t>
        </w:r>
        <w:r w:rsidRPr="00C8555D">
          <w:rPr>
            <w:rStyle w:val="Hyperlink"/>
            <w:rFonts w:eastAsia="KaiTi" w:hint="eastAsia"/>
            <w:sz w:val="24"/>
            <w:lang w:val="en-GB" w:eastAsia="zh-CN"/>
          </w:rPr>
          <w:t>年行动计划</w:t>
        </w:r>
        <w:r w:rsidR="003A5C9C" w:rsidRPr="00C8555D">
          <w:rPr>
            <w:rStyle w:val="Hyperlink"/>
            <w:rFonts w:ascii="SimSun" w:eastAsia="KaiTi" w:hAnsi="SimSun" w:hint="eastAsia"/>
            <w:sz w:val="24"/>
            <w:lang w:val="en-GB" w:eastAsia="zh-CN"/>
          </w:rPr>
          <w:t>〉</w:t>
        </w:r>
        <w:r w:rsidRPr="00C8555D">
          <w:rPr>
            <w:rStyle w:val="Hyperlink"/>
            <w:rFonts w:eastAsia="KaiTi" w:hint="eastAsia"/>
            <w:sz w:val="24"/>
            <w:lang w:val="en-GB" w:eastAsia="zh-CN"/>
          </w:rPr>
          <w:t>）》</w:t>
        </w:r>
      </w:hyperlink>
      <w:r w:rsidRPr="00A82775">
        <w:rPr>
          <w:rFonts w:hint="eastAsia"/>
          <w:sz w:val="24"/>
          <w:lang w:val="en-GB" w:eastAsia="zh-CN"/>
        </w:rPr>
        <w:t>，着重关注保护生态系统、将自然纳入城市规划，并通过例如“自然与体育计划”等方式促进公民参与。其关键行动包括保护全市</w:t>
      </w:r>
      <w:r w:rsidRPr="00A82775">
        <w:rPr>
          <w:rFonts w:hint="eastAsia"/>
          <w:sz w:val="24"/>
          <w:lang w:val="en-GB" w:eastAsia="zh-CN"/>
        </w:rPr>
        <w:t>10%</w:t>
      </w:r>
      <w:r w:rsidRPr="00A82775">
        <w:rPr>
          <w:rFonts w:hint="eastAsia"/>
          <w:sz w:val="24"/>
          <w:lang w:val="en-GB" w:eastAsia="zh-CN"/>
        </w:rPr>
        <w:t>的土地、到</w:t>
      </w:r>
      <w:r w:rsidRPr="00A82775">
        <w:rPr>
          <w:rFonts w:hint="eastAsia"/>
          <w:sz w:val="24"/>
          <w:lang w:val="en-GB" w:eastAsia="zh-CN"/>
        </w:rPr>
        <w:t>2030</w:t>
      </w:r>
      <w:r w:rsidRPr="00A82775">
        <w:rPr>
          <w:rFonts w:hint="eastAsia"/>
          <w:sz w:val="24"/>
          <w:lang w:val="en-GB" w:eastAsia="zh-CN"/>
        </w:rPr>
        <w:t>年种植</w:t>
      </w:r>
      <w:r w:rsidRPr="00A82775">
        <w:rPr>
          <w:rFonts w:hint="eastAsia"/>
          <w:sz w:val="24"/>
          <w:lang w:val="en-GB" w:eastAsia="zh-CN"/>
        </w:rPr>
        <w:t>50</w:t>
      </w:r>
      <w:r w:rsidRPr="00A82775">
        <w:rPr>
          <w:rFonts w:hint="eastAsia"/>
          <w:sz w:val="24"/>
          <w:lang w:val="en-GB" w:eastAsia="zh-CN"/>
        </w:rPr>
        <w:t>万棵树、管理生态廊道，以及开发如西部大公园（</w:t>
      </w:r>
      <w:bookmarkStart w:id="5" w:name="OLE_LINK25"/>
      <w:r w:rsidRPr="00A82775">
        <w:rPr>
          <w:rFonts w:hint="eastAsia"/>
          <w:sz w:val="24"/>
          <w:lang w:val="en-GB" w:eastAsia="zh-CN"/>
        </w:rPr>
        <w:t>Grand parc de l</w:t>
      </w:r>
      <w:r w:rsidRPr="00D81FFD">
        <w:rPr>
          <w:sz w:val="24"/>
          <w:lang w:val="en-GB" w:eastAsia="zh-CN"/>
        </w:rPr>
        <w:t>’</w:t>
      </w:r>
      <w:r w:rsidRPr="00A82775">
        <w:rPr>
          <w:rFonts w:hint="eastAsia"/>
          <w:sz w:val="24"/>
          <w:lang w:val="en-GB" w:eastAsia="zh-CN"/>
        </w:rPr>
        <w:t>Ouest</w:t>
      </w:r>
      <w:bookmarkEnd w:id="5"/>
      <w:r w:rsidRPr="00A82775">
        <w:rPr>
          <w:rFonts w:hint="eastAsia"/>
          <w:sz w:val="24"/>
          <w:lang w:val="en-GB" w:eastAsia="zh-CN"/>
        </w:rPr>
        <w:t>）等大型自然空间。该市重视对生物多样性热点地区和湿地的保护，并增强城市应对气候变化的韧性。</w:t>
      </w:r>
    </w:p>
    <w:p w14:paraId="09EDB7A8" w14:textId="2B5F1B61" w:rsidR="00810DB7" w:rsidRPr="00AC4BAD" w:rsidRDefault="00810DB7" w:rsidP="00E52FA3">
      <w:pPr>
        <w:pStyle w:val="CBDH2"/>
        <w:spacing w:after="120"/>
        <w:rPr>
          <w:lang w:val="en-GB" w:eastAsia="zh-CN"/>
        </w:rPr>
      </w:pPr>
      <w:r w:rsidRPr="00AC4BAD">
        <w:rPr>
          <w:rFonts w:hint="eastAsia"/>
          <w:lang w:val="en-GB" w:eastAsia="zh-CN"/>
        </w:rPr>
        <w:t>3.4.</w:t>
      </w:r>
      <w:r w:rsidRPr="00AC4BAD">
        <w:rPr>
          <w:rFonts w:hint="eastAsia"/>
          <w:lang w:val="en-GB" w:eastAsia="zh-CN"/>
        </w:rPr>
        <w:tab/>
      </w:r>
      <w:r w:rsidRPr="00AC4BAD">
        <w:rPr>
          <w:rFonts w:hint="eastAsia"/>
          <w:lang w:val="en-GB" w:eastAsia="zh-CN"/>
        </w:rPr>
        <w:t>行动领域</w:t>
      </w:r>
      <w:r w:rsidRPr="00AC4BAD">
        <w:rPr>
          <w:rFonts w:hint="eastAsia"/>
          <w:lang w:val="en-GB" w:eastAsia="zh-CN"/>
        </w:rPr>
        <w:t>2</w:t>
      </w:r>
      <w:r w:rsidRPr="00AC4BAD">
        <w:rPr>
          <w:rFonts w:hint="eastAsia"/>
          <w:lang w:val="en-GB" w:eastAsia="zh-CN"/>
        </w:rPr>
        <w:t>：各级政府间的协</w:t>
      </w:r>
      <w:r w:rsidR="00A16E29" w:rsidRPr="00AC4BAD">
        <w:rPr>
          <w:rFonts w:hint="eastAsia"/>
          <w:lang w:val="en-GB" w:eastAsia="zh-CN"/>
        </w:rPr>
        <w:t>作</w:t>
      </w:r>
      <w:r w:rsidRPr="00AC4BAD">
        <w:rPr>
          <w:rFonts w:hint="eastAsia"/>
          <w:lang w:val="en-GB" w:eastAsia="zh-CN"/>
        </w:rPr>
        <w:t>和主流化</w:t>
      </w:r>
    </w:p>
    <w:p w14:paraId="7FAB5848" w14:textId="77777777" w:rsidR="00810DB7" w:rsidRPr="00A82775" w:rsidRDefault="00810DB7" w:rsidP="00E52FA3">
      <w:pPr>
        <w:spacing w:after="120"/>
        <w:ind w:left="567"/>
        <w:rPr>
          <w:b/>
          <w:bCs/>
          <w:sz w:val="24"/>
          <w:lang w:val="en-GB" w:eastAsia="zh-CN"/>
        </w:rPr>
      </w:pPr>
      <w:r w:rsidRPr="00A82775">
        <w:rPr>
          <w:rFonts w:hint="eastAsia"/>
          <w:b/>
          <w:bCs/>
          <w:sz w:val="24"/>
          <w:lang w:val="en-GB" w:eastAsia="zh-CN"/>
        </w:rPr>
        <w:t>非洲城市将自然纳入土地利用规划和城市基础设施的主流化</w:t>
      </w:r>
    </w:p>
    <w:p w14:paraId="6B66C175" w14:textId="1FA475A5" w:rsidR="00810DB7" w:rsidRPr="00A82775" w:rsidRDefault="00810DB7" w:rsidP="00E52FA3">
      <w:pPr>
        <w:pStyle w:val="CBDNormalNoNumber"/>
        <w:rPr>
          <w:sz w:val="24"/>
          <w:lang w:val="en-GB" w:eastAsia="zh-CN"/>
        </w:rPr>
      </w:pPr>
      <w:r w:rsidRPr="00A82775">
        <w:rPr>
          <w:rFonts w:hint="eastAsia"/>
          <w:sz w:val="24"/>
          <w:lang w:val="en-GB" w:eastAsia="zh-CN"/>
        </w:rPr>
        <w:t>非洲城市自然资产（</w:t>
      </w:r>
      <w:r w:rsidRPr="00A82775">
        <w:rPr>
          <w:rFonts w:hint="eastAsia"/>
          <w:sz w:val="24"/>
          <w:lang w:val="en-GB" w:eastAsia="zh-CN"/>
        </w:rPr>
        <w:t>UNA</w:t>
      </w:r>
      <w:r w:rsidRPr="00A82775">
        <w:rPr>
          <w:rFonts w:hint="eastAsia"/>
          <w:sz w:val="24"/>
          <w:lang w:val="en-GB" w:eastAsia="zh-CN"/>
        </w:rPr>
        <w:t>）项目由</w:t>
      </w:r>
      <w:r w:rsidR="00A16E29" w:rsidRPr="00A82775">
        <w:rPr>
          <w:sz w:val="24"/>
          <w:lang w:eastAsia="zh-CN"/>
        </w:rPr>
        <w:t>地方政府可持续发展网络</w:t>
      </w:r>
      <w:r w:rsidRPr="00A82775">
        <w:rPr>
          <w:rFonts w:hint="eastAsia"/>
          <w:sz w:val="24"/>
          <w:lang w:val="en-GB" w:eastAsia="zh-CN"/>
        </w:rPr>
        <w:t>非洲办事处在瑞典国际开发合作署的资助下实施，为非洲</w:t>
      </w:r>
      <w:r w:rsidRPr="00A82775">
        <w:rPr>
          <w:rFonts w:hint="eastAsia"/>
          <w:sz w:val="24"/>
          <w:lang w:val="en-GB" w:eastAsia="zh-CN"/>
        </w:rPr>
        <w:t>9</w:t>
      </w:r>
      <w:r w:rsidRPr="00A82775">
        <w:rPr>
          <w:rFonts w:hint="eastAsia"/>
          <w:sz w:val="24"/>
          <w:lang w:val="en-GB" w:eastAsia="zh-CN"/>
        </w:rPr>
        <w:t>个国家的</w:t>
      </w:r>
      <w:r w:rsidRPr="00A82775">
        <w:rPr>
          <w:rFonts w:hint="eastAsia"/>
          <w:sz w:val="24"/>
          <w:lang w:val="en-GB" w:eastAsia="zh-CN"/>
        </w:rPr>
        <w:t>11</w:t>
      </w:r>
      <w:r w:rsidRPr="00A82775">
        <w:rPr>
          <w:rFonts w:hint="eastAsia"/>
          <w:sz w:val="24"/>
          <w:lang w:val="en-GB" w:eastAsia="zh-CN"/>
        </w:rPr>
        <w:t>个城市提供支持，将基于自然的解决方案纳入城市发展战略和政策，以改善城市治理、规划实践和融资渠道。更多信息见</w:t>
      </w:r>
      <w:hyperlink r:id="rId27" w:history="1">
        <w:r w:rsidRPr="00A82775">
          <w:rPr>
            <w:rStyle w:val="Hyperlink"/>
            <w:sz w:val="24"/>
            <w:lang w:val="en-GB" w:eastAsia="zh-CN"/>
          </w:rPr>
          <w:t>此处</w:t>
        </w:r>
      </w:hyperlink>
      <w:r w:rsidRPr="00A82775">
        <w:rPr>
          <w:rFonts w:hint="eastAsia"/>
          <w:sz w:val="24"/>
          <w:lang w:val="en-GB" w:eastAsia="zh-CN"/>
        </w:rPr>
        <w:t>和</w:t>
      </w:r>
      <w:hyperlink r:id="rId28" w:history="1">
        <w:r w:rsidRPr="00A82775">
          <w:rPr>
            <w:rStyle w:val="Hyperlink"/>
            <w:sz w:val="24"/>
            <w:lang w:val="en-GB" w:eastAsia="zh-CN"/>
          </w:rPr>
          <w:t>此处</w:t>
        </w:r>
      </w:hyperlink>
      <w:r w:rsidRPr="00A82775">
        <w:rPr>
          <w:rFonts w:hint="eastAsia"/>
          <w:sz w:val="24"/>
          <w:lang w:val="en-GB" w:eastAsia="zh-CN"/>
        </w:rPr>
        <w:t>。</w:t>
      </w:r>
    </w:p>
    <w:p w14:paraId="601896B8"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世界各地城市采取行动保护湿地</w:t>
      </w:r>
    </w:p>
    <w:p w14:paraId="2A5AFC5E" w14:textId="034208F2" w:rsidR="00810DB7" w:rsidRPr="00A82775" w:rsidRDefault="00810DB7" w:rsidP="00E52FA3">
      <w:pPr>
        <w:pStyle w:val="CBDNormalNoNumber"/>
        <w:rPr>
          <w:sz w:val="24"/>
          <w:lang w:val="en-GB" w:eastAsia="zh-CN"/>
        </w:rPr>
      </w:pPr>
      <w:r w:rsidRPr="00A82775">
        <w:rPr>
          <w:rFonts w:hint="eastAsia"/>
          <w:sz w:val="24"/>
          <w:lang w:val="en-GB" w:eastAsia="zh-CN"/>
        </w:rPr>
        <w:t>《拉姆萨尔湿地公约》下的</w:t>
      </w:r>
      <w:hyperlink r:id="rId29" w:history="1">
        <w:r w:rsidRPr="00A82775">
          <w:rPr>
            <w:rStyle w:val="Hyperlink"/>
            <w:rFonts w:hint="eastAsia"/>
            <w:sz w:val="24"/>
            <w:lang w:val="en-GB" w:eastAsia="zh-CN"/>
          </w:rPr>
          <w:t>“湿地城市认证”计划</w:t>
        </w:r>
      </w:hyperlink>
      <w:r w:rsidRPr="00A82775">
        <w:rPr>
          <w:rFonts w:hint="eastAsia"/>
          <w:sz w:val="24"/>
          <w:lang w:val="en-GB" w:eastAsia="zh-CN"/>
        </w:rPr>
        <w:t>鼓励并表彰倡导城市及城郊湿地合理利用和保护、促进社区参与湿地保护</w:t>
      </w:r>
      <w:r w:rsidR="004E441E" w:rsidRPr="00A82775">
        <w:rPr>
          <w:rFonts w:hint="eastAsia"/>
          <w:sz w:val="24"/>
          <w:lang w:val="en-GB" w:eastAsia="zh-CN"/>
        </w:rPr>
        <w:t>，</w:t>
      </w:r>
      <w:r w:rsidRPr="00A82775">
        <w:rPr>
          <w:rFonts w:hint="eastAsia"/>
          <w:sz w:val="24"/>
          <w:lang w:val="en-GB" w:eastAsia="zh-CN"/>
        </w:rPr>
        <w:t>并将湿地生态系统纳入市政规划和决策</w:t>
      </w:r>
      <w:r w:rsidRPr="00A82775">
        <w:rPr>
          <w:rFonts w:hint="eastAsia"/>
          <w:sz w:val="24"/>
          <w:lang w:val="en-GB" w:eastAsia="zh-CN"/>
        </w:rPr>
        <w:lastRenderedPageBreak/>
        <w:t>的城市。</w:t>
      </w:r>
      <w:r w:rsidRPr="00A82775">
        <w:rPr>
          <w:rFonts w:hint="eastAsia"/>
          <w:sz w:val="24"/>
          <w:lang w:val="en-GB" w:eastAsia="zh-CN"/>
        </w:rPr>
        <w:t>2025</w:t>
      </w:r>
      <w:r w:rsidRPr="00A82775">
        <w:rPr>
          <w:rFonts w:hint="eastAsia"/>
          <w:sz w:val="24"/>
          <w:lang w:val="en-GB" w:eastAsia="zh-CN"/>
        </w:rPr>
        <w:t>年，在拉姆萨尔举办的缔约方大会第十五届会议上，来自全球</w:t>
      </w:r>
      <w:r w:rsidRPr="00A82775">
        <w:rPr>
          <w:rFonts w:hint="eastAsia"/>
          <w:sz w:val="24"/>
          <w:lang w:val="en-GB" w:eastAsia="zh-CN"/>
        </w:rPr>
        <w:t>16</w:t>
      </w:r>
      <w:r w:rsidRPr="00A82775">
        <w:rPr>
          <w:rFonts w:hint="eastAsia"/>
          <w:sz w:val="24"/>
          <w:lang w:val="en-GB" w:eastAsia="zh-CN"/>
        </w:rPr>
        <w:t>个国家的</w:t>
      </w:r>
      <w:r w:rsidRPr="00A82775">
        <w:rPr>
          <w:rFonts w:hint="eastAsia"/>
          <w:sz w:val="24"/>
          <w:lang w:val="en-GB" w:eastAsia="zh-CN"/>
        </w:rPr>
        <w:t>31</w:t>
      </w:r>
      <w:r w:rsidRPr="00A82775">
        <w:rPr>
          <w:rFonts w:hint="eastAsia"/>
          <w:sz w:val="24"/>
          <w:lang w:val="en-GB" w:eastAsia="zh-CN"/>
        </w:rPr>
        <w:t>个新获认证的湿地城市接受了表彰。更多信息见</w:t>
      </w:r>
      <w:hyperlink r:id="rId30" w:history="1">
        <w:r w:rsidRPr="00A82775">
          <w:rPr>
            <w:rStyle w:val="Hyperlink"/>
            <w:sz w:val="24"/>
            <w:lang w:val="en-GB" w:eastAsia="zh-CN"/>
          </w:rPr>
          <w:t>此处</w:t>
        </w:r>
      </w:hyperlink>
      <w:r w:rsidRPr="00A82775">
        <w:rPr>
          <w:rFonts w:hint="eastAsia"/>
          <w:sz w:val="24"/>
          <w:lang w:val="en-GB" w:eastAsia="zh-CN"/>
        </w:rPr>
        <w:t>。</w:t>
      </w:r>
    </w:p>
    <w:p w14:paraId="7F906EB9" w14:textId="175DE2C4" w:rsidR="00810DB7" w:rsidRPr="00A82775" w:rsidRDefault="00810DB7" w:rsidP="00E52FA3">
      <w:pPr>
        <w:pStyle w:val="CBDNormalNoNumber"/>
        <w:rPr>
          <w:b/>
          <w:bCs/>
          <w:sz w:val="24"/>
          <w:lang w:val="en-GB" w:eastAsia="zh-CN"/>
        </w:rPr>
      </w:pPr>
      <w:r w:rsidRPr="00A82775">
        <w:rPr>
          <w:rFonts w:hint="eastAsia"/>
          <w:b/>
          <w:bCs/>
          <w:sz w:val="24"/>
          <w:lang w:val="en-GB" w:eastAsia="zh-CN"/>
        </w:rPr>
        <w:t>巴西里约热内卢州市级保护区能力建设</w:t>
      </w:r>
      <w:r w:rsidR="00BA624F" w:rsidRPr="00A82775">
        <w:rPr>
          <w:rFonts w:hint="eastAsia"/>
          <w:b/>
          <w:bCs/>
          <w:sz w:val="24"/>
          <w:lang w:val="en-GB" w:eastAsia="zh-CN"/>
        </w:rPr>
        <w:t>方案</w:t>
      </w:r>
    </w:p>
    <w:p w14:paraId="62F4A179" w14:textId="600FC360" w:rsidR="00810DB7" w:rsidRPr="00A82775" w:rsidRDefault="00810DB7" w:rsidP="00E52FA3">
      <w:pPr>
        <w:pStyle w:val="CBDNormalNoNumber"/>
        <w:rPr>
          <w:sz w:val="24"/>
          <w:lang w:val="en-GB" w:eastAsia="zh-CN"/>
        </w:rPr>
      </w:pPr>
      <w:r w:rsidRPr="00A82775">
        <w:rPr>
          <w:rFonts w:hint="eastAsia"/>
          <w:sz w:val="24"/>
          <w:lang w:val="en-GB" w:eastAsia="zh-CN"/>
        </w:rPr>
        <w:t>里约热内卢州的</w:t>
      </w:r>
      <w:r w:rsidRPr="00A82775">
        <w:rPr>
          <w:rFonts w:hint="eastAsia"/>
          <w:sz w:val="24"/>
          <w:lang w:val="en-GB" w:eastAsia="zh-CN"/>
        </w:rPr>
        <w:t>ProUC</w:t>
      </w:r>
      <w:r w:rsidR="00BA624F" w:rsidRPr="00A82775">
        <w:rPr>
          <w:rFonts w:hint="eastAsia"/>
          <w:sz w:val="24"/>
          <w:lang w:val="en-GB" w:eastAsia="zh-CN"/>
        </w:rPr>
        <w:t>方案</w:t>
      </w:r>
      <w:r w:rsidRPr="00A82775">
        <w:rPr>
          <w:rFonts w:hint="eastAsia"/>
          <w:sz w:val="24"/>
          <w:lang w:val="en-GB" w:eastAsia="zh-CN"/>
        </w:rPr>
        <w:t>加强了全州</w:t>
      </w:r>
      <w:r w:rsidRPr="00A82775">
        <w:rPr>
          <w:rFonts w:hint="eastAsia"/>
          <w:sz w:val="24"/>
          <w:lang w:val="en-GB" w:eastAsia="zh-CN"/>
        </w:rPr>
        <w:t>92</w:t>
      </w:r>
      <w:r w:rsidRPr="00A82775">
        <w:rPr>
          <w:rFonts w:hint="eastAsia"/>
          <w:sz w:val="24"/>
          <w:lang w:val="en-GB" w:eastAsia="zh-CN"/>
        </w:rPr>
        <w:t>个市建立和管理保护区的能力。该</w:t>
      </w:r>
      <w:r w:rsidR="00BA624F" w:rsidRPr="00A82775">
        <w:rPr>
          <w:rFonts w:hint="eastAsia"/>
          <w:sz w:val="24"/>
          <w:lang w:val="en-GB" w:eastAsia="zh-CN"/>
        </w:rPr>
        <w:t>方案为执行工作</w:t>
      </w:r>
      <w:r w:rsidRPr="00A82775">
        <w:rPr>
          <w:rFonts w:hint="eastAsia"/>
          <w:sz w:val="24"/>
          <w:lang w:val="en-GB" w:eastAsia="zh-CN"/>
        </w:rPr>
        <w:t>提供了技术援助、公共管理人员培训以及</w:t>
      </w:r>
      <w:r w:rsidR="00BA624F" w:rsidRPr="00A82775">
        <w:rPr>
          <w:rFonts w:hint="eastAsia"/>
          <w:sz w:val="24"/>
          <w:lang w:val="en-GB" w:eastAsia="zh-CN"/>
        </w:rPr>
        <w:t>业务</w:t>
      </w:r>
      <w:r w:rsidRPr="00A82775">
        <w:rPr>
          <w:rFonts w:hint="eastAsia"/>
          <w:sz w:val="24"/>
          <w:lang w:val="en-GB" w:eastAsia="zh-CN"/>
        </w:rPr>
        <w:t>支持（包括管理规划和执法工具）。自</w:t>
      </w:r>
      <w:r w:rsidRPr="00A82775">
        <w:rPr>
          <w:rFonts w:hint="eastAsia"/>
          <w:sz w:val="24"/>
          <w:lang w:val="en-GB" w:eastAsia="zh-CN"/>
        </w:rPr>
        <w:t>2009</w:t>
      </w:r>
      <w:r w:rsidRPr="00A82775">
        <w:rPr>
          <w:rFonts w:hint="eastAsia"/>
          <w:sz w:val="24"/>
          <w:lang w:val="en-GB" w:eastAsia="zh-CN"/>
        </w:rPr>
        <w:t>年以来，该</w:t>
      </w:r>
      <w:r w:rsidR="00BA624F" w:rsidRPr="00A82775">
        <w:rPr>
          <w:rFonts w:hint="eastAsia"/>
          <w:sz w:val="24"/>
          <w:lang w:val="en-GB" w:eastAsia="zh-CN"/>
        </w:rPr>
        <w:t>方案</w:t>
      </w:r>
      <w:r w:rsidRPr="00A82775">
        <w:rPr>
          <w:rFonts w:hint="eastAsia"/>
          <w:sz w:val="24"/>
          <w:lang w:val="en-GB" w:eastAsia="zh-CN"/>
        </w:rPr>
        <w:t>已支持建立了</w:t>
      </w:r>
      <w:r w:rsidRPr="00A82775">
        <w:rPr>
          <w:rFonts w:hint="eastAsia"/>
          <w:sz w:val="24"/>
          <w:lang w:val="en-GB" w:eastAsia="zh-CN"/>
        </w:rPr>
        <w:t>60</w:t>
      </w:r>
      <w:r w:rsidRPr="00A82775">
        <w:rPr>
          <w:rFonts w:hint="eastAsia"/>
          <w:sz w:val="24"/>
          <w:lang w:val="en-GB" w:eastAsia="zh-CN"/>
        </w:rPr>
        <w:t>多个市级保护区，并提高了地方生物多样性治理能力。更多信息见</w:t>
      </w:r>
      <w:hyperlink r:id="rId31" w:history="1">
        <w:r w:rsidRPr="00A82775">
          <w:rPr>
            <w:rStyle w:val="Hyperlink"/>
            <w:sz w:val="24"/>
            <w:lang w:val="en-GB" w:eastAsia="zh-CN"/>
          </w:rPr>
          <w:t>此处</w:t>
        </w:r>
      </w:hyperlink>
      <w:r w:rsidRPr="00A82775">
        <w:rPr>
          <w:rFonts w:hint="eastAsia"/>
          <w:sz w:val="24"/>
          <w:lang w:val="en-GB" w:eastAsia="zh-CN"/>
        </w:rPr>
        <w:t>。</w:t>
      </w:r>
    </w:p>
    <w:p w14:paraId="5DE378F2"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塞内加尔圣路易红树林恢复项目</w:t>
      </w:r>
    </w:p>
    <w:p w14:paraId="7AA3BB85" w14:textId="57C7259F" w:rsidR="00810DB7" w:rsidRPr="00A82775" w:rsidRDefault="00810DB7" w:rsidP="00E52FA3">
      <w:pPr>
        <w:pStyle w:val="CBDNormalNoNumber"/>
        <w:rPr>
          <w:sz w:val="24"/>
          <w:lang w:val="en-GB" w:eastAsia="zh-CN"/>
        </w:rPr>
      </w:pPr>
      <w:r w:rsidRPr="00A82775">
        <w:rPr>
          <w:rFonts w:hint="eastAsia"/>
          <w:sz w:val="24"/>
          <w:lang w:val="en-GB" w:eastAsia="zh-CN"/>
        </w:rPr>
        <w:t>圣路易市通过一项跨市协议将</w:t>
      </w:r>
      <w:r w:rsidR="00BA624F" w:rsidRPr="00A82775">
        <w:rPr>
          <w:rFonts w:hint="eastAsia"/>
          <w:sz w:val="24"/>
          <w:lang w:val="en-GB" w:eastAsia="zh-CN"/>
        </w:rPr>
        <w:t>圣路易</w:t>
      </w:r>
      <w:r w:rsidRPr="00A82775">
        <w:rPr>
          <w:rFonts w:hint="eastAsia"/>
          <w:sz w:val="24"/>
          <w:lang w:val="en-GB" w:eastAsia="zh-CN"/>
        </w:rPr>
        <w:t>五个自治市联合起来，共同管理塞内加尔河三角洲</w:t>
      </w:r>
      <w:r w:rsidRPr="00A82775">
        <w:rPr>
          <w:rFonts w:hint="eastAsia"/>
          <w:sz w:val="24"/>
          <w:lang w:val="en-GB" w:eastAsia="zh-CN"/>
        </w:rPr>
        <w:t>2</w:t>
      </w:r>
      <w:r w:rsidR="00C01645" w:rsidRPr="00A82775">
        <w:rPr>
          <w:rFonts w:hint="eastAsia"/>
          <w:sz w:val="24"/>
          <w:lang w:val="en-GB" w:eastAsia="zh-CN"/>
        </w:rPr>
        <w:t>,</w:t>
      </w:r>
      <w:r w:rsidRPr="00A82775">
        <w:rPr>
          <w:rFonts w:hint="eastAsia"/>
          <w:sz w:val="24"/>
          <w:lang w:val="en-GB" w:eastAsia="zh-CN"/>
        </w:rPr>
        <w:t>800</w:t>
      </w:r>
      <w:r w:rsidRPr="00A82775">
        <w:rPr>
          <w:rFonts w:hint="eastAsia"/>
          <w:sz w:val="24"/>
          <w:lang w:val="en-GB" w:eastAsia="zh-CN"/>
        </w:rPr>
        <w:t>公顷的红树林。该项目已恢复超过</w:t>
      </w:r>
      <w:r w:rsidRPr="00A82775">
        <w:rPr>
          <w:rFonts w:hint="eastAsia"/>
          <w:sz w:val="24"/>
          <w:lang w:val="en-GB" w:eastAsia="zh-CN"/>
        </w:rPr>
        <w:t>50</w:t>
      </w:r>
      <w:r w:rsidRPr="00A82775">
        <w:rPr>
          <w:rFonts w:hint="eastAsia"/>
          <w:sz w:val="24"/>
          <w:lang w:val="en-GB" w:eastAsia="zh-CN"/>
        </w:rPr>
        <w:t>公顷的红树林，实现了生态系统年均增长</w:t>
      </w:r>
      <w:r w:rsidRPr="00A82775">
        <w:rPr>
          <w:rFonts w:hint="eastAsia"/>
          <w:sz w:val="24"/>
          <w:lang w:val="en-GB" w:eastAsia="zh-CN"/>
        </w:rPr>
        <w:t>7%</w:t>
      </w:r>
      <w:r w:rsidRPr="00A82775">
        <w:rPr>
          <w:rFonts w:hint="eastAsia"/>
          <w:sz w:val="24"/>
          <w:lang w:val="en-GB" w:eastAsia="zh-CN"/>
        </w:rPr>
        <w:t>，并通过环境教育活动惠及了</w:t>
      </w:r>
      <w:r w:rsidRPr="00A82775">
        <w:rPr>
          <w:rFonts w:hint="eastAsia"/>
          <w:sz w:val="24"/>
          <w:lang w:val="en-GB" w:eastAsia="zh-CN"/>
        </w:rPr>
        <w:t>8</w:t>
      </w:r>
      <w:r w:rsidRPr="00A82775">
        <w:rPr>
          <w:rFonts w:hint="eastAsia"/>
          <w:sz w:val="24"/>
          <w:lang w:val="en-GB" w:eastAsia="zh-CN"/>
        </w:rPr>
        <w:t>万人，同时推动建立了由塞内加尔海洋保护区管理局牵头的国家红树林管理平台。更多信息见</w:t>
      </w:r>
      <w:hyperlink r:id="rId32">
        <w:r w:rsidR="000310C5" w:rsidRPr="00A82775">
          <w:rPr>
            <w:rFonts w:hint="eastAsia"/>
            <w:color w:val="0000FF"/>
            <w:sz w:val="24"/>
            <w:u w:val="single"/>
            <w:lang w:val="en-GB" w:eastAsia="zh-CN"/>
          </w:rPr>
          <w:t>此处</w:t>
        </w:r>
      </w:hyperlink>
      <w:r w:rsidRPr="00A82775">
        <w:rPr>
          <w:rFonts w:hint="eastAsia"/>
          <w:sz w:val="24"/>
          <w:lang w:val="en-GB" w:eastAsia="zh-CN"/>
        </w:rPr>
        <w:t>。</w:t>
      </w:r>
    </w:p>
    <w:p w14:paraId="765DD4D3" w14:textId="29D58227" w:rsidR="00810DB7" w:rsidRPr="00AC4BAD" w:rsidRDefault="00810DB7" w:rsidP="00E52FA3">
      <w:pPr>
        <w:pStyle w:val="CBDH2"/>
        <w:spacing w:after="120"/>
        <w:rPr>
          <w:lang w:val="en-GB" w:eastAsia="zh-CN"/>
        </w:rPr>
      </w:pPr>
      <w:r w:rsidRPr="00AC4BAD">
        <w:rPr>
          <w:rFonts w:hint="eastAsia"/>
          <w:lang w:val="en-GB" w:eastAsia="zh-CN"/>
        </w:rPr>
        <w:t>3.5.</w:t>
      </w:r>
      <w:r w:rsidR="002B3256">
        <w:rPr>
          <w:lang w:val="en-GB" w:eastAsia="zh-CN"/>
        </w:rPr>
        <w:tab/>
      </w:r>
      <w:r w:rsidRPr="00AC4BAD">
        <w:rPr>
          <w:rFonts w:hint="eastAsia"/>
          <w:lang w:val="en-GB" w:eastAsia="zh-CN"/>
        </w:rPr>
        <w:t>行动领域</w:t>
      </w:r>
      <w:r w:rsidRPr="00AC4BAD">
        <w:rPr>
          <w:rFonts w:hint="eastAsia"/>
          <w:lang w:val="en-GB" w:eastAsia="zh-CN"/>
        </w:rPr>
        <w:t>3</w:t>
      </w:r>
      <w:r w:rsidRPr="00AC4BAD">
        <w:rPr>
          <w:rFonts w:hint="eastAsia"/>
          <w:lang w:val="en-GB" w:eastAsia="zh-CN"/>
        </w:rPr>
        <w:t>：资源调动</w:t>
      </w:r>
    </w:p>
    <w:p w14:paraId="08BA9812" w14:textId="77777777" w:rsidR="00810DB7" w:rsidRPr="00A82775" w:rsidRDefault="00810DB7" w:rsidP="00E52FA3">
      <w:pPr>
        <w:spacing w:after="120"/>
        <w:ind w:left="567"/>
        <w:rPr>
          <w:b/>
          <w:bCs/>
          <w:sz w:val="24"/>
          <w:lang w:val="en-GB" w:eastAsia="zh-CN"/>
        </w:rPr>
      </w:pPr>
      <w:r w:rsidRPr="00A82775">
        <w:rPr>
          <w:rFonts w:hint="eastAsia"/>
          <w:b/>
          <w:bCs/>
          <w:sz w:val="24"/>
          <w:lang w:val="en-GB" w:eastAsia="zh-CN"/>
        </w:rPr>
        <w:t>次国家政府为生物多样性行动调动资源</w:t>
      </w:r>
    </w:p>
    <w:p w14:paraId="79688FED" w14:textId="0D53195E" w:rsidR="00810DB7" w:rsidRPr="00A82775" w:rsidRDefault="00810DB7" w:rsidP="00E52FA3">
      <w:pPr>
        <w:pStyle w:val="CBDNormalNoNumber"/>
        <w:rPr>
          <w:sz w:val="24"/>
          <w:lang w:val="en-GB" w:eastAsia="zh-CN"/>
        </w:rPr>
      </w:pPr>
      <w:r w:rsidRPr="00A82775">
        <w:rPr>
          <w:rFonts w:hint="eastAsia"/>
          <w:sz w:val="24"/>
          <w:lang w:val="en-GB" w:eastAsia="zh-CN"/>
        </w:rPr>
        <w:t>魁北克省政府在《生物多样性公约》缔约方大会第</w:t>
      </w:r>
      <w:r w:rsidR="003562F6" w:rsidRPr="00A82775">
        <w:rPr>
          <w:rFonts w:hint="eastAsia"/>
          <w:sz w:val="24"/>
          <w:lang w:val="en-GB" w:eastAsia="zh-CN"/>
        </w:rPr>
        <w:t>十六</w:t>
      </w:r>
      <w:r w:rsidRPr="00A82775">
        <w:rPr>
          <w:rFonts w:hint="eastAsia"/>
          <w:sz w:val="24"/>
          <w:lang w:val="en-GB" w:eastAsia="zh-CN"/>
        </w:rPr>
        <w:t>届会议上宣布，向全球生物多样性框架基金提供</w:t>
      </w:r>
      <w:r w:rsidRPr="00A82775">
        <w:rPr>
          <w:rFonts w:hint="eastAsia"/>
          <w:sz w:val="24"/>
          <w:lang w:val="en-GB" w:eastAsia="zh-CN"/>
        </w:rPr>
        <w:t>200</w:t>
      </w:r>
      <w:r w:rsidRPr="00A82775">
        <w:rPr>
          <w:rFonts w:hint="eastAsia"/>
          <w:sz w:val="24"/>
          <w:lang w:val="en-GB" w:eastAsia="zh-CN"/>
        </w:rPr>
        <w:t>万加元的新增捐款，成为首个向全球生物多样性基金捐款的次国家政府。加利福尼亚州政府承诺投入</w:t>
      </w:r>
      <w:r w:rsidRPr="00A82775">
        <w:rPr>
          <w:rFonts w:hint="eastAsia"/>
          <w:sz w:val="24"/>
          <w:lang w:val="en-GB" w:eastAsia="zh-CN"/>
        </w:rPr>
        <w:t>12</w:t>
      </w:r>
      <w:r w:rsidRPr="00A82775">
        <w:rPr>
          <w:rFonts w:hint="eastAsia"/>
          <w:sz w:val="24"/>
          <w:lang w:val="en-GB" w:eastAsia="zh-CN"/>
        </w:rPr>
        <w:t>亿美元，用于在气候变化的破坏性影响下保护生态系统连通性。</w:t>
      </w:r>
    </w:p>
    <w:p w14:paraId="3B666970"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伦巴第大区的公私生物多样性融资机制</w:t>
      </w:r>
    </w:p>
    <w:p w14:paraId="62E7CEB8" w14:textId="4800F002" w:rsidR="00810DB7" w:rsidRPr="00A82775" w:rsidRDefault="00810DB7" w:rsidP="00E52FA3">
      <w:pPr>
        <w:pStyle w:val="CBDNormalNoNumber"/>
        <w:rPr>
          <w:sz w:val="24"/>
          <w:lang w:val="en-GB" w:eastAsia="zh-CN"/>
        </w:rPr>
      </w:pPr>
      <w:r w:rsidRPr="00A82775">
        <w:rPr>
          <w:rFonts w:hint="eastAsia"/>
          <w:sz w:val="24"/>
          <w:lang w:val="en-GB" w:eastAsia="zh-CN"/>
        </w:rPr>
        <w:t>BIOCLIMA</w:t>
      </w:r>
      <w:r w:rsidRPr="00A82775">
        <w:rPr>
          <w:rFonts w:hint="eastAsia"/>
          <w:sz w:val="24"/>
          <w:lang w:val="en-GB" w:eastAsia="zh-CN"/>
        </w:rPr>
        <w:t>方案调动混合公私融资，以便为整个区域的生物多样性养护和生态系统恢复提供支持。该方案通过竞争性项目遴选和共同融资要求，为森林管理、生境保护和提升生态系统服务提供资金。已调动超过</w:t>
      </w:r>
      <w:r w:rsidRPr="00A82775">
        <w:rPr>
          <w:rFonts w:hint="eastAsia"/>
          <w:sz w:val="24"/>
          <w:lang w:val="en-GB" w:eastAsia="zh-CN"/>
        </w:rPr>
        <w:t>560</w:t>
      </w:r>
      <w:r w:rsidRPr="00A82775">
        <w:rPr>
          <w:rFonts w:hint="eastAsia"/>
          <w:sz w:val="24"/>
          <w:lang w:val="en-GB" w:eastAsia="zh-CN"/>
        </w:rPr>
        <w:t>万欧元，为</w:t>
      </w:r>
      <w:r w:rsidRPr="00A82775">
        <w:rPr>
          <w:rFonts w:hint="eastAsia"/>
          <w:sz w:val="24"/>
          <w:lang w:val="en-GB" w:eastAsia="zh-CN"/>
        </w:rPr>
        <w:t>3,000</w:t>
      </w:r>
      <w:r w:rsidRPr="00A82775">
        <w:rPr>
          <w:rFonts w:hint="eastAsia"/>
          <w:sz w:val="24"/>
          <w:lang w:val="en-GB" w:eastAsia="zh-CN"/>
        </w:rPr>
        <w:t>多公顷经核证森林的管理和恢复项目提供支持。更多信息见</w:t>
      </w:r>
      <w:hyperlink r:id="rId33" w:history="1">
        <w:r w:rsidRPr="00A82775">
          <w:rPr>
            <w:rStyle w:val="Hyperlink"/>
            <w:sz w:val="24"/>
            <w:lang w:val="en-GB" w:eastAsia="zh-CN"/>
          </w:rPr>
          <w:t>此处</w:t>
        </w:r>
      </w:hyperlink>
      <w:r w:rsidRPr="00A82775">
        <w:rPr>
          <w:rFonts w:hint="eastAsia"/>
          <w:sz w:val="24"/>
          <w:lang w:val="en-GB" w:eastAsia="zh-CN"/>
        </w:rPr>
        <w:t>。</w:t>
      </w:r>
    </w:p>
    <w:p w14:paraId="71F24B4C"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生物多样性信用额：巴拉那州养护融资的激励机制</w:t>
      </w:r>
    </w:p>
    <w:p w14:paraId="773F965F" w14:textId="1CB8E9B5" w:rsidR="00810DB7" w:rsidRPr="00A82775" w:rsidRDefault="00810DB7" w:rsidP="00E52FA3">
      <w:pPr>
        <w:pStyle w:val="CBDNormalNoNumber"/>
        <w:rPr>
          <w:sz w:val="24"/>
          <w:lang w:val="en-GB" w:eastAsia="zh-CN"/>
        </w:rPr>
      </w:pPr>
      <w:r w:rsidRPr="00A82775">
        <w:rPr>
          <w:rFonts w:hint="eastAsia"/>
          <w:sz w:val="24"/>
          <w:lang w:val="en-GB" w:eastAsia="zh-CN"/>
        </w:rPr>
        <w:t>巴拉那州的生物多样性信用额制度是该类制度中的首</w:t>
      </w:r>
      <w:r w:rsidR="00CB140F" w:rsidRPr="00A82775">
        <w:rPr>
          <w:rFonts w:hint="eastAsia"/>
          <w:sz w:val="24"/>
          <w:lang w:val="en-GB" w:eastAsia="zh-CN"/>
        </w:rPr>
        <w:t>项</w:t>
      </w:r>
      <w:r w:rsidRPr="00A82775">
        <w:rPr>
          <w:rFonts w:hint="eastAsia"/>
          <w:sz w:val="24"/>
          <w:lang w:val="en-GB" w:eastAsia="zh-CN"/>
        </w:rPr>
        <w:t>次国家公共政策，建立了一个对私人土地所有者的养护和恢复行动予以奖励的财务机制。该制度正在对</w:t>
      </w:r>
      <w:r w:rsidRPr="00A82775">
        <w:rPr>
          <w:rFonts w:hint="eastAsia"/>
          <w:sz w:val="24"/>
          <w:lang w:val="en-GB" w:eastAsia="zh-CN"/>
        </w:rPr>
        <w:t>20</w:t>
      </w:r>
      <w:r w:rsidRPr="00A82775">
        <w:rPr>
          <w:rFonts w:hint="eastAsia"/>
          <w:sz w:val="24"/>
          <w:lang w:val="en-GB" w:eastAsia="zh-CN"/>
        </w:rPr>
        <w:t>个私人自然保护区加以核证，以发行可交易的生物多样性信用额，</w:t>
      </w:r>
      <w:r w:rsidR="00CB140F" w:rsidRPr="00A82775">
        <w:rPr>
          <w:sz w:val="24"/>
          <w:lang w:eastAsia="zh-CN"/>
        </w:rPr>
        <w:t>巴西远南地区开发银行</w:t>
      </w:r>
      <w:r w:rsidRPr="00A82775">
        <w:rPr>
          <w:rFonts w:hint="eastAsia"/>
          <w:sz w:val="24"/>
          <w:lang w:val="en-GB" w:eastAsia="zh-CN"/>
        </w:rPr>
        <w:t>将投资</w:t>
      </w:r>
      <w:r w:rsidRPr="00A82775">
        <w:rPr>
          <w:rFonts w:hint="eastAsia"/>
          <w:sz w:val="24"/>
          <w:lang w:val="en-GB" w:eastAsia="zh-CN"/>
        </w:rPr>
        <w:t>200</w:t>
      </w:r>
      <w:r w:rsidRPr="00A82775">
        <w:rPr>
          <w:rFonts w:hint="eastAsia"/>
          <w:sz w:val="24"/>
          <w:lang w:val="en-GB" w:eastAsia="zh-CN"/>
        </w:rPr>
        <w:t>万巴西雷亚尔，向寻求抵消其环境影响的公司购买和销售这些信用额。更多信息见</w:t>
      </w:r>
      <w:hyperlink r:id="rId34" w:history="1">
        <w:r w:rsidRPr="00A82775">
          <w:rPr>
            <w:rStyle w:val="Hyperlink"/>
            <w:sz w:val="24"/>
            <w:lang w:val="en-GB" w:eastAsia="zh-CN"/>
          </w:rPr>
          <w:t>此处</w:t>
        </w:r>
      </w:hyperlink>
      <w:r w:rsidRPr="00A82775">
        <w:rPr>
          <w:rFonts w:hint="eastAsia"/>
          <w:sz w:val="24"/>
          <w:lang w:val="en-GB" w:eastAsia="zh-CN"/>
        </w:rPr>
        <w:t>。</w:t>
      </w:r>
    </w:p>
    <w:p w14:paraId="5D78ACC7"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地方当局吸引私营部门资金投入生态系统恢复</w:t>
      </w:r>
    </w:p>
    <w:p w14:paraId="79892847" w14:textId="7CEA86B0" w:rsidR="00810DB7" w:rsidRPr="00A82775" w:rsidRDefault="00810DB7" w:rsidP="00E52FA3">
      <w:pPr>
        <w:pStyle w:val="CBDNormalNoNumber"/>
        <w:rPr>
          <w:sz w:val="24"/>
          <w:lang w:val="en-GB" w:eastAsia="zh-CN"/>
        </w:rPr>
      </w:pPr>
      <w:r w:rsidRPr="00A82775">
        <w:rPr>
          <w:rFonts w:hint="eastAsia"/>
          <w:sz w:val="24"/>
          <w:lang w:val="en-GB" w:eastAsia="zh-CN"/>
        </w:rPr>
        <w:t>奥弗斯特兰德地方政府位于南非大西洋沿岸，采用从集水区到沿海的综合办法，应对生物多样性丧失、气候脆弱性、水安全和沿海生态系统退化问题。该市获得了环境署在“恢复一代”城市项目下的一笔小额赠款，用于恢复翁鲁斯河集水</w:t>
      </w:r>
      <w:r w:rsidR="00CB140F" w:rsidRPr="00A82775">
        <w:rPr>
          <w:rFonts w:hint="eastAsia"/>
          <w:sz w:val="24"/>
          <w:lang w:val="en-GB" w:eastAsia="zh-CN"/>
        </w:rPr>
        <w:t>廊道</w:t>
      </w:r>
      <w:r w:rsidRPr="00A82775">
        <w:rPr>
          <w:rFonts w:hint="eastAsia"/>
          <w:sz w:val="24"/>
          <w:lang w:val="en-GB" w:eastAsia="zh-CN"/>
        </w:rPr>
        <w:t>的泥炭地，从而保护水资源、防止土地退化，并确保抵御气候变化的长期复原力。翁鲁斯河河岸和泥炭地的恢复取决于能否成功重新引入一种特有植物物种——木蔺（</w:t>
      </w:r>
      <w:r w:rsidRPr="00A82775">
        <w:rPr>
          <w:rFonts w:hint="eastAsia"/>
          <w:sz w:val="24"/>
          <w:lang w:val="en-GB" w:eastAsia="zh-CN"/>
        </w:rPr>
        <w:t>Prionium serratum</w:t>
      </w:r>
      <w:r w:rsidRPr="00A82775">
        <w:rPr>
          <w:rFonts w:hint="eastAsia"/>
          <w:sz w:val="24"/>
          <w:lang w:val="en-GB" w:eastAsia="zh-CN"/>
        </w:rPr>
        <w:t>）。该政府已吸引地方企业和白色沙漠基金会的投资，以建立能够大规模培育这些本土植物的苗圃。</w:t>
      </w:r>
    </w:p>
    <w:p w14:paraId="1DDB31C4" w14:textId="77777777" w:rsidR="00810DB7" w:rsidRPr="00AC4BAD" w:rsidRDefault="00810DB7" w:rsidP="004772E2">
      <w:pPr>
        <w:pStyle w:val="CBDH2"/>
        <w:pageBreakBefore/>
        <w:spacing w:after="120"/>
        <w:ind w:left="562" w:hanging="562"/>
        <w:rPr>
          <w:lang w:val="en-GB" w:eastAsia="zh-CN"/>
        </w:rPr>
      </w:pPr>
      <w:r w:rsidRPr="00AC4BAD">
        <w:rPr>
          <w:rFonts w:hint="eastAsia"/>
          <w:lang w:val="en-GB" w:eastAsia="zh-CN"/>
        </w:rPr>
        <w:lastRenderedPageBreak/>
        <w:t>3.6.</w:t>
      </w:r>
      <w:r w:rsidRPr="00AC4BAD">
        <w:rPr>
          <w:rFonts w:hint="eastAsia"/>
          <w:lang w:val="en-GB" w:eastAsia="zh-CN"/>
        </w:rPr>
        <w:tab/>
      </w:r>
      <w:r w:rsidRPr="00AC4BAD">
        <w:rPr>
          <w:rFonts w:hint="eastAsia"/>
          <w:lang w:val="en-GB" w:eastAsia="zh-CN"/>
        </w:rPr>
        <w:t>行动领域</w:t>
      </w:r>
      <w:r w:rsidRPr="00AC4BAD">
        <w:rPr>
          <w:rFonts w:hint="eastAsia"/>
          <w:lang w:val="en-GB" w:eastAsia="zh-CN"/>
        </w:rPr>
        <w:t>4</w:t>
      </w:r>
      <w:r w:rsidRPr="00AC4BAD">
        <w:rPr>
          <w:rFonts w:hint="eastAsia"/>
          <w:lang w:val="en-GB" w:eastAsia="zh-CN"/>
        </w:rPr>
        <w:t>：能力发展</w:t>
      </w:r>
    </w:p>
    <w:p w14:paraId="7D10FD59" w14:textId="77777777" w:rsidR="00810DB7" w:rsidRPr="00A82775" w:rsidRDefault="00810DB7" w:rsidP="004772E2">
      <w:pPr>
        <w:keepLines/>
        <w:spacing w:after="120"/>
        <w:ind w:left="562"/>
        <w:rPr>
          <w:b/>
          <w:bCs/>
          <w:sz w:val="24"/>
          <w:lang w:val="en-GB" w:eastAsia="zh-CN"/>
        </w:rPr>
      </w:pPr>
      <w:r w:rsidRPr="00A82775">
        <w:rPr>
          <w:rFonts w:hint="eastAsia"/>
          <w:b/>
          <w:bCs/>
          <w:sz w:val="24"/>
          <w:lang w:val="en-GB" w:eastAsia="zh-CN"/>
        </w:rPr>
        <w:t>建设城市生态系统恢复能力</w:t>
      </w:r>
    </w:p>
    <w:p w14:paraId="0FD434AC" w14:textId="121D16A9" w:rsidR="00810DB7" w:rsidRPr="00A82775" w:rsidRDefault="00810DB7" w:rsidP="00E52FA3">
      <w:pPr>
        <w:pStyle w:val="CBDNormalNoNumber"/>
        <w:rPr>
          <w:sz w:val="24"/>
          <w:lang w:val="en-GB" w:eastAsia="zh-CN"/>
        </w:rPr>
      </w:pPr>
      <w:r w:rsidRPr="00A82775">
        <w:rPr>
          <w:rFonts w:hint="eastAsia"/>
          <w:sz w:val="24"/>
          <w:lang w:val="en-GB" w:eastAsia="zh-CN"/>
        </w:rPr>
        <w:t>“恢复一代”城市项目在“联合国生态系统恢复十年”倡议下开展，通过提供技术支持、一系列培训网络研讨会以及面对面的城市间</w:t>
      </w:r>
      <w:r w:rsidR="002235E7" w:rsidRPr="00A82775">
        <w:rPr>
          <w:rFonts w:hint="eastAsia"/>
          <w:sz w:val="24"/>
          <w:lang w:val="en-GB" w:eastAsia="zh-CN"/>
        </w:rPr>
        <w:t>生态系统恢复</w:t>
      </w:r>
      <w:r w:rsidRPr="00A82775">
        <w:rPr>
          <w:rFonts w:hint="eastAsia"/>
          <w:sz w:val="24"/>
          <w:lang w:val="en-GB" w:eastAsia="zh-CN"/>
        </w:rPr>
        <w:t>同</w:t>
      </w:r>
      <w:r w:rsidR="002235E7" w:rsidRPr="00A82775">
        <w:rPr>
          <w:rFonts w:hint="eastAsia"/>
          <w:sz w:val="24"/>
          <w:lang w:val="en-GB" w:eastAsia="zh-CN"/>
        </w:rPr>
        <w:t>行</w:t>
      </w:r>
      <w:r w:rsidRPr="00A82775">
        <w:rPr>
          <w:rFonts w:hint="eastAsia"/>
          <w:sz w:val="24"/>
          <w:lang w:val="en-GB" w:eastAsia="zh-CN"/>
        </w:rPr>
        <w:t>交流，推动全球</w:t>
      </w:r>
      <w:r w:rsidRPr="00A82775">
        <w:rPr>
          <w:rFonts w:hint="eastAsia"/>
          <w:sz w:val="24"/>
          <w:lang w:val="en-GB" w:eastAsia="zh-CN"/>
        </w:rPr>
        <w:t>24</w:t>
      </w:r>
      <w:r w:rsidRPr="00A82775">
        <w:rPr>
          <w:rFonts w:hint="eastAsia"/>
          <w:sz w:val="24"/>
          <w:lang w:val="en-GB" w:eastAsia="zh-CN"/>
        </w:rPr>
        <w:t>个城市的生态系统恢复能力建设，同时应对城市挑战。该项目编写了两份城市自然融资状况报告，还确定了融资和就业市场中的恢复机会，以及弥合投资缺口以履行全球生物多样性和气候承诺的路径。该项目由德国国际合作机构资助，由环境署牵头，地方政府可持续发展网络城市生物多样性中心提供技术支持。更多信息见</w:t>
      </w:r>
      <w:hyperlink r:id="rId35" w:history="1">
        <w:r w:rsidRPr="00A82775">
          <w:rPr>
            <w:rStyle w:val="Hyperlink"/>
            <w:sz w:val="24"/>
            <w:lang w:val="en-GB" w:eastAsia="zh-CN"/>
          </w:rPr>
          <w:t>此处</w:t>
        </w:r>
      </w:hyperlink>
      <w:r w:rsidRPr="00A82775">
        <w:rPr>
          <w:rFonts w:hint="eastAsia"/>
          <w:sz w:val="24"/>
          <w:lang w:val="en-GB" w:eastAsia="zh-CN"/>
        </w:rPr>
        <w:t>。</w:t>
      </w:r>
    </w:p>
    <w:p w14:paraId="5AF56F58"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为加拿大魁北克省土著领导和倡议提供支持</w:t>
      </w:r>
    </w:p>
    <w:p w14:paraId="14BD5A0A" w14:textId="384478B4" w:rsidR="00810DB7" w:rsidRPr="00A82775" w:rsidRDefault="00810DB7" w:rsidP="00E52FA3">
      <w:pPr>
        <w:pStyle w:val="CBDNormalNoNumber"/>
        <w:rPr>
          <w:sz w:val="24"/>
          <w:lang w:val="en-GB" w:eastAsia="zh-CN"/>
        </w:rPr>
      </w:pPr>
      <w:r w:rsidRPr="00A82775">
        <w:rPr>
          <w:rFonts w:hint="eastAsia"/>
          <w:sz w:val="24"/>
          <w:lang w:val="en-GB" w:eastAsia="zh-CN"/>
        </w:rPr>
        <w:t>魁北克省通过其</w:t>
      </w:r>
      <w:r w:rsidR="002235E7" w:rsidRPr="00A82775">
        <w:rPr>
          <w:rFonts w:hint="eastAsia"/>
          <w:sz w:val="24"/>
          <w:lang w:val="en-GB" w:eastAsia="zh-CN"/>
        </w:rPr>
        <w:t>《</w:t>
      </w:r>
      <w:r w:rsidRPr="00A82775">
        <w:rPr>
          <w:rFonts w:hint="eastAsia"/>
          <w:sz w:val="24"/>
          <w:lang w:val="en-GB" w:eastAsia="zh-CN"/>
        </w:rPr>
        <w:t>自然计划</w:t>
      </w:r>
      <w:r w:rsidR="002235E7" w:rsidRPr="00A82775">
        <w:rPr>
          <w:rFonts w:hint="eastAsia"/>
          <w:sz w:val="24"/>
          <w:lang w:val="en-GB" w:eastAsia="zh-CN"/>
        </w:rPr>
        <w:t>》</w:t>
      </w:r>
      <w:r w:rsidRPr="00A82775">
        <w:rPr>
          <w:rFonts w:hint="eastAsia"/>
          <w:sz w:val="24"/>
          <w:lang w:val="en-GB" w:eastAsia="zh-CN"/>
        </w:rPr>
        <w:t>下的专项资金渠道，为土著主导的生物多样性项目提供资金。其具体运作方式包括赠款</w:t>
      </w:r>
      <w:r w:rsidR="002235E7" w:rsidRPr="00A82775">
        <w:rPr>
          <w:rFonts w:hint="eastAsia"/>
          <w:sz w:val="24"/>
          <w:lang w:val="en-GB" w:eastAsia="zh-CN"/>
        </w:rPr>
        <w:t>方案</w:t>
      </w:r>
      <w:r w:rsidRPr="00A82775">
        <w:rPr>
          <w:rFonts w:hint="eastAsia"/>
          <w:sz w:val="24"/>
          <w:lang w:val="en-GB" w:eastAsia="zh-CN"/>
        </w:rPr>
        <w:t>、土著主导的养护基金，以及与第一民族和因纽特人合作伙伴共同制定的执行架构。该倡议已拨款超过</w:t>
      </w:r>
      <w:r w:rsidRPr="00A82775">
        <w:rPr>
          <w:rFonts w:hint="eastAsia"/>
          <w:sz w:val="24"/>
          <w:lang w:val="en-GB" w:eastAsia="zh-CN"/>
        </w:rPr>
        <w:t>2,000</w:t>
      </w:r>
      <w:r w:rsidRPr="00A82775">
        <w:rPr>
          <w:rFonts w:hint="eastAsia"/>
          <w:sz w:val="24"/>
          <w:lang w:val="en-GB" w:eastAsia="zh-CN"/>
        </w:rPr>
        <w:t>万加元，推动了全境多个由土著主导的养护项目。更多信息见</w:t>
      </w:r>
      <w:hyperlink r:id="rId36" w:history="1">
        <w:r w:rsidRPr="00A82775">
          <w:rPr>
            <w:rStyle w:val="Hyperlink"/>
            <w:sz w:val="24"/>
            <w:lang w:val="en-GB" w:eastAsia="zh-CN"/>
          </w:rPr>
          <w:t>此处</w:t>
        </w:r>
      </w:hyperlink>
      <w:r w:rsidRPr="00A82775">
        <w:rPr>
          <w:rFonts w:hint="eastAsia"/>
          <w:sz w:val="24"/>
          <w:lang w:val="en-GB" w:eastAsia="zh-CN"/>
        </w:rPr>
        <w:t>。</w:t>
      </w:r>
    </w:p>
    <w:p w14:paraId="3F33E7A8"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厄瓜多尔各省自然遗产管理指南</w:t>
      </w:r>
    </w:p>
    <w:p w14:paraId="454AF072" w14:textId="0819F8C0" w:rsidR="00810DB7" w:rsidRPr="00A82775" w:rsidRDefault="00810DB7" w:rsidP="00E52FA3">
      <w:pPr>
        <w:pStyle w:val="CBDNormalNoNumber"/>
        <w:rPr>
          <w:sz w:val="24"/>
          <w:lang w:val="en-GB" w:eastAsia="zh-CN"/>
        </w:rPr>
      </w:pPr>
      <w:r w:rsidRPr="00A82775">
        <w:rPr>
          <w:rFonts w:hint="eastAsia"/>
          <w:sz w:val="24"/>
          <w:lang w:val="en-GB" w:eastAsia="zh-CN"/>
        </w:rPr>
        <w:t>厄瓜多尔省政府</w:t>
      </w:r>
      <w:r w:rsidR="002235E7" w:rsidRPr="00A82775">
        <w:rPr>
          <w:rFonts w:hint="eastAsia"/>
          <w:sz w:val="24"/>
          <w:lang w:val="en-GB" w:eastAsia="zh-CN"/>
        </w:rPr>
        <w:t>联合会</w:t>
      </w:r>
      <w:r w:rsidRPr="00A82775">
        <w:rPr>
          <w:rFonts w:hint="eastAsia"/>
          <w:sz w:val="24"/>
          <w:lang w:val="en-GB" w:eastAsia="zh-CN"/>
        </w:rPr>
        <w:t>发现，厄瓜多尔各省拥有管理自然遗产的法律权力，但缺乏</w:t>
      </w:r>
      <w:r w:rsidR="002235E7" w:rsidRPr="00A82775">
        <w:rPr>
          <w:rFonts w:hint="eastAsia"/>
          <w:sz w:val="24"/>
          <w:lang w:val="en-GB" w:eastAsia="zh-CN"/>
        </w:rPr>
        <w:t>就此采取行动的</w:t>
      </w:r>
      <w:r w:rsidRPr="00A82775">
        <w:rPr>
          <w:rFonts w:hint="eastAsia"/>
          <w:sz w:val="24"/>
          <w:lang w:val="en-GB" w:eastAsia="zh-CN"/>
        </w:rPr>
        <w:t>工具，为此，该</w:t>
      </w:r>
      <w:r w:rsidR="002235E7" w:rsidRPr="00A82775">
        <w:rPr>
          <w:rFonts w:hint="eastAsia"/>
          <w:sz w:val="24"/>
          <w:lang w:val="en-GB" w:eastAsia="zh-CN"/>
        </w:rPr>
        <w:t>联合会</w:t>
      </w:r>
      <w:r w:rsidRPr="00A82775">
        <w:rPr>
          <w:rFonts w:hint="eastAsia"/>
          <w:sz w:val="24"/>
          <w:lang w:val="en-GB" w:eastAsia="zh-CN"/>
        </w:rPr>
        <w:t>制定了一份实用的战略管理手册，该手册经与省级官员共同验证，已促使至少两个省份宣布设立新的养护区，并促成了世界自然基金会出资</w:t>
      </w:r>
      <w:r w:rsidRPr="00A82775">
        <w:rPr>
          <w:rFonts w:hint="eastAsia"/>
          <w:sz w:val="24"/>
          <w:lang w:val="en-GB" w:eastAsia="zh-CN"/>
        </w:rPr>
        <w:t>10</w:t>
      </w:r>
      <w:r w:rsidRPr="00A82775">
        <w:rPr>
          <w:rFonts w:hint="eastAsia"/>
          <w:sz w:val="24"/>
          <w:lang w:val="en-GB" w:eastAsia="zh-CN"/>
        </w:rPr>
        <w:t>万美元，建立伙伴关系，用于</w:t>
      </w:r>
      <w:r w:rsidR="002235E7" w:rsidRPr="00A82775">
        <w:rPr>
          <w:rFonts w:hint="eastAsia"/>
          <w:sz w:val="24"/>
          <w:lang w:val="en-GB" w:eastAsia="zh-CN"/>
        </w:rPr>
        <w:t>编制</w:t>
      </w:r>
      <w:r w:rsidRPr="00A82775">
        <w:rPr>
          <w:rFonts w:hint="eastAsia"/>
          <w:sz w:val="24"/>
          <w:lang w:val="en-GB" w:eastAsia="zh-CN"/>
        </w:rPr>
        <w:t>另外四项地方管理文书。更多信息见</w:t>
      </w:r>
      <w:hyperlink r:id="rId37">
        <w:r w:rsidR="004D61EB" w:rsidRPr="00A82775">
          <w:rPr>
            <w:rFonts w:hint="eastAsia"/>
            <w:color w:val="0000FF"/>
            <w:sz w:val="24"/>
            <w:u w:val="single"/>
            <w:lang w:val="en-GB" w:eastAsia="zh-CN"/>
          </w:rPr>
          <w:t>此处</w:t>
        </w:r>
      </w:hyperlink>
      <w:r w:rsidRPr="00A82775">
        <w:rPr>
          <w:rFonts w:hint="eastAsia"/>
          <w:sz w:val="24"/>
          <w:lang w:val="en-GB" w:eastAsia="zh-CN"/>
        </w:rPr>
        <w:t>。</w:t>
      </w:r>
    </w:p>
    <w:p w14:paraId="66F72C24" w14:textId="77777777" w:rsidR="00810DB7" w:rsidRPr="00AC4BAD" w:rsidRDefault="00810DB7" w:rsidP="00E52FA3">
      <w:pPr>
        <w:pStyle w:val="CBDH2"/>
        <w:spacing w:after="120"/>
        <w:rPr>
          <w:lang w:val="en-GB" w:eastAsia="zh-CN"/>
        </w:rPr>
      </w:pPr>
      <w:r w:rsidRPr="00AC4BAD">
        <w:rPr>
          <w:rFonts w:hint="eastAsia"/>
          <w:lang w:val="en-GB" w:eastAsia="zh-CN"/>
        </w:rPr>
        <w:t>3.7.</w:t>
      </w:r>
      <w:r w:rsidRPr="00AC4BAD">
        <w:rPr>
          <w:rFonts w:hint="eastAsia"/>
          <w:lang w:val="en-GB" w:eastAsia="zh-CN"/>
        </w:rPr>
        <w:tab/>
      </w:r>
      <w:r w:rsidRPr="00AC4BAD">
        <w:rPr>
          <w:rFonts w:hint="eastAsia"/>
          <w:lang w:val="en-GB" w:eastAsia="zh-CN"/>
        </w:rPr>
        <w:t>行动领域</w:t>
      </w:r>
      <w:r w:rsidRPr="00AC4BAD">
        <w:rPr>
          <w:rFonts w:hint="eastAsia"/>
          <w:lang w:val="en-GB" w:eastAsia="zh-CN"/>
        </w:rPr>
        <w:t>5</w:t>
      </w:r>
      <w:r w:rsidRPr="00AC4BAD">
        <w:rPr>
          <w:rFonts w:hint="eastAsia"/>
          <w:lang w:val="en-GB" w:eastAsia="zh-CN"/>
        </w:rPr>
        <w:t>：传播、教育和公众意识</w:t>
      </w:r>
    </w:p>
    <w:p w14:paraId="33653C0B" w14:textId="77777777" w:rsidR="00810DB7" w:rsidRPr="00A82775" w:rsidRDefault="00810DB7" w:rsidP="00E52FA3">
      <w:pPr>
        <w:spacing w:after="120"/>
        <w:ind w:left="567"/>
        <w:rPr>
          <w:b/>
          <w:bCs/>
          <w:sz w:val="24"/>
          <w:lang w:val="en-GB" w:eastAsia="zh-CN"/>
        </w:rPr>
      </w:pPr>
      <w:r w:rsidRPr="00A82775">
        <w:rPr>
          <w:rFonts w:hint="eastAsia"/>
          <w:b/>
          <w:bCs/>
          <w:sz w:val="24"/>
          <w:lang w:val="en-GB" w:eastAsia="zh-CN"/>
        </w:rPr>
        <w:t>哥伦比亚卡利全球生物多样性周</w:t>
      </w:r>
    </w:p>
    <w:p w14:paraId="4DBD391A" w14:textId="3119C0EF" w:rsidR="00810DB7" w:rsidRPr="00A82775" w:rsidRDefault="00810DB7" w:rsidP="00E52FA3">
      <w:pPr>
        <w:pStyle w:val="CBDNormalNoNumber"/>
        <w:rPr>
          <w:sz w:val="24"/>
          <w:lang w:val="en-GB" w:eastAsia="zh-CN"/>
        </w:rPr>
      </w:pPr>
      <w:r w:rsidRPr="00A82775">
        <w:rPr>
          <w:rFonts w:hint="eastAsia"/>
          <w:sz w:val="24"/>
          <w:lang w:val="en-GB" w:eastAsia="zh-CN"/>
        </w:rPr>
        <w:t>2025</w:t>
      </w:r>
      <w:r w:rsidRPr="00A82775">
        <w:rPr>
          <w:rFonts w:hint="eastAsia"/>
          <w:sz w:val="24"/>
          <w:lang w:val="en-GB" w:eastAsia="zh-CN"/>
        </w:rPr>
        <w:t>年</w:t>
      </w:r>
      <w:r w:rsidRPr="00A82775">
        <w:rPr>
          <w:rFonts w:hint="eastAsia"/>
          <w:sz w:val="24"/>
          <w:lang w:val="en-GB" w:eastAsia="zh-CN"/>
        </w:rPr>
        <w:t>9</w:t>
      </w:r>
      <w:r w:rsidRPr="00A82775">
        <w:rPr>
          <w:rFonts w:hint="eastAsia"/>
          <w:sz w:val="24"/>
          <w:lang w:val="en-GB" w:eastAsia="zh-CN"/>
        </w:rPr>
        <w:t>月</w:t>
      </w:r>
      <w:r w:rsidRPr="00A82775">
        <w:rPr>
          <w:rFonts w:hint="eastAsia"/>
          <w:sz w:val="24"/>
          <w:lang w:val="en-GB" w:eastAsia="zh-CN"/>
        </w:rPr>
        <w:t>29</w:t>
      </w:r>
      <w:r w:rsidRPr="00A82775">
        <w:rPr>
          <w:rFonts w:hint="eastAsia"/>
          <w:sz w:val="24"/>
          <w:lang w:val="en-GB" w:eastAsia="zh-CN"/>
        </w:rPr>
        <w:t>日至</w:t>
      </w:r>
      <w:r w:rsidRPr="00A82775">
        <w:rPr>
          <w:rFonts w:hint="eastAsia"/>
          <w:sz w:val="24"/>
          <w:lang w:val="en-GB" w:eastAsia="zh-CN"/>
        </w:rPr>
        <w:t>30</w:t>
      </w:r>
      <w:r w:rsidRPr="00A82775">
        <w:rPr>
          <w:rFonts w:hint="eastAsia"/>
          <w:sz w:val="24"/>
          <w:lang w:val="en-GB" w:eastAsia="zh-CN"/>
        </w:rPr>
        <w:t>日，卡利市在其全球生物多样性周框架内主办了城市和</w:t>
      </w:r>
      <w:r w:rsidR="004013FE" w:rsidRPr="00A82775">
        <w:rPr>
          <w:rFonts w:hint="eastAsia"/>
          <w:sz w:val="24"/>
          <w:lang w:val="en-GB" w:eastAsia="zh-CN"/>
        </w:rPr>
        <w:t>区域</w:t>
      </w:r>
      <w:r w:rsidRPr="00A82775">
        <w:rPr>
          <w:rFonts w:hint="eastAsia"/>
          <w:sz w:val="24"/>
          <w:lang w:val="en-GB" w:eastAsia="zh-CN"/>
        </w:rPr>
        <w:t>促进生物多样性会议。该会议是一次重要契机，有助于支持决策者和环境、规划及风险管理机构执行有效战略，推动建设更具复原力、更加绿色、更具包容性的城市。该会议激励并鼓励与会人员（地方领导人和当局，包括市长、规划部门负责人、环境部门负责人及其他决策者）以长远眼光和高度影响力，将可持续性、气候行动和生物多样性办法纳入地方发展规划、公共政策和地方议程。</w:t>
      </w:r>
    </w:p>
    <w:p w14:paraId="6F4482BE"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生命之旅——城市和地区为迁徙物种建立联系</w:t>
      </w:r>
    </w:p>
    <w:p w14:paraId="3258AD3C" w14:textId="43615ACE" w:rsidR="00810DB7" w:rsidRPr="00A82775" w:rsidRDefault="00810DB7" w:rsidP="00E52FA3">
      <w:pPr>
        <w:pStyle w:val="CBDNormalNoNumber"/>
        <w:rPr>
          <w:sz w:val="24"/>
          <w:lang w:val="en-GB" w:eastAsia="zh-CN"/>
        </w:rPr>
      </w:pPr>
      <w:r w:rsidRPr="00A82775">
        <w:rPr>
          <w:rFonts w:hint="eastAsia"/>
          <w:sz w:val="24"/>
          <w:lang w:val="en-GB" w:eastAsia="zh-CN"/>
        </w:rPr>
        <w:t>该倡议由地方政府可持续发展网络牵头，旨在提高城市和</w:t>
      </w:r>
      <w:r w:rsidR="004013FE" w:rsidRPr="00A82775">
        <w:rPr>
          <w:rFonts w:hint="eastAsia"/>
          <w:sz w:val="24"/>
          <w:lang w:val="en-GB" w:eastAsia="zh-CN"/>
        </w:rPr>
        <w:t>区域</w:t>
      </w:r>
      <w:r w:rsidRPr="00A82775">
        <w:rPr>
          <w:rFonts w:hint="eastAsia"/>
          <w:sz w:val="24"/>
          <w:lang w:val="en-GB" w:eastAsia="zh-CN"/>
        </w:rPr>
        <w:t>对《保护野生动物迁徙物种</w:t>
      </w:r>
      <w:r w:rsidR="0076795C" w:rsidRPr="00A82775">
        <w:rPr>
          <w:rFonts w:hint="eastAsia"/>
          <w:sz w:val="24"/>
          <w:lang w:val="en-GB" w:eastAsia="zh-CN"/>
        </w:rPr>
        <w:t>保护</w:t>
      </w:r>
      <w:r w:rsidRPr="00A82775">
        <w:rPr>
          <w:rFonts w:hint="eastAsia"/>
          <w:sz w:val="24"/>
          <w:lang w:val="en-GB" w:eastAsia="zh-CN"/>
        </w:rPr>
        <w:t>公约》各项目标的认识。通过鼓励位于迁徙路线、飞越路线和海洋走廊沿线的城市和地区建立联系，该倡议彰显了地方行动如何促进生态连通性和迁徙物种的跨境保护。它为加入的城市提供了全球可见度以及知识交流、合作、同</w:t>
      </w:r>
      <w:r w:rsidR="004013FE" w:rsidRPr="00A82775">
        <w:rPr>
          <w:rFonts w:hint="eastAsia"/>
          <w:sz w:val="24"/>
          <w:lang w:val="en-GB" w:eastAsia="zh-CN"/>
        </w:rPr>
        <w:t>行</w:t>
      </w:r>
      <w:r w:rsidRPr="00A82775">
        <w:rPr>
          <w:rFonts w:hint="eastAsia"/>
          <w:sz w:val="24"/>
          <w:lang w:val="en-GB" w:eastAsia="zh-CN"/>
        </w:rPr>
        <w:t>学习和获取技术指导意见的机会。已加入该倡议的城市包括西雅图、巴兰基亚、弗洛里亚诺波利斯市政府、南里奥格兰德州、南圣洛伦索、阿雷格里港市政府、巴拉那、坎普格兰德、伊斯坦布尔、涟川、瓦尔扎内、阿布扎比和科科迪。更多信息见</w:t>
      </w:r>
      <w:hyperlink r:id="rId38" w:history="1">
        <w:r w:rsidRPr="00A82775">
          <w:rPr>
            <w:rStyle w:val="Hyperlink"/>
            <w:sz w:val="24"/>
            <w:lang w:val="en-GB" w:eastAsia="zh-CN"/>
          </w:rPr>
          <w:t>此处</w:t>
        </w:r>
      </w:hyperlink>
      <w:r w:rsidRPr="00A82775">
        <w:rPr>
          <w:rFonts w:hint="eastAsia"/>
          <w:sz w:val="24"/>
          <w:lang w:val="en-GB" w:eastAsia="zh-CN"/>
        </w:rPr>
        <w:t>。</w:t>
      </w:r>
    </w:p>
    <w:p w14:paraId="0EFA942B" w14:textId="77777777" w:rsidR="00810DB7" w:rsidRPr="00A82775" w:rsidRDefault="00810DB7" w:rsidP="004772E2">
      <w:pPr>
        <w:pStyle w:val="CBDNormalNoNumber"/>
        <w:keepNext/>
        <w:ind w:left="562"/>
        <w:rPr>
          <w:b/>
          <w:bCs/>
          <w:sz w:val="24"/>
          <w:lang w:val="en-GB" w:eastAsia="zh-CN"/>
        </w:rPr>
      </w:pPr>
      <w:r w:rsidRPr="00A82775">
        <w:rPr>
          <w:rFonts w:hint="eastAsia"/>
          <w:b/>
          <w:bCs/>
          <w:sz w:val="24"/>
          <w:lang w:val="en-GB" w:eastAsia="zh-CN"/>
        </w:rPr>
        <w:lastRenderedPageBreak/>
        <w:t>广州国际城市创新奖</w:t>
      </w:r>
    </w:p>
    <w:p w14:paraId="3E12E008" w14:textId="04E6CEEE" w:rsidR="00810DB7" w:rsidRPr="00A82775" w:rsidRDefault="00810DB7" w:rsidP="00E52FA3">
      <w:pPr>
        <w:pStyle w:val="CBDNormalNoNumber"/>
        <w:rPr>
          <w:sz w:val="24"/>
          <w:lang w:val="en-GB" w:eastAsia="zh-CN"/>
        </w:rPr>
      </w:pPr>
      <w:r w:rsidRPr="00A82775">
        <w:rPr>
          <w:rFonts w:hint="eastAsia"/>
          <w:sz w:val="24"/>
          <w:lang w:val="en-GB" w:eastAsia="zh-CN"/>
        </w:rPr>
        <w:t>广州国际城市创新奖（广州奖）由世界城市和地方政府联合组织、世界大都市协会和广州市共同创办，旨在表彰城市和地方政府在推动城市创新和可持续发展方面的</w:t>
      </w:r>
      <w:r w:rsidR="004013FE" w:rsidRPr="00A82775">
        <w:rPr>
          <w:rFonts w:hint="eastAsia"/>
          <w:sz w:val="24"/>
          <w:lang w:val="en-GB" w:eastAsia="zh-CN"/>
        </w:rPr>
        <w:t>杰出</w:t>
      </w:r>
      <w:r w:rsidRPr="00A82775">
        <w:rPr>
          <w:rFonts w:hint="eastAsia"/>
          <w:sz w:val="24"/>
          <w:lang w:val="en-GB" w:eastAsia="zh-CN"/>
        </w:rPr>
        <w:t>做法。该奖项涵盖公共服务与基础设施、参与式规划、伙伴关系、技术、气候</w:t>
      </w:r>
      <w:r w:rsidR="004013FE" w:rsidRPr="00A82775">
        <w:rPr>
          <w:rFonts w:hint="eastAsia"/>
          <w:sz w:val="24"/>
          <w:lang w:val="en-GB" w:eastAsia="zh-CN"/>
        </w:rPr>
        <w:t>韧性</w:t>
      </w:r>
      <w:r w:rsidRPr="00A82775">
        <w:rPr>
          <w:rFonts w:hint="eastAsia"/>
          <w:sz w:val="24"/>
          <w:lang w:val="en-GB" w:eastAsia="zh-CN"/>
        </w:rPr>
        <w:t>、社会包容和性别平等广泛领域，为世界各地的城市和</w:t>
      </w:r>
      <w:r w:rsidR="004013FE" w:rsidRPr="00A82775">
        <w:rPr>
          <w:rFonts w:hint="eastAsia"/>
          <w:sz w:val="24"/>
          <w:lang w:val="en-GB" w:eastAsia="zh-CN"/>
        </w:rPr>
        <w:t>区域</w:t>
      </w:r>
      <w:r w:rsidRPr="00A82775">
        <w:rPr>
          <w:rFonts w:hint="eastAsia"/>
          <w:sz w:val="24"/>
          <w:lang w:val="en-GB" w:eastAsia="zh-CN"/>
        </w:rPr>
        <w:t>提供了独特的灵感来源。</w:t>
      </w:r>
      <w:r w:rsidRPr="00A82775">
        <w:rPr>
          <w:rFonts w:hint="eastAsia"/>
          <w:sz w:val="24"/>
          <w:lang w:val="en-GB" w:eastAsia="zh-CN"/>
        </w:rPr>
        <w:t>2024</w:t>
      </w:r>
      <w:r w:rsidRPr="00A82775">
        <w:rPr>
          <w:rFonts w:hint="eastAsia"/>
          <w:sz w:val="24"/>
          <w:lang w:val="en-GB" w:eastAsia="zh-CN"/>
        </w:rPr>
        <w:t>年公布的第六届获奖城市包括波哥大、哈兰德里和坎帕拉。在希腊哈兰德里，该市通过改道哈德良水渠，使遗产重获新生。这一倡议展现了水渠的历史、文化和技术意义，并凸显了其作为当代地标和水资源的作用。该项目通过在四个社区创建优质绿色空间，并将仍在运行的水渠改用于灌溉，减少了对饮用水的需求，从而推广了绿色城市政策和可持续水管理。</w:t>
      </w:r>
    </w:p>
    <w:p w14:paraId="75296566" w14:textId="77777777" w:rsidR="00810DB7" w:rsidRPr="00A82775" w:rsidRDefault="00810DB7" w:rsidP="007259A5">
      <w:pPr>
        <w:pStyle w:val="CBDNormalNoNumber"/>
        <w:keepNext/>
        <w:keepLines/>
        <w:rPr>
          <w:b/>
          <w:bCs/>
          <w:sz w:val="24"/>
          <w:lang w:val="en-GB" w:eastAsia="zh-CN"/>
        </w:rPr>
      </w:pPr>
      <w:r w:rsidRPr="00A82775">
        <w:rPr>
          <w:rFonts w:hint="eastAsia"/>
          <w:b/>
          <w:bCs/>
          <w:sz w:val="24"/>
          <w:lang w:val="en-GB" w:eastAsia="zh-CN"/>
        </w:rPr>
        <w:t>中国生物多样性魅力城市</w:t>
      </w:r>
    </w:p>
    <w:p w14:paraId="5023F9BB" w14:textId="3DE818EE" w:rsidR="00810DB7" w:rsidRPr="00A82775" w:rsidRDefault="00810DB7" w:rsidP="00E52FA3">
      <w:pPr>
        <w:pStyle w:val="CBDNormalNoNumber"/>
        <w:rPr>
          <w:sz w:val="24"/>
          <w:lang w:val="en-GB" w:eastAsia="zh-CN"/>
        </w:rPr>
      </w:pPr>
      <w:r w:rsidRPr="00A82775">
        <w:rPr>
          <w:rFonts w:hint="eastAsia"/>
          <w:sz w:val="24"/>
          <w:lang w:val="en-GB" w:eastAsia="zh-CN"/>
        </w:rPr>
        <w:t>中国地方政府正在积极采取措施执行</w:t>
      </w:r>
      <w:r w:rsidR="00C0107E" w:rsidRPr="00A82775">
        <w:rPr>
          <w:rFonts w:hint="eastAsia"/>
          <w:sz w:val="24"/>
          <w:lang w:val="en-GB" w:eastAsia="zh-CN"/>
        </w:rPr>
        <w:t>《</w:t>
      </w:r>
      <w:r w:rsidR="00C0107E" w:rsidRPr="00A82775">
        <w:rPr>
          <w:sz w:val="24"/>
          <w:lang w:eastAsia="zh-CN"/>
        </w:rPr>
        <w:t>国家战略和行动计划</w:t>
      </w:r>
      <w:r w:rsidR="00C0107E" w:rsidRPr="00A82775">
        <w:rPr>
          <w:rFonts w:hint="eastAsia"/>
          <w:sz w:val="24"/>
          <w:lang w:val="en-GB" w:eastAsia="zh-CN"/>
        </w:rPr>
        <w:t>》</w:t>
      </w:r>
      <w:r w:rsidRPr="00A82775">
        <w:rPr>
          <w:rFonts w:hint="eastAsia"/>
          <w:sz w:val="24"/>
          <w:lang w:val="en-GB" w:eastAsia="zh-CN"/>
        </w:rPr>
        <w:t>以及《昆明</w:t>
      </w:r>
      <w:r w:rsidRPr="00A82775">
        <w:rPr>
          <w:rFonts w:hint="eastAsia"/>
          <w:sz w:val="24"/>
          <w:lang w:val="en-GB" w:eastAsia="zh-CN"/>
        </w:rPr>
        <w:t>-</w:t>
      </w:r>
      <w:r w:rsidRPr="00A82775">
        <w:rPr>
          <w:rFonts w:hint="eastAsia"/>
          <w:sz w:val="24"/>
          <w:lang w:val="en-GB" w:eastAsia="zh-CN"/>
        </w:rPr>
        <w:t>蒙特利尔全球生物多样性框架》。</w:t>
      </w:r>
      <w:r w:rsidR="00C0107E" w:rsidRPr="00A82775">
        <w:rPr>
          <w:sz w:val="24"/>
          <w:lang w:eastAsia="zh-CN"/>
        </w:rPr>
        <w:t>多个在推进地方生物多样性倡议方面做出卓越努力的中国城市，荣获</w:t>
      </w:r>
      <w:r w:rsidR="00C0107E" w:rsidRPr="00A82775">
        <w:rPr>
          <w:sz w:val="24"/>
          <w:lang w:eastAsia="zh-CN"/>
        </w:rPr>
        <w:t>“</w:t>
      </w:r>
      <w:r w:rsidR="00C0107E" w:rsidRPr="00A82775">
        <w:rPr>
          <w:sz w:val="24"/>
          <w:lang w:eastAsia="zh-CN"/>
        </w:rPr>
        <w:t>生物多样性魅力城市</w:t>
      </w:r>
      <w:r w:rsidR="00C0107E" w:rsidRPr="00A82775">
        <w:rPr>
          <w:sz w:val="24"/>
          <w:lang w:eastAsia="zh-CN"/>
        </w:rPr>
        <w:t>”</w:t>
      </w:r>
      <w:r w:rsidR="00C0107E" w:rsidRPr="00A82775">
        <w:rPr>
          <w:sz w:val="24"/>
          <w:lang w:eastAsia="zh-CN"/>
        </w:rPr>
        <w:t>最佳</w:t>
      </w:r>
      <w:r w:rsidR="00C0107E" w:rsidRPr="00A82775">
        <w:rPr>
          <w:rFonts w:hint="eastAsia"/>
          <w:sz w:val="24"/>
          <w:lang w:eastAsia="zh-CN"/>
        </w:rPr>
        <w:t>做法</w:t>
      </w:r>
      <w:r w:rsidR="00C0107E" w:rsidRPr="00A82775">
        <w:rPr>
          <w:sz w:val="24"/>
          <w:lang w:eastAsia="zh-CN"/>
        </w:rPr>
        <w:t>称号</w:t>
      </w:r>
      <w:r w:rsidRPr="00A82775">
        <w:rPr>
          <w:rFonts w:hint="eastAsia"/>
          <w:sz w:val="24"/>
          <w:lang w:val="en-GB" w:eastAsia="zh-CN"/>
        </w:rPr>
        <w:t>。在《生物多样性公约》缔约方大会第</w:t>
      </w:r>
      <w:r w:rsidR="006E7DB0" w:rsidRPr="00A82775">
        <w:rPr>
          <w:rFonts w:hint="eastAsia"/>
          <w:sz w:val="24"/>
          <w:lang w:val="en-GB" w:eastAsia="zh-CN"/>
        </w:rPr>
        <w:t>十六</w:t>
      </w:r>
      <w:r w:rsidRPr="00A82775">
        <w:rPr>
          <w:rFonts w:hint="eastAsia"/>
          <w:sz w:val="24"/>
          <w:lang w:val="en-GB" w:eastAsia="zh-CN"/>
        </w:rPr>
        <w:t>届会议上，以下九个</w:t>
      </w:r>
      <w:bookmarkStart w:id="6" w:name="OLE_LINK52"/>
      <w:r w:rsidR="00C0107E" w:rsidRPr="00A82775">
        <w:rPr>
          <w:rFonts w:hint="eastAsia"/>
          <w:sz w:val="24"/>
          <w:lang w:val="en-GB" w:eastAsia="zh-CN"/>
        </w:rPr>
        <w:t>市县区</w:t>
      </w:r>
      <w:bookmarkEnd w:id="6"/>
      <w:r w:rsidRPr="00A82775">
        <w:rPr>
          <w:rFonts w:hint="eastAsia"/>
          <w:sz w:val="24"/>
          <w:lang w:val="en-GB" w:eastAsia="zh-CN"/>
        </w:rPr>
        <w:t>入选“生物多样性魅力城市”：安吉县、北京市、宁波市北仑区、丽水市、天津市宁河区、鄂尔多斯市、绍兴市、十堰市和厦门市。以上</w:t>
      </w:r>
      <w:r w:rsidR="00C0107E" w:rsidRPr="00A82775">
        <w:rPr>
          <w:rFonts w:hint="eastAsia"/>
          <w:sz w:val="24"/>
          <w:lang w:val="en-GB" w:eastAsia="zh-CN"/>
        </w:rPr>
        <w:t>市县区</w:t>
      </w:r>
      <w:r w:rsidRPr="00A82775">
        <w:rPr>
          <w:rFonts w:hint="eastAsia"/>
          <w:sz w:val="24"/>
          <w:lang w:val="en-GB" w:eastAsia="zh-CN"/>
        </w:rPr>
        <w:t>均已加入城市自然平台。</w:t>
      </w:r>
    </w:p>
    <w:p w14:paraId="0F30688F"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日本爱知县促进企业自然向好管理</w:t>
      </w:r>
    </w:p>
    <w:p w14:paraId="4F27DF75" w14:textId="0AFB7664" w:rsidR="00810DB7" w:rsidRPr="00A82775" w:rsidRDefault="00810DB7" w:rsidP="00E52FA3">
      <w:pPr>
        <w:pStyle w:val="CBDNormalNoNumber"/>
        <w:rPr>
          <w:sz w:val="24"/>
          <w:lang w:val="en-GB" w:eastAsia="zh-CN"/>
        </w:rPr>
      </w:pPr>
      <w:r w:rsidRPr="00A82775">
        <w:rPr>
          <w:rFonts w:hint="eastAsia"/>
          <w:sz w:val="24"/>
          <w:lang w:val="en-GB" w:eastAsia="zh-CN"/>
        </w:rPr>
        <w:t>爱知县面向企业举办研讨会，介绍了自然向好管理办法和国际生物多样性框架。该研讨会</w:t>
      </w:r>
      <w:r w:rsidR="00C0107E" w:rsidRPr="00A82775">
        <w:rPr>
          <w:rFonts w:hint="eastAsia"/>
          <w:sz w:val="24"/>
          <w:lang w:val="en-GB" w:eastAsia="zh-CN"/>
        </w:rPr>
        <w:t>方案</w:t>
      </w:r>
      <w:r w:rsidRPr="00A82775">
        <w:rPr>
          <w:rFonts w:hint="eastAsia"/>
          <w:sz w:val="24"/>
          <w:lang w:val="en-GB" w:eastAsia="zh-CN"/>
        </w:rPr>
        <w:t>面向地方企业，旨在将生物多样性考</w:t>
      </w:r>
      <w:r w:rsidR="00C0107E" w:rsidRPr="00A82775">
        <w:rPr>
          <w:rFonts w:hint="eastAsia"/>
          <w:sz w:val="24"/>
          <w:lang w:val="en-GB" w:eastAsia="zh-CN"/>
        </w:rPr>
        <w:t>量</w:t>
      </w:r>
      <w:r w:rsidRPr="00A82775">
        <w:rPr>
          <w:rFonts w:hint="eastAsia"/>
          <w:sz w:val="24"/>
          <w:lang w:val="en-GB" w:eastAsia="zh-CN"/>
        </w:rPr>
        <w:t>纳入其企业决策和运营。目前正在评估与会企业在研讨会后的行为变化。</w:t>
      </w:r>
    </w:p>
    <w:p w14:paraId="47B47D78"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喀麦隆西部大区生态恢复与生态旅游倡议</w:t>
      </w:r>
    </w:p>
    <w:p w14:paraId="723E48FF" w14:textId="6BF996CB" w:rsidR="00810DB7" w:rsidRPr="00A82775" w:rsidRDefault="00810DB7" w:rsidP="00E52FA3">
      <w:pPr>
        <w:pStyle w:val="CBDNormalNoNumber"/>
        <w:rPr>
          <w:sz w:val="24"/>
          <w:lang w:val="en-GB" w:eastAsia="zh-CN"/>
        </w:rPr>
      </w:pPr>
      <w:r w:rsidRPr="00A82775">
        <w:rPr>
          <w:rFonts w:hint="eastAsia"/>
          <w:sz w:val="24"/>
          <w:lang w:val="en-GB" w:eastAsia="zh-CN"/>
        </w:rPr>
        <w:t>喀麦隆西部大区议会通过在姆巴皮特火山生物多样性火山景观周围开展环境教育方案、社区磋商和发展生态旅游基础设施，在农民、牧民和传统治疗师中树立生态系统养护的公众意识。更多信息见</w:t>
      </w:r>
      <w:hyperlink r:id="rId39" w:history="1">
        <w:r w:rsidRPr="00A82775">
          <w:rPr>
            <w:rStyle w:val="Hyperlink"/>
            <w:sz w:val="24"/>
            <w:lang w:val="en-GB" w:eastAsia="zh-CN"/>
          </w:rPr>
          <w:t>此处</w:t>
        </w:r>
      </w:hyperlink>
      <w:r w:rsidRPr="00A82775">
        <w:rPr>
          <w:rFonts w:hint="eastAsia"/>
          <w:sz w:val="24"/>
          <w:lang w:val="en-GB" w:eastAsia="zh-CN"/>
        </w:rPr>
        <w:t>。</w:t>
      </w:r>
    </w:p>
    <w:p w14:paraId="5A8347C3" w14:textId="77777777" w:rsidR="00810DB7" w:rsidRPr="00AC4BAD" w:rsidRDefault="00810DB7" w:rsidP="00E52FA3">
      <w:pPr>
        <w:pStyle w:val="CBDH2"/>
        <w:spacing w:after="120"/>
        <w:rPr>
          <w:lang w:val="en-GB" w:eastAsia="zh-CN"/>
        </w:rPr>
      </w:pPr>
      <w:r w:rsidRPr="00AC4BAD">
        <w:rPr>
          <w:rFonts w:hint="eastAsia"/>
          <w:lang w:val="en-GB" w:eastAsia="zh-CN"/>
        </w:rPr>
        <w:t>3.8.</w:t>
      </w:r>
      <w:r w:rsidRPr="00AC4BAD">
        <w:rPr>
          <w:rFonts w:hint="eastAsia"/>
          <w:lang w:val="en-GB" w:eastAsia="zh-CN"/>
        </w:rPr>
        <w:tab/>
      </w:r>
      <w:r w:rsidRPr="00AC4BAD">
        <w:rPr>
          <w:rFonts w:hint="eastAsia"/>
          <w:lang w:val="en-GB" w:eastAsia="zh-CN"/>
        </w:rPr>
        <w:t>行动领域</w:t>
      </w:r>
      <w:r w:rsidRPr="00AC4BAD">
        <w:rPr>
          <w:rFonts w:hint="eastAsia"/>
          <w:lang w:val="en-GB" w:eastAsia="zh-CN"/>
        </w:rPr>
        <w:t>6</w:t>
      </w:r>
      <w:r w:rsidRPr="00AC4BAD">
        <w:rPr>
          <w:rFonts w:hint="eastAsia"/>
          <w:lang w:val="en-GB" w:eastAsia="zh-CN"/>
        </w:rPr>
        <w:t>：评估和改进决策信息</w:t>
      </w:r>
    </w:p>
    <w:p w14:paraId="7964D7AE" w14:textId="7D6B48B2" w:rsidR="00810DB7" w:rsidRPr="00A82775" w:rsidRDefault="00810DB7" w:rsidP="00E52FA3">
      <w:pPr>
        <w:keepNext/>
        <w:spacing w:after="120"/>
        <w:ind w:left="567"/>
        <w:rPr>
          <w:b/>
          <w:bCs/>
          <w:sz w:val="24"/>
          <w:lang w:val="en-GB" w:eastAsia="zh-CN"/>
        </w:rPr>
      </w:pPr>
      <w:r w:rsidRPr="00A82775">
        <w:rPr>
          <w:rFonts w:hint="eastAsia"/>
          <w:b/>
          <w:bCs/>
          <w:sz w:val="24"/>
          <w:lang w:val="en-GB" w:eastAsia="zh-CN"/>
        </w:rPr>
        <w:t>城市生物多样性指数</w:t>
      </w:r>
    </w:p>
    <w:p w14:paraId="2CB3383B" w14:textId="4B975FC8" w:rsidR="00810DB7" w:rsidRPr="00A82775" w:rsidRDefault="00810DB7" w:rsidP="00E52FA3">
      <w:pPr>
        <w:pStyle w:val="CBDNormalNoNumber"/>
        <w:rPr>
          <w:sz w:val="24"/>
          <w:lang w:val="en-GB" w:eastAsia="zh-CN"/>
        </w:rPr>
      </w:pPr>
      <w:r w:rsidRPr="00A82775">
        <w:rPr>
          <w:rFonts w:hint="eastAsia"/>
          <w:sz w:val="24"/>
          <w:lang w:val="en-GB" w:eastAsia="zh-CN"/>
        </w:rPr>
        <w:t>城市生物多样性指数，又称新加坡城市生物多样性指数，是一个自我评估工具，供城市根据自身的基线评估和监测其生物多样性养护工作的进展。在原有</w:t>
      </w:r>
      <w:hyperlink r:id="rId40" w:history="1">
        <w:r w:rsidRPr="00A82775">
          <w:rPr>
            <w:rStyle w:val="Hyperlink"/>
            <w:sz w:val="24"/>
            <w:lang w:val="en-GB" w:eastAsia="zh-CN"/>
          </w:rPr>
          <w:t>手册</w:t>
        </w:r>
      </w:hyperlink>
      <w:r w:rsidRPr="00A82775">
        <w:rPr>
          <w:rFonts w:hint="eastAsia"/>
          <w:sz w:val="24"/>
          <w:lang w:val="en-GB" w:eastAsia="zh-CN"/>
        </w:rPr>
        <w:t>的基础上，城市生物多样性指数手册工具的数字版已嵌入城市自然平台，以推动和便利城市开展生物多样性和自然方面的监测与报告。该手册已</w:t>
      </w:r>
      <w:r w:rsidR="00647318" w:rsidRPr="00A82775">
        <w:rPr>
          <w:rFonts w:hint="eastAsia"/>
          <w:sz w:val="24"/>
          <w:lang w:val="en-GB" w:eastAsia="zh-CN"/>
        </w:rPr>
        <w:t>该手册已被翻译为葡萄牙文、西班牙文、法文和韩文，四种译本</w:t>
      </w:r>
      <w:r w:rsidRPr="00A82775">
        <w:rPr>
          <w:rFonts w:hint="eastAsia"/>
          <w:sz w:val="24"/>
          <w:lang w:val="en-GB" w:eastAsia="zh-CN"/>
        </w:rPr>
        <w:t>均可在</w:t>
      </w:r>
      <w:hyperlink r:id="rId41" w:history="1">
        <w:r w:rsidRPr="00A82775">
          <w:rPr>
            <w:rStyle w:val="Hyperlink"/>
            <w:sz w:val="24"/>
            <w:lang w:val="en-GB" w:eastAsia="zh-CN"/>
          </w:rPr>
          <w:t>城市自然平台</w:t>
        </w:r>
      </w:hyperlink>
      <w:r w:rsidRPr="00A82775">
        <w:rPr>
          <w:rFonts w:hint="eastAsia"/>
          <w:sz w:val="24"/>
          <w:lang w:val="en-GB" w:eastAsia="zh-CN"/>
        </w:rPr>
        <w:t>上获取。</w:t>
      </w:r>
    </w:p>
    <w:p w14:paraId="7280F963" w14:textId="551AC591" w:rsidR="00810DB7" w:rsidRPr="00A82775" w:rsidRDefault="00810DB7" w:rsidP="00E52FA3">
      <w:pPr>
        <w:pStyle w:val="CBDNormalNoNumber"/>
        <w:rPr>
          <w:b/>
          <w:bCs/>
          <w:sz w:val="24"/>
          <w:lang w:val="en-GB" w:eastAsia="zh-CN"/>
        </w:rPr>
      </w:pPr>
      <w:r w:rsidRPr="00A82775">
        <w:rPr>
          <w:rFonts w:hint="eastAsia"/>
          <w:b/>
          <w:bCs/>
          <w:sz w:val="24"/>
          <w:lang w:val="en-GB" w:eastAsia="zh-CN"/>
        </w:rPr>
        <w:t>城市自然指数</w:t>
      </w:r>
    </w:p>
    <w:p w14:paraId="58EC2F84" w14:textId="39AA7C3B" w:rsidR="00810DB7" w:rsidRPr="00A82775" w:rsidRDefault="00810DB7" w:rsidP="00E52FA3">
      <w:pPr>
        <w:pStyle w:val="CBDNormalNoNumber"/>
        <w:rPr>
          <w:sz w:val="24"/>
          <w:lang w:val="en-GB" w:eastAsia="zh-CN"/>
        </w:rPr>
      </w:pPr>
      <w:hyperlink r:id="rId42" w:history="1">
        <w:r w:rsidRPr="00A82775">
          <w:rPr>
            <w:rStyle w:val="Hyperlink"/>
            <w:sz w:val="24"/>
            <w:lang w:val="en-GB" w:eastAsia="zh-CN"/>
          </w:rPr>
          <w:t>世界自然保护联盟城市自然指数</w:t>
        </w:r>
      </w:hyperlink>
      <w:r w:rsidRPr="00A82775">
        <w:rPr>
          <w:rFonts w:hint="eastAsia"/>
          <w:sz w:val="24"/>
          <w:lang w:val="en-GB" w:eastAsia="zh-CN"/>
        </w:rPr>
        <w:t>由一套涵盖六大主题的</w:t>
      </w:r>
      <w:r w:rsidRPr="00A82775">
        <w:rPr>
          <w:rFonts w:hint="eastAsia"/>
          <w:sz w:val="24"/>
          <w:lang w:val="en-GB" w:eastAsia="zh-CN"/>
        </w:rPr>
        <w:t>30</w:t>
      </w:r>
      <w:r w:rsidRPr="00A82775">
        <w:rPr>
          <w:rFonts w:hint="eastAsia"/>
          <w:sz w:val="24"/>
          <w:lang w:val="en-GB" w:eastAsia="zh-CN"/>
        </w:rPr>
        <w:t>个指标主题组成，旨在帮助城市了解其对自然的影响，制定基于科学的改进目标，并相应监测进展。通过聚焦城市的生态绩效，该框架有助于</w:t>
      </w:r>
      <w:r w:rsidR="006C5A8A" w:rsidRPr="00A82775">
        <w:rPr>
          <w:rFonts w:hint="eastAsia"/>
          <w:sz w:val="24"/>
          <w:lang w:val="en-GB" w:eastAsia="zh-CN"/>
        </w:rPr>
        <w:t>提高</w:t>
      </w:r>
      <w:r w:rsidRPr="00A82775">
        <w:rPr>
          <w:rFonts w:hint="eastAsia"/>
          <w:sz w:val="24"/>
          <w:lang w:val="en-GB" w:eastAsia="zh-CN"/>
        </w:rPr>
        <w:t>环境透明度和</w:t>
      </w:r>
      <w:r w:rsidR="006C5A8A" w:rsidRPr="00A82775">
        <w:rPr>
          <w:rFonts w:hint="eastAsia"/>
          <w:sz w:val="24"/>
          <w:lang w:val="en-GB" w:eastAsia="zh-CN"/>
        </w:rPr>
        <w:t>加强</w:t>
      </w:r>
      <w:r w:rsidRPr="00A82775">
        <w:rPr>
          <w:rFonts w:hint="eastAsia"/>
          <w:sz w:val="24"/>
          <w:lang w:val="en-GB" w:eastAsia="zh-CN"/>
        </w:rPr>
        <w:t>问责制，推动目标设定，并促进养护行动。</w:t>
      </w:r>
    </w:p>
    <w:p w14:paraId="77E7D229" w14:textId="77777777" w:rsidR="00810DB7" w:rsidRPr="00A82775" w:rsidRDefault="00810DB7" w:rsidP="00E52FA3">
      <w:pPr>
        <w:pStyle w:val="CBDNormalNoNumber"/>
        <w:rPr>
          <w:b/>
          <w:bCs/>
          <w:sz w:val="24"/>
          <w:lang w:val="en-GB" w:eastAsia="zh-CN"/>
        </w:rPr>
      </w:pPr>
      <w:r w:rsidRPr="00A82775">
        <w:rPr>
          <w:b/>
          <w:bCs/>
          <w:sz w:val="24"/>
          <w:lang w:val="en-GB" w:eastAsia="zh-CN"/>
        </w:rPr>
        <w:t>NATURA</w:t>
      </w:r>
      <w:r w:rsidRPr="00A82775">
        <w:rPr>
          <w:rFonts w:hint="eastAsia"/>
          <w:b/>
          <w:bCs/>
          <w:sz w:val="24"/>
          <w:lang w:val="en-GB" w:eastAsia="zh-CN"/>
        </w:rPr>
        <w:t>城市基于自然的解决方案全球路线图</w:t>
      </w:r>
    </w:p>
    <w:p w14:paraId="13766EBA" w14:textId="265304CF" w:rsidR="00810DB7" w:rsidRPr="00A82775" w:rsidRDefault="00810DB7" w:rsidP="00E52FA3">
      <w:pPr>
        <w:pStyle w:val="CBDNormalNoNumber"/>
        <w:rPr>
          <w:sz w:val="24"/>
          <w:lang w:val="en-GB" w:eastAsia="zh-CN"/>
        </w:rPr>
      </w:pPr>
      <w:r w:rsidRPr="00A82775">
        <w:rPr>
          <w:rFonts w:hint="eastAsia"/>
          <w:sz w:val="24"/>
          <w:lang w:val="en-GB" w:eastAsia="zh-CN"/>
        </w:rPr>
        <w:lastRenderedPageBreak/>
        <w:t>NATURA</w:t>
      </w:r>
      <w:r w:rsidRPr="00A82775">
        <w:rPr>
          <w:rFonts w:hint="eastAsia"/>
          <w:sz w:val="24"/>
          <w:lang w:val="en-GB" w:eastAsia="zh-CN"/>
        </w:rPr>
        <w:t>全球路线图是迄今为止最全面的评估工作，旨在了解世界各地城市和城市化区域基于自然的解决方案的知识和实践状况。该路线图基于涵盖非洲、亚洲、大洋洲、中东北非地区、欧洲、美国</w:t>
      </w:r>
      <w:r w:rsidRPr="00A82775">
        <w:rPr>
          <w:rFonts w:hint="eastAsia"/>
          <w:sz w:val="24"/>
          <w:lang w:val="en-GB" w:eastAsia="zh-CN"/>
        </w:rPr>
        <w:t>-</w:t>
      </w:r>
      <w:r w:rsidRPr="00A82775">
        <w:rPr>
          <w:rFonts w:hint="eastAsia"/>
          <w:sz w:val="24"/>
          <w:lang w:val="en-GB" w:eastAsia="zh-CN"/>
        </w:rPr>
        <w:t>加拿大以及拉丁美洲的七项区域评估，汇集了科学研究、专家见解和真实案例研究，为各级决策者提供了清晰、可采取行动的指导意见。路线图中的案例选自全球所有区域数千个城市基于自然的解决方案案例研究，包含</w:t>
      </w:r>
      <w:r w:rsidRPr="00A82775">
        <w:rPr>
          <w:rFonts w:hint="eastAsia"/>
          <w:sz w:val="24"/>
          <w:lang w:val="en-GB" w:eastAsia="zh-CN"/>
        </w:rPr>
        <w:t>150</w:t>
      </w:r>
      <w:r w:rsidRPr="00A82775">
        <w:rPr>
          <w:rFonts w:hint="eastAsia"/>
          <w:sz w:val="24"/>
          <w:lang w:val="en-GB" w:eastAsia="zh-CN"/>
        </w:rPr>
        <w:t>多个代表性案例，涵盖应对气候变化、卫生、污染、生物多样性、人类健康等挑战的各类基于自然的解决方案。这些案例跨越不同地域和社会文化背景，可作为</w:t>
      </w:r>
      <w:r w:rsidR="006C5A8A" w:rsidRPr="00A82775">
        <w:rPr>
          <w:rFonts w:hint="eastAsia"/>
          <w:sz w:val="24"/>
          <w:lang w:val="en-GB" w:eastAsia="zh-CN"/>
        </w:rPr>
        <w:t>推广</w:t>
      </w:r>
      <w:r w:rsidRPr="00A82775">
        <w:rPr>
          <w:rFonts w:hint="eastAsia"/>
          <w:sz w:val="24"/>
          <w:lang w:val="en-GB" w:eastAsia="zh-CN"/>
        </w:rPr>
        <w:t>、复制和</w:t>
      </w:r>
      <w:r w:rsidR="006C5A8A" w:rsidRPr="00A82775">
        <w:rPr>
          <w:rFonts w:hint="eastAsia"/>
          <w:sz w:val="24"/>
          <w:lang w:val="en-GB" w:eastAsia="zh-CN"/>
        </w:rPr>
        <w:t>创新</w:t>
      </w:r>
      <w:r w:rsidRPr="00A82775">
        <w:rPr>
          <w:rFonts w:hint="eastAsia"/>
          <w:sz w:val="24"/>
          <w:lang w:val="en-GB" w:eastAsia="zh-CN"/>
        </w:rPr>
        <w:t>基于自然的解决方案，以产生地方和区域影响的范例。更多信息见</w:t>
      </w:r>
      <w:hyperlink r:id="rId43" w:history="1">
        <w:r w:rsidRPr="00A82775">
          <w:rPr>
            <w:rStyle w:val="Hyperlink"/>
            <w:sz w:val="24"/>
            <w:lang w:val="en-GB" w:eastAsia="zh-CN"/>
          </w:rPr>
          <w:t>此处</w:t>
        </w:r>
      </w:hyperlink>
      <w:r w:rsidRPr="00A82775">
        <w:rPr>
          <w:rFonts w:hint="eastAsia"/>
          <w:sz w:val="24"/>
          <w:lang w:val="en-GB" w:eastAsia="zh-CN"/>
        </w:rPr>
        <w:t>。</w:t>
      </w:r>
    </w:p>
    <w:p w14:paraId="4182848D" w14:textId="77777777" w:rsidR="00810DB7" w:rsidRPr="00AC4BAD" w:rsidRDefault="00810DB7" w:rsidP="00E52FA3">
      <w:pPr>
        <w:pStyle w:val="CBDH2"/>
        <w:spacing w:after="120"/>
        <w:rPr>
          <w:lang w:val="en-GB" w:eastAsia="zh-CN"/>
        </w:rPr>
      </w:pPr>
      <w:r w:rsidRPr="00AC4BAD">
        <w:rPr>
          <w:rFonts w:hint="eastAsia"/>
          <w:lang w:val="en-GB" w:eastAsia="zh-CN"/>
        </w:rPr>
        <w:t>3.9.</w:t>
      </w:r>
      <w:r w:rsidRPr="00AC4BAD">
        <w:rPr>
          <w:rFonts w:hint="eastAsia"/>
          <w:lang w:val="en-GB" w:eastAsia="zh-CN"/>
        </w:rPr>
        <w:tab/>
      </w:r>
      <w:r w:rsidRPr="00AC4BAD">
        <w:rPr>
          <w:rFonts w:hint="eastAsia"/>
          <w:lang w:val="en-GB" w:eastAsia="zh-CN"/>
        </w:rPr>
        <w:t>行动领域</w:t>
      </w:r>
      <w:r w:rsidRPr="00AC4BAD">
        <w:rPr>
          <w:rFonts w:hint="eastAsia"/>
          <w:lang w:val="en-GB" w:eastAsia="zh-CN"/>
        </w:rPr>
        <w:t>7</w:t>
      </w:r>
      <w:r w:rsidRPr="00AC4BAD">
        <w:rPr>
          <w:rFonts w:hint="eastAsia"/>
          <w:lang w:val="en-GB" w:eastAsia="zh-CN"/>
        </w:rPr>
        <w:t>：监测和报告</w:t>
      </w:r>
    </w:p>
    <w:p w14:paraId="4723EACA" w14:textId="77777777" w:rsidR="00810DB7" w:rsidRPr="00A82775" w:rsidRDefault="00810DB7" w:rsidP="00E52FA3">
      <w:pPr>
        <w:keepNext/>
        <w:spacing w:after="120"/>
        <w:ind w:left="567"/>
        <w:rPr>
          <w:b/>
          <w:bCs/>
          <w:sz w:val="24"/>
          <w:lang w:val="en-GB" w:eastAsia="zh-CN"/>
        </w:rPr>
      </w:pPr>
      <w:r w:rsidRPr="00A82775">
        <w:rPr>
          <w:rFonts w:hint="eastAsia"/>
          <w:b/>
          <w:bCs/>
          <w:sz w:val="24"/>
          <w:lang w:val="en-GB" w:eastAsia="zh-CN"/>
        </w:rPr>
        <w:t>《柏林城市自然公约》</w:t>
      </w:r>
    </w:p>
    <w:p w14:paraId="47F331DB" w14:textId="77777777" w:rsidR="00810DB7" w:rsidRPr="00A82775" w:rsidRDefault="00810DB7" w:rsidP="00E52FA3">
      <w:pPr>
        <w:pStyle w:val="CBDNormalNoNumber"/>
        <w:rPr>
          <w:sz w:val="24"/>
          <w:lang w:val="en-GB" w:eastAsia="zh-CN"/>
        </w:rPr>
      </w:pPr>
      <w:hyperlink r:id="rId44" w:history="1">
        <w:r w:rsidRPr="00A82775">
          <w:rPr>
            <w:rStyle w:val="Hyperlink"/>
            <w:sz w:val="24"/>
            <w:lang w:val="en-GB" w:eastAsia="zh-CN"/>
          </w:rPr>
          <w:t>《柏林城市自然公约》</w:t>
        </w:r>
      </w:hyperlink>
      <w:r w:rsidRPr="00A82775">
        <w:rPr>
          <w:rFonts w:hint="eastAsia"/>
          <w:sz w:val="24"/>
          <w:lang w:val="en-GB" w:eastAsia="zh-CN"/>
        </w:rPr>
        <w:t>是一项由柏林市率先发起的倡议，已纳入城市自然平台，旨在到</w:t>
      </w:r>
      <w:r w:rsidRPr="00A82775">
        <w:rPr>
          <w:rFonts w:hint="eastAsia"/>
          <w:sz w:val="24"/>
          <w:lang w:val="en-GB" w:eastAsia="zh-CN"/>
        </w:rPr>
        <w:t>2030</w:t>
      </w:r>
      <w:r w:rsidRPr="00A82775">
        <w:rPr>
          <w:rFonts w:hint="eastAsia"/>
          <w:sz w:val="24"/>
          <w:lang w:val="en-GB" w:eastAsia="zh-CN"/>
        </w:rPr>
        <w:t>年遏制并扭转城市中生物多样性的丧失，使自然走上恢复之路，造福全球城市人民以及地球。该公约包含六项执行原则，以保障其七个目标领域的有效执行，</w:t>
      </w:r>
      <w:r w:rsidRPr="00694EF7">
        <w:rPr>
          <w:rFonts w:hint="eastAsia"/>
          <w:spacing w:val="4"/>
          <w:sz w:val="24"/>
          <w:lang w:val="en-GB" w:eastAsia="zh-CN"/>
        </w:rPr>
        <w:t>其中每个领域包含一组子目标。迄今已有</w:t>
      </w:r>
      <w:r w:rsidRPr="00694EF7">
        <w:rPr>
          <w:rFonts w:hint="eastAsia"/>
          <w:spacing w:val="4"/>
          <w:sz w:val="24"/>
          <w:lang w:val="en-GB" w:eastAsia="zh-CN"/>
        </w:rPr>
        <w:t>19</w:t>
      </w:r>
      <w:r w:rsidRPr="00694EF7">
        <w:rPr>
          <w:rFonts w:hint="eastAsia"/>
          <w:spacing w:val="4"/>
          <w:sz w:val="24"/>
          <w:lang w:val="en-GB" w:eastAsia="zh-CN"/>
        </w:rPr>
        <w:t>个城市签署该公约，并承诺实现这些目标。</w:t>
      </w:r>
    </w:p>
    <w:p w14:paraId="57CC7CAB" w14:textId="59EC3B0F" w:rsidR="00810DB7" w:rsidRPr="00A82775" w:rsidRDefault="00810DB7" w:rsidP="00E52FA3">
      <w:pPr>
        <w:pStyle w:val="CBDNormalNoNumber"/>
        <w:rPr>
          <w:b/>
          <w:bCs/>
          <w:sz w:val="24"/>
          <w:lang w:val="en-GB" w:eastAsia="zh-CN"/>
        </w:rPr>
      </w:pPr>
      <w:r w:rsidRPr="00A82775">
        <w:rPr>
          <w:rFonts w:hint="eastAsia"/>
          <w:b/>
          <w:bCs/>
          <w:sz w:val="24"/>
          <w:lang w:val="en-GB" w:eastAsia="zh-CN"/>
        </w:rPr>
        <w:t>苏格兰生物多样性</w:t>
      </w:r>
      <w:r w:rsidR="00F50900" w:rsidRPr="00A82775">
        <w:rPr>
          <w:rFonts w:hint="eastAsia"/>
          <w:b/>
          <w:bCs/>
          <w:sz w:val="24"/>
          <w:lang w:val="en-GB" w:eastAsia="zh-CN"/>
        </w:rPr>
        <w:t>-</w:t>
      </w:r>
      <w:r w:rsidRPr="00A82775">
        <w:rPr>
          <w:rFonts w:hint="eastAsia"/>
          <w:b/>
          <w:bCs/>
          <w:sz w:val="24"/>
          <w:lang w:val="en-GB" w:eastAsia="zh-CN"/>
        </w:rPr>
        <w:t>气候关联领域的政策协调</w:t>
      </w:r>
    </w:p>
    <w:p w14:paraId="5AD78B5B" w14:textId="56A2A1B0" w:rsidR="00810DB7" w:rsidRPr="00A82775" w:rsidRDefault="006C5A8A" w:rsidP="00E52FA3">
      <w:pPr>
        <w:pStyle w:val="CBDNormalNoNumber"/>
        <w:rPr>
          <w:sz w:val="24"/>
          <w:lang w:val="en-GB" w:eastAsia="zh-CN"/>
        </w:rPr>
      </w:pPr>
      <w:r w:rsidRPr="00A82775">
        <w:rPr>
          <w:rFonts w:hint="eastAsia"/>
          <w:sz w:val="24"/>
          <w:lang w:val="en-GB" w:eastAsia="zh-CN"/>
        </w:rPr>
        <w:t>苏格兰通过制定政府部门间的协调战略，将生物多样性和气候适应规划纳入进来。这包括使《苏格兰生物多样性战略交付计划》与《国家适应计划》保持一致，并共享监测框架和指标。这一办法已将生物多样性指标纳入气候韧性监测，并改善了跨部门交付协调。更多信息见</w:t>
      </w:r>
      <w:hyperlink r:id="rId45" w:history="1">
        <w:r w:rsidR="00810DB7" w:rsidRPr="00A82775">
          <w:rPr>
            <w:rStyle w:val="Hyperlink"/>
            <w:sz w:val="24"/>
            <w:lang w:val="en-GB" w:eastAsia="zh-CN"/>
          </w:rPr>
          <w:t>此处</w:t>
        </w:r>
      </w:hyperlink>
      <w:r w:rsidR="00810DB7" w:rsidRPr="00A82775">
        <w:rPr>
          <w:rFonts w:hint="eastAsia"/>
          <w:sz w:val="24"/>
          <w:lang w:val="en-GB" w:eastAsia="zh-CN"/>
        </w:rPr>
        <w:t>。</w:t>
      </w:r>
    </w:p>
    <w:p w14:paraId="1A09F6BB"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衡量极端气候事件对地中海生物多样性的影响</w:t>
      </w:r>
    </w:p>
    <w:p w14:paraId="0B4B2127" w14:textId="028469EA" w:rsidR="00810DB7" w:rsidRPr="00A82775" w:rsidRDefault="00810DB7" w:rsidP="00E52FA3">
      <w:pPr>
        <w:pStyle w:val="CBDNormalNoNumber"/>
        <w:rPr>
          <w:sz w:val="24"/>
          <w:lang w:val="en-GB" w:eastAsia="zh-CN"/>
        </w:rPr>
      </w:pPr>
      <w:r w:rsidRPr="00A82775">
        <w:rPr>
          <w:rFonts w:hint="eastAsia"/>
          <w:sz w:val="24"/>
          <w:lang w:val="en-GB" w:eastAsia="zh-CN"/>
        </w:rPr>
        <w:t>加泰罗尼亚自治区牵头开展了</w:t>
      </w:r>
      <w:r w:rsidRPr="00A82775">
        <w:rPr>
          <w:rFonts w:hint="eastAsia"/>
          <w:sz w:val="24"/>
          <w:lang w:val="en-GB" w:eastAsia="zh-CN"/>
        </w:rPr>
        <w:t>MECEMB-MCAP</w:t>
      </w:r>
      <w:r w:rsidRPr="00A82775">
        <w:rPr>
          <w:rFonts w:hint="eastAsia"/>
          <w:sz w:val="24"/>
          <w:lang w:val="en-GB" w:eastAsia="zh-CN"/>
        </w:rPr>
        <w:t>项目，这是一个跨区域科学倡议，汇集了地中海气候</w:t>
      </w:r>
      <w:r w:rsidR="00B35ECB" w:rsidRPr="00A82775">
        <w:rPr>
          <w:rFonts w:hint="eastAsia"/>
          <w:sz w:val="24"/>
          <w:lang w:val="en-GB" w:eastAsia="zh-CN"/>
        </w:rPr>
        <w:t>区域</w:t>
      </w:r>
      <w:r w:rsidRPr="00A82775">
        <w:rPr>
          <w:rFonts w:hint="eastAsia"/>
          <w:sz w:val="24"/>
          <w:lang w:val="en-GB" w:eastAsia="zh-CN"/>
        </w:rPr>
        <w:t>（包括加利福尼亚、新南威尔士、西开普和智利圣地亚哥），以评估干旱、野火和热浪如何影响生物多样性，并将研究成果转化为共同的政策建议。更多信息见</w:t>
      </w:r>
      <w:hyperlink r:id="rId46" w:history="1">
        <w:r w:rsidRPr="00A82775">
          <w:rPr>
            <w:rStyle w:val="Hyperlink"/>
            <w:sz w:val="24"/>
            <w:lang w:val="en-GB" w:eastAsia="zh-CN"/>
          </w:rPr>
          <w:t>此处</w:t>
        </w:r>
      </w:hyperlink>
      <w:r w:rsidRPr="00A82775">
        <w:rPr>
          <w:rFonts w:hint="eastAsia"/>
          <w:sz w:val="24"/>
          <w:lang w:val="en-GB" w:eastAsia="zh-CN"/>
        </w:rPr>
        <w:t>。</w:t>
      </w:r>
    </w:p>
    <w:p w14:paraId="5C439801" w14:textId="77777777" w:rsidR="00810DB7" w:rsidRPr="00A82775" w:rsidRDefault="00810DB7" w:rsidP="00E52FA3">
      <w:pPr>
        <w:pStyle w:val="CBDNormalNoNumber"/>
        <w:rPr>
          <w:b/>
          <w:bCs/>
          <w:sz w:val="24"/>
          <w:lang w:val="en-GB" w:eastAsia="zh-CN"/>
        </w:rPr>
      </w:pPr>
      <w:r w:rsidRPr="00A82775">
        <w:rPr>
          <w:rFonts w:hint="eastAsia"/>
          <w:b/>
          <w:bCs/>
          <w:sz w:val="24"/>
          <w:lang w:val="en-GB" w:eastAsia="zh-CN"/>
        </w:rPr>
        <w:t>尤卡坦半岛社区生物多样性监测</w:t>
      </w:r>
    </w:p>
    <w:p w14:paraId="282B391A" w14:textId="2CDFE9C9" w:rsidR="00810DB7" w:rsidRPr="00A82775" w:rsidRDefault="00810DB7" w:rsidP="00E52FA3">
      <w:pPr>
        <w:pStyle w:val="CBDNormalNoNumber"/>
        <w:rPr>
          <w:sz w:val="24"/>
          <w:lang w:val="en-GB" w:eastAsia="zh-CN"/>
        </w:rPr>
      </w:pPr>
      <w:r w:rsidRPr="00A82775">
        <w:rPr>
          <w:rFonts w:hint="eastAsia"/>
          <w:sz w:val="24"/>
          <w:lang w:val="en-GB" w:eastAsia="zh-CN"/>
        </w:rPr>
        <w:t>尤卡坦半岛的社区生物多样性监测项目对特卡什市镇四个村社的</w:t>
      </w:r>
      <w:r w:rsidRPr="00A82775">
        <w:rPr>
          <w:rFonts w:hint="eastAsia"/>
          <w:sz w:val="24"/>
          <w:lang w:val="en-GB" w:eastAsia="zh-CN"/>
        </w:rPr>
        <w:t>43</w:t>
      </w:r>
      <w:r w:rsidRPr="00A82775">
        <w:rPr>
          <w:rFonts w:hint="eastAsia"/>
          <w:sz w:val="24"/>
          <w:lang w:val="en-GB" w:eastAsia="zh-CN"/>
        </w:rPr>
        <w:t>名社区成员进行培训，让他们部署和管理相机陷阱站，在</w:t>
      </w:r>
      <w:r w:rsidR="00B35ECB" w:rsidRPr="00A82775">
        <w:rPr>
          <w:rFonts w:hint="eastAsia"/>
          <w:sz w:val="24"/>
          <w:lang w:val="en-GB" w:eastAsia="zh-CN"/>
        </w:rPr>
        <w:t>超过</w:t>
      </w:r>
      <w:r w:rsidRPr="00A82775">
        <w:rPr>
          <w:rFonts w:hint="eastAsia"/>
          <w:sz w:val="24"/>
          <w:lang w:val="en-GB" w:eastAsia="zh-CN"/>
        </w:rPr>
        <w:t>118</w:t>
      </w:r>
      <w:r w:rsidRPr="00A82775">
        <w:rPr>
          <w:rFonts w:hint="eastAsia"/>
          <w:sz w:val="24"/>
          <w:lang w:val="en-GB" w:eastAsia="zh-CN"/>
        </w:rPr>
        <w:t>天的采样中生成了</w:t>
      </w:r>
      <w:r w:rsidRPr="00A82775">
        <w:rPr>
          <w:rFonts w:hint="eastAsia"/>
          <w:sz w:val="24"/>
          <w:lang w:val="en-GB" w:eastAsia="zh-CN"/>
        </w:rPr>
        <w:t>36</w:t>
      </w:r>
      <w:r w:rsidRPr="00A82775">
        <w:rPr>
          <w:rFonts w:hint="eastAsia"/>
          <w:sz w:val="24"/>
          <w:lang w:val="en-GB" w:eastAsia="zh-CN"/>
        </w:rPr>
        <w:t>个物种的动物记录。更多信息见</w:t>
      </w:r>
      <w:hyperlink r:id="rId47" w:history="1">
        <w:r w:rsidRPr="00A82775">
          <w:rPr>
            <w:rStyle w:val="Hyperlink"/>
            <w:sz w:val="24"/>
            <w:lang w:val="en-GB" w:eastAsia="zh-CN"/>
          </w:rPr>
          <w:t>此处</w:t>
        </w:r>
      </w:hyperlink>
      <w:r w:rsidRPr="00A82775">
        <w:rPr>
          <w:rFonts w:hint="eastAsia"/>
          <w:sz w:val="24"/>
          <w:lang w:val="en-GB" w:eastAsia="zh-CN"/>
        </w:rPr>
        <w:t>。</w:t>
      </w:r>
    </w:p>
    <w:p w14:paraId="1D3A7303" w14:textId="25188B35" w:rsidR="00810DB7" w:rsidRPr="00AC4BAD" w:rsidRDefault="00810DB7" w:rsidP="00E52FA3">
      <w:pPr>
        <w:pStyle w:val="CBDH1"/>
        <w:spacing w:before="0"/>
        <w:rPr>
          <w:lang w:eastAsia="zh-CN"/>
        </w:rPr>
      </w:pPr>
      <w:r w:rsidRPr="00AC4BAD">
        <w:rPr>
          <w:rFonts w:hint="eastAsia"/>
          <w:lang w:eastAsia="zh-CN"/>
        </w:rPr>
        <w:t>4.</w:t>
      </w:r>
      <w:r w:rsidRPr="00AC4BAD">
        <w:rPr>
          <w:rFonts w:hint="eastAsia"/>
          <w:lang w:eastAsia="zh-CN"/>
        </w:rPr>
        <w:tab/>
      </w:r>
      <w:r w:rsidRPr="00AC4BAD">
        <w:rPr>
          <w:rFonts w:hint="eastAsia"/>
          <w:lang w:eastAsia="zh-CN"/>
        </w:rPr>
        <w:t>城市自然和区域自然平台——展示城市和</w:t>
      </w:r>
      <w:r w:rsidR="007E50D7" w:rsidRPr="00AC4BAD">
        <w:rPr>
          <w:rFonts w:hint="eastAsia"/>
          <w:lang w:eastAsia="zh-CN"/>
        </w:rPr>
        <w:t>区域</w:t>
      </w:r>
      <w:r w:rsidRPr="00AC4BAD">
        <w:rPr>
          <w:rFonts w:hint="eastAsia"/>
          <w:lang w:eastAsia="zh-CN"/>
        </w:rPr>
        <w:t>对《昆蒙框架》的承诺</w:t>
      </w:r>
    </w:p>
    <w:p w14:paraId="665B0863" w14:textId="76CD6421" w:rsidR="00810DB7" w:rsidRPr="00A82775" w:rsidRDefault="00810DB7" w:rsidP="00E52FA3">
      <w:pPr>
        <w:pStyle w:val="CBDNormalNoNumber"/>
        <w:rPr>
          <w:sz w:val="24"/>
          <w:lang w:val="en-GB" w:eastAsia="zh-CN"/>
        </w:rPr>
      </w:pPr>
      <w:r w:rsidRPr="00A82775">
        <w:rPr>
          <w:rFonts w:hint="eastAsia"/>
          <w:sz w:val="24"/>
          <w:lang w:val="en-GB" w:eastAsia="zh-CN"/>
        </w:rPr>
        <w:t>目前，</w:t>
      </w:r>
      <w:r w:rsidRPr="00A82775">
        <w:rPr>
          <w:rFonts w:hint="eastAsia"/>
          <w:sz w:val="24"/>
          <w:lang w:val="en-GB" w:eastAsia="zh-CN"/>
        </w:rPr>
        <w:t>76</w:t>
      </w:r>
      <w:r w:rsidRPr="00A82775">
        <w:rPr>
          <w:rFonts w:hint="eastAsia"/>
          <w:sz w:val="24"/>
          <w:lang w:val="en-GB" w:eastAsia="zh-CN"/>
        </w:rPr>
        <w:t>个与会城市和</w:t>
      </w:r>
      <w:r w:rsidR="007E50D7" w:rsidRPr="00A82775">
        <w:rPr>
          <w:rFonts w:hint="eastAsia"/>
          <w:sz w:val="24"/>
          <w:lang w:val="en-GB" w:eastAsia="zh-CN"/>
        </w:rPr>
        <w:t>区域</w:t>
      </w:r>
      <w:r w:rsidRPr="00A82775">
        <w:rPr>
          <w:rFonts w:hint="eastAsia"/>
          <w:sz w:val="24"/>
          <w:lang w:val="en-GB" w:eastAsia="zh-CN"/>
        </w:rPr>
        <w:t>在</w:t>
      </w:r>
      <w:hyperlink r:id="rId48" w:history="1">
        <w:r w:rsidRPr="00445768">
          <w:rPr>
            <w:rFonts w:ascii="SimSun" w:hAnsi="SimSun" w:cs="SimSun"/>
            <w:color w:val="1155CC"/>
            <w:sz w:val="24"/>
            <w:u w:val="single"/>
            <w:lang w:eastAsia="zh-CN"/>
          </w:rPr>
          <w:t>城市自然</w:t>
        </w:r>
      </w:hyperlink>
      <w:r w:rsidRPr="00A82775">
        <w:rPr>
          <w:rFonts w:hint="eastAsia"/>
          <w:sz w:val="24"/>
          <w:lang w:val="en-GB" w:eastAsia="zh-CN"/>
        </w:rPr>
        <w:t>和</w:t>
      </w:r>
      <w:hyperlink r:id="rId49" w:history="1">
        <w:r w:rsidRPr="00445768">
          <w:rPr>
            <w:rFonts w:ascii="SimSun" w:hAnsi="SimSun" w:cs="SimSun"/>
            <w:color w:val="1155CC"/>
            <w:sz w:val="24"/>
            <w:u w:val="single"/>
            <w:lang w:eastAsia="zh-CN"/>
          </w:rPr>
          <w:t>区域自然</w:t>
        </w:r>
      </w:hyperlink>
      <w:r w:rsidRPr="00A82775">
        <w:rPr>
          <w:rFonts w:hint="eastAsia"/>
          <w:sz w:val="24"/>
          <w:lang w:val="en-GB" w:eastAsia="zh-CN"/>
        </w:rPr>
        <w:t>行动平台上作出了</w:t>
      </w:r>
      <w:r w:rsidRPr="00A82775">
        <w:rPr>
          <w:rFonts w:hint="eastAsia"/>
          <w:sz w:val="24"/>
          <w:lang w:val="en-GB" w:eastAsia="zh-CN"/>
        </w:rPr>
        <w:t>711</w:t>
      </w:r>
      <w:r w:rsidRPr="00A82775">
        <w:rPr>
          <w:rFonts w:hint="eastAsia"/>
          <w:sz w:val="24"/>
          <w:lang w:val="en-GB" w:eastAsia="zh-CN"/>
        </w:rPr>
        <w:t>项有效承诺，这表明次国家和地方政府普遍愿意为全球自然长期目标作出贡献。第</w:t>
      </w:r>
      <w:r w:rsidRPr="00A82775">
        <w:rPr>
          <w:rFonts w:hint="eastAsia"/>
          <w:sz w:val="24"/>
          <w:lang w:val="en-GB" w:eastAsia="zh-CN"/>
        </w:rPr>
        <w:t>15/12</w:t>
      </w:r>
      <w:r w:rsidRPr="00A82775">
        <w:rPr>
          <w:rFonts w:hint="eastAsia"/>
          <w:sz w:val="24"/>
          <w:lang w:val="en-GB" w:eastAsia="zh-CN"/>
        </w:rPr>
        <w:t>号决定确认这些平台是次国家和地方政府报告其为实现《昆蒙框架》所作贡献的机制。这些承诺正在转化为实地执行，全平台共采取了</w:t>
      </w:r>
      <w:r w:rsidRPr="00A82775">
        <w:rPr>
          <w:rFonts w:hint="eastAsia"/>
          <w:sz w:val="24"/>
          <w:lang w:val="en-GB" w:eastAsia="zh-CN"/>
        </w:rPr>
        <w:t>1,333</w:t>
      </w:r>
      <w:r w:rsidRPr="00A82775">
        <w:rPr>
          <w:rFonts w:hint="eastAsia"/>
          <w:sz w:val="24"/>
          <w:lang w:val="en-GB" w:eastAsia="zh-CN"/>
        </w:rPr>
        <w:t>项行动。这些承诺分为以下三个行动领域。</w:t>
      </w:r>
    </w:p>
    <w:p w14:paraId="4D5DB70C" w14:textId="77777777" w:rsidR="00810DB7" w:rsidRPr="00AC4BAD" w:rsidRDefault="00810DB7" w:rsidP="00E52FA3">
      <w:pPr>
        <w:pStyle w:val="CBDH2"/>
        <w:spacing w:after="120"/>
        <w:rPr>
          <w:lang w:val="en-GB" w:eastAsia="zh-CN"/>
        </w:rPr>
      </w:pPr>
      <w:r w:rsidRPr="00AC4BAD">
        <w:rPr>
          <w:rFonts w:hint="eastAsia"/>
          <w:lang w:val="en-GB" w:eastAsia="zh-CN"/>
        </w:rPr>
        <w:lastRenderedPageBreak/>
        <w:t>4.1.</w:t>
      </w:r>
      <w:r w:rsidRPr="00AC4BAD">
        <w:rPr>
          <w:rFonts w:hint="eastAsia"/>
          <w:lang w:val="en-GB" w:eastAsia="zh-CN"/>
        </w:rPr>
        <w:tab/>
      </w:r>
      <w:r w:rsidRPr="00AC4BAD">
        <w:rPr>
          <w:rFonts w:hint="eastAsia"/>
          <w:lang w:val="en-GB" w:eastAsia="zh-CN"/>
        </w:rPr>
        <w:t>保护和恢复自然</w:t>
      </w:r>
    </w:p>
    <w:p w14:paraId="1F443595" w14:textId="40872AD8" w:rsidR="00810DB7" w:rsidRPr="00A82775" w:rsidRDefault="00810DB7" w:rsidP="00E52FA3">
      <w:pPr>
        <w:pStyle w:val="CBDNormalNoNumber"/>
        <w:rPr>
          <w:sz w:val="24"/>
          <w:lang w:val="en-GB" w:eastAsia="zh-CN"/>
        </w:rPr>
      </w:pPr>
      <w:r w:rsidRPr="00A82775">
        <w:rPr>
          <w:rFonts w:hint="eastAsia"/>
          <w:sz w:val="24"/>
          <w:lang w:val="en-GB" w:eastAsia="zh-CN"/>
        </w:rPr>
        <w:t>该类别共作出</w:t>
      </w:r>
      <w:r w:rsidRPr="00A82775">
        <w:rPr>
          <w:rFonts w:hint="eastAsia"/>
          <w:b/>
          <w:bCs/>
          <w:sz w:val="24"/>
          <w:lang w:val="en-GB" w:eastAsia="zh-CN"/>
        </w:rPr>
        <w:t>340</w:t>
      </w:r>
      <w:r w:rsidRPr="00A82775">
        <w:rPr>
          <w:rFonts w:hint="eastAsia"/>
          <w:b/>
          <w:bCs/>
          <w:sz w:val="24"/>
          <w:lang w:val="en-GB" w:eastAsia="zh-CN"/>
        </w:rPr>
        <w:t>项承诺</w:t>
      </w:r>
      <w:r w:rsidRPr="00A82775">
        <w:rPr>
          <w:rFonts w:hint="eastAsia"/>
          <w:sz w:val="24"/>
          <w:lang w:val="en-GB" w:eastAsia="zh-CN"/>
        </w:rPr>
        <w:t>，并有</w:t>
      </w:r>
      <w:r w:rsidRPr="00A82775">
        <w:rPr>
          <w:rFonts w:hint="eastAsia"/>
          <w:b/>
          <w:bCs/>
          <w:sz w:val="24"/>
          <w:lang w:val="en-GB" w:eastAsia="zh-CN"/>
        </w:rPr>
        <w:t>766</w:t>
      </w:r>
      <w:r w:rsidRPr="00A82775">
        <w:rPr>
          <w:rFonts w:hint="eastAsia"/>
          <w:b/>
          <w:bCs/>
          <w:sz w:val="24"/>
          <w:lang w:val="en-GB" w:eastAsia="zh-CN"/>
        </w:rPr>
        <w:t>项记录在案的行动</w:t>
      </w:r>
      <w:r w:rsidRPr="00A82775">
        <w:rPr>
          <w:rFonts w:hint="eastAsia"/>
          <w:sz w:val="24"/>
          <w:lang w:val="en-GB" w:eastAsia="zh-CN"/>
        </w:rPr>
        <w:t>予以支持，这表明城市不仅承诺保护自然，而且还通过实地执行加以落实。这些努力直接助力</w:t>
      </w:r>
      <w:r w:rsidRPr="00A82775">
        <w:rPr>
          <w:rFonts w:hint="eastAsia"/>
          <w:b/>
          <w:bCs/>
          <w:sz w:val="24"/>
          <w:lang w:val="en-GB" w:eastAsia="zh-CN"/>
        </w:rPr>
        <w:t>八项可持续发展目标</w:t>
      </w:r>
      <w:r w:rsidRPr="00A82775">
        <w:rPr>
          <w:rFonts w:hint="eastAsia"/>
          <w:sz w:val="24"/>
          <w:lang w:val="en-GB" w:eastAsia="zh-CN"/>
        </w:rPr>
        <w:t>和</w:t>
      </w:r>
      <w:r w:rsidRPr="00A82775">
        <w:rPr>
          <w:rFonts w:hint="eastAsia"/>
          <w:b/>
          <w:bCs/>
          <w:sz w:val="24"/>
          <w:lang w:val="en-GB" w:eastAsia="zh-CN"/>
        </w:rPr>
        <w:t>八项全球生物多样性框架（</w:t>
      </w:r>
      <w:r w:rsidRPr="00A82775">
        <w:rPr>
          <w:rFonts w:hint="eastAsia"/>
          <w:b/>
          <w:bCs/>
          <w:sz w:val="24"/>
          <w:lang w:val="en-GB" w:eastAsia="zh-CN"/>
        </w:rPr>
        <w:t>GBF</w:t>
      </w:r>
      <w:r w:rsidRPr="00A82775">
        <w:rPr>
          <w:rFonts w:hint="eastAsia"/>
          <w:b/>
          <w:bCs/>
          <w:sz w:val="24"/>
          <w:lang w:val="en-GB" w:eastAsia="zh-CN"/>
        </w:rPr>
        <w:t>）行动目标</w:t>
      </w:r>
      <w:r w:rsidRPr="00A82775">
        <w:rPr>
          <w:rFonts w:hint="eastAsia"/>
          <w:sz w:val="24"/>
          <w:lang w:val="en-GB" w:eastAsia="zh-CN"/>
        </w:rPr>
        <w:t>，包括行动目标</w:t>
      </w:r>
      <w:r w:rsidRPr="00A82775">
        <w:rPr>
          <w:rFonts w:hint="eastAsia"/>
          <w:sz w:val="24"/>
          <w:lang w:val="en-GB" w:eastAsia="zh-CN"/>
        </w:rPr>
        <w:t>1</w:t>
      </w:r>
      <w:r w:rsidRPr="00A82775">
        <w:rPr>
          <w:rFonts w:hint="eastAsia"/>
          <w:sz w:val="24"/>
          <w:lang w:val="en-GB" w:eastAsia="zh-CN"/>
        </w:rPr>
        <w:t>、</w:t>
      </w:r>
      <w:r w:rsidRPr="00A82775">
        <w:rPr>
          <w:rFonts w:hint="eastAsia"/>
          <w:sz w:val="24"/>
          <w:lang w:val="en-GB" w:eastAsia="zh-CN"/>
        </w:rPr>
        <w:t>2</w:t>
      </w:r>
      <w:r w:rsidRPr="00A82775">
        <w:rPr>
          <w:rFonts w:hint="eastAsia"/>
          <w:sz w:val="24"/>
          <w:lang w:val="en-GB" w:eastAsia="zh-CN"/>
        </w:rPr>
        <w:t>、</w:t>
      </w:r>
      <w:r w:rsidRPr="00A82775">
        <w:rPr>
          <w:rFonts w:hint="eastAsia"/>
          <w:sz w:val="24"/>
          <w:lang w:val="en-GB" w:eastAsia="zh-CN"/>
        </w:rPr>
        <w:t>3</w:t>
      </w:r>
      <w:r w:rsidRPr="00A82775">
        <w:rPr>
          <w:rFonts w:hint="eastAsia"/>
          <w:sz w:val="24"/>
          <w:lang w:val="en-GB" w:eastAsia="zh-CN"/>
        </w:rPr>
        <w:t>、</w:t>
      </w:r>
      <w:r w:rsidRPr="00A82775">
        <w:rPr>
          <w:rFonts w:hint="eastAsia"/>
          <w:sz w:val="24"/>
          <w:lang w:val="en-GB" w:eastAsia="zh-CN"/>
        </w:rPr>
        <w:t>4</w:t>
      </w:r>
      <w:r w:rsidRPr="00A82775">
        <w:rPr>
          <w:rFonts w:hint="eastAsia"/>
          <w:sz w:val="24"/>
          <w:lang w:val="en-GB" w:eastAsia="zh-CN"/>
        </w:rPr>
        <w:t>、</w:t>
      </w:r>
      <w:r w:rsidRPr="00A82775">
        <w:rPr>
          <w:rFonts w:hint="eastAsia"/>
          <w:sz w:val="24"/>
          <w:lang w:val="en-GB" w:eastAsia="zh-CN"/>
        </w:rPr>
        <w:t>5</w:t>
      </w:r>
      <w:r w:rsidRPr="00A82775">
        <w:rPr>
          <w:rFonts w:hint="eastAsia"/>
          <w:sz w:val="24"/>
          <w:lang w:val="en-GB" w:eastAsia="zh-CN"/>
        </w:rPr>
        <w:t>、</w:t>
      </w:r>
      <w:r w:rsidRPr="00A82775">
        <w:rPr>
          <w:rFonts w:hint="eastAsia"/>
          <w:sz w:val="24"/>
          <w:lang w:val="en-GB" w:eastAsia="zh-CN"/>
        </w:rPr>
        <w:t>6</w:t>
      </w:r>
      <w:r w:rsidRPr="00A82775">
        <w:rPr>
          <w:rFonts w:hint="eastAsia"/>
          <w:sz w:val="24"/>
          <w:lang w:val="en-GB" w:eastAsia="zh-CN"/>
        </w:rPr>
        <w:t>、</w:t>
      </w:r>
      <w:r w:rsidRPr="00A82775">
        <w:rPr>
          <w:rFonts w:hint="eastAsia"/>
          <w:sz w:val="24"/>
          <w:lang w:val="en-GB" w:eastAsia="zh-CN"/>
        </w:rPr>
        <w:t>7</w:t>
      </w:r>
      <w:r w:rsidRPr="00A82775">
        <w:rPr>
          <w:rFonts w:hint="eastAsia"/>
          <w:sz w:val="24"/>
          <w:lang w:val="en-GB" w:eastAsia="zh-CN"/>
        </w:rPr>
        <w:t>和</w:t>
      </w:r>
      <w:r w:rsidRPr="00A82775">
        <w:rPr>
          <w:rFonts w:hint="eastAsia"/>
          <w:sz w:val="24"/>
          <w:lang w:val="en-GB" w:eastAsia="zh-CN"/>
        </w:rPr>
        <w:t>8</w:t>
      </w:r>
      <w:r w:rsidRPr="00A82775">
        <w:rPr>
          <w:rFonts w:hint="eastAsia"/>
          <w:sz w:val="24"/>
          <w:lang w:val="en-GB" w:eastAsia="zh-CN"/>
        </w:rPr>
        <w:t>，凸显了地方行动与全球生物多样性雄心一致。</w:t>
      </w:r>
    </w:p>
    <w:p w14:paraId="16C85006" w14:textId="77777777" w:rsidR="00810DB7" w:rsidRPr="00AC4BAD" w:rsidRDefault="00810DB7" w:rsidP="004772E2">
      <w:pPr>
        <w:pStyle w:val="CBDH2"/>
        <w:keepNext w:val="0"/>
        <w:keepLines w:val="0"/>
        <w:spacing w:after="120"/>
        <w:ind w:left="562" w:hanging="562"/>
        <w:rPr>
          <w:lang w:val="en-GB" w:eastAsia="zh-CN"/>
        </w:rPr>
      </w:pPr>
      <w:r w:rsidRPr="00AC4BAD">
        <w:rPr>
          <w:rFonts w:hint="eastAsia"/>
          <w:lang w:val="en-GB" w:eastAsia="zh-CN"/>
        </w:rPr>
        <w:t>4.2.</w:t>
      </w:r>
      <w:r w:rsidRPr="00AC4BAD">
        <w:rPr>
          <w:rFonts w:hint="eastAsia"/>
          <w:lang w:val="en-GB" w:eastAsia="zh-CN"/>
        </w:rPr>
        <w:tab/>
      </w:r>
      <w:bookmarkStart w:id="7" w:name="OLE_LINK21"/>
      <w:r w:rsidRPr="00AC4BAD">
        <w:rPr>
          <w:rFonts w:hint="eastAsia"/>
          <w:lang w:val="en-GB" w:eastAsia="zh-CN"/>
        </w:rPr>
        <w:t>可持续利用自然</w:t>
      </w:r>
      <w:bookmarkEnd w:id="7"/>
    </w:p>
    <w:p w14:paraId="1DB2C72E" w14:textId="77777777" w:rsidR="00810DB7" w:rsidRPr="00A82775" w:rsidRDefault="00810DB7" w:rsidP="00E52FA3">
      <w:pPr>
        <w:pStyle w:val="CBDNormalNoNumber"/>
        <w:rPr>
          <w:sz w:val="24"/>
          <w:lang w:val="en-GB" w:eastAsia="zh-CN"/>
        </w:rPr>
      </w:pPr>
      <w:r w:rsidRPr="0039298F">
        <w:rPr>
          <w:rFonts w:ascii="KaiTi" w:eastAsia="KaiTi" w:hAnsi="KaiTi" w:hint="eastAsia"/>
          <w:sz w:val="24"/>
          <w:lang w:val="en-GB" w:eastAsia="zh-CN"/>
        </w:rPr>
        <w:t>可持续利用自然</w:t>
      </w:r>
      <w:r w:rsidRPr="00A82775">
        <w:rPr>
          <w:rFonts w:hint="eastAsia"/>
          <w:sz w:val="24"/>
          <w:lang w:val="en-GB" w:eastAsia="zh-CN"/>
        </w:rPr>
        <w:t>行动领域强调了城市如何通过确保以负责任、公平和有利于社区福祉的方式利用自然资源，将生物多样性融入日常城市生活。在该类别中，城市作出了</w:t>
      </w:r>
      <w:r w:rsidRPr="00A82775">
        <w:rPr>
          <w:rFonts w:hint="eastAsia"/>
          <w:b/>
          <w:bCs/>
          <w:sz w:val="24"/>
          <w:lang w:val="en-GB" w:eastAsia="zh-CN"/>
        </w:rPr>
        <w:t>142</w:t>
      </w:r>
      <w:r w:rsidRPr="00A82775">
        <w:rPr>
          <w:rFonts w:hint="eastAsia"/>
          <w:b/>
          <w:bCs/>
          <w:sz w:val="24"/>
          <w:lang w:val="en-GB" w:eastAsia="zh-CN"/>
        </w:rPr>
        <w:t>项承诺</w:t>
      </w:r>
      <w:r w:rsidRPr="00A82775">
        <w:rPr>
          <w:rFonts w:hint="eastAsia"/>
          <w:sz w:val="24"/>
          <w:lang w:val="en-GB" w:eastAsia="zh-CN"/>
        </w:rPr>
        <w:t>，并有</w:t>
      </w:r>
      <w:r w:rsidRPr="00A82775">
        <w:rPr>
          <w:rFonts w:hint="eastAsia"/>
          <w:b/>
          <w:bCs/>
          <w:sz w:val="24"/>
          <w:lang w:val="en-GB" w:eastAsia="zh-CN"/>
        </w:rPr>
        <w:t>156</w:t>
      </w:r>
      <w:r w:rsidRPr="00A82775">
        <w:rPr>
          <w:rFonts w:hint="eastAsia"/>
          <w:b/>
          <w:bCs/>
          <w:sz w:val="24"/>
          <w:lang w:val="en-GB" w:eastAsia="zh-CN"/>
        </w:rPr>
        <w:t>项记录在案的行动</w:t>
      </w:r>
      <w:r w:rsidRPr="00A82775">
        <w:rPr>
          <w:rFonts w:hint="eastAsia"/>
          <w:sz w:val="24"/>
          <w:lang w:val="en-GB" w:eastAsia="zh-CN"/>
        </w:rPr>
        <w:t>予以支持，这展现了在将可持续做法纳入城市系统方面取得的切实进展。这些行动与</w:t>
      </w:r>
      <w:r w:rsidRPr="00A82775">
        <w:rPr>
          <w:rFonts w:hint="eastAsia"/>
          <w:b/>
          <w:bCs/>
          <w:sz w:val="24"/>
          <w:lang w:val="en-GB" w:eastAsia="zh-CN"/>
        </w:rPr>
        <w:t>五项可持续发展目标</w:t>
      </w:r>
      <w:r w:rsidRPr="00A82775">
        <w:rPr>
          <w:rFonts w:hint="eastAsia"/>
          <w:sz w:val="24"/>
          <w:lang w:val="en-GB" w:eastAsia="zh-CN"/>
        </w:rPr>
        <w:t>保持一致，并助力</w:t>
      </w:r>
      <w:r w:rsidRPr="00A82775">
        <w:rPr>
          <w:rFonts w:hint="eastAsia"/>
          <w:b/>
          <w:bCs/>
          <w:sz w:val="24"/>
          <w:lang w:val="en-GB" w:eastAsia="zh-CN"/>
        </w:rPr>
        <w:t>全球生物多样性框架的四项行动目标</w:t>
      </w:r>
      <w:r w:rsidRPr="00A82775">
        <w:rPr>
          <w:rFonts w:hint="eastAsia"/>
          <w:sz w:val="24"/>
          <w:lang w:val="en-GB" w:eastAsia="zh-CN"/>
        </w:rPr>
        <w:t>，包括行动目标</w:t>
      </w:r>
      <w:r w:rsidRPr="00A82775">
        <w:rPr>
          <w:rFonts w:hint="eastAsia"/>
          <w:sz w:val="24"/>
          <w:lang w:val="en-GB" w:eastAsia="zh-CN"/>
        </w:rPr>
        <w:t>9</w:t>
      </w:r>
      <w:r w:rsidRPr="00A82775">
        <w:rPr>
          <w:rFonts w:hint="eastAsia"/>
          <w:sz w:val="24"/>
          <w:lang w:val="en-GB" w:eastAsia="zh-CN"/>
        </w:rPr>
        <w:t>、</w:t>
      </w:r>
      <w:r w:rsidRPr="00A82775">
        <w:rPr>
          <w:rFonts w:hint="eastAsia"/>
          <w:sz w:val="24"/>
          <w:lang w:val="en-GB" w:eastAsia="zh-CN"/>
        </w:rPr>
        <w:t>10</w:t>
      </w:r>
      <w:r w:rsidRPr="00A82775">
        <w:rPr>
          <w:rFonts w:hint="eastAsia"/>
          <w:sz w:val="24"/>
          <w:lang w:val="en-GB" w:eastAsia="zh-CN"/>
        </w:rPr>
        <w:t>、</w:t>
      </w:r>
      <w:r w:rsidRPr="00A82775">
        <w:rPr>
          <w:rFonts w:hint="eastAsia"/>
          <w:sz w:val="24"/>
          <w:lang w:val="en-GB" w:eastAsia="zh-CN"/>
        </w:rPr>
        <w:t>11</w:t>
      </w:r>
      <w:r w:rsidRPr="00A82775">
        <w:rPr>
          <w:rFonts w:hint="eastAsia"/>
          <w:sz w:val="24"/>
          <w:lang w:val="en-GB" w:eastAsia="zh-CN"/>
        </w:rPr>
        <w:t>和</w:t>
      </w:r>
      <w:r w:rsidRPr="00A82775">
        <w:rPr>
          <w:rFonts w:hint="eastAsia"/>
          <w:sz w:val="24"/>
          <w:lang w:val="en-GB" w:eastAsia="zh-CN"/>
        </w:rPr>
        <w:t>12</w:t>
      </w:r>
      <w:r w:rsidRPr="00A82775">
        <w:rPr>
          <w:rFonts w:hint="eastAsia"/>
          <w:sz w:val="24"/>
          <w:lang w:val="en-GB" w:eastAsia="zh-CN"/>
        </w:rPr>
        <w:t>，反映了地方倡议与全球可持续性目标之间的高度契合。</w:t>
      </w:r>
    </w:p>
    <w:p w14:paraId="6E8FF0BF" w14:textId="77777777" w:rsidR="00810DB7" w:rsidRPr="00AC4BAD" w:rsidRDefault="00810DB7" w:rsidP="00E52FA3">
      <w:pPr>
        <w:pStyle w:val="CBDH2"/>
        <w:spacing w:after="120"/>
        <w:rPr>
          <w:lang w:val="en-GB" w:eastAsia="zh-CN"/>
        </w:rPr>
      </w:pPr>
      <w:r w:rsidRPr="00AC4BAD">
        <w:rPr>
          <w:rFonts w:hint="eastAsia"/>
          <w:lang w:val="en-GB" w:eastAsia="zh-CN"/>
        </w:rPr>
        <w:t>4.3.</w:t>
      </w:r>
      <w:r w:rsidRPr="00AC4BAD">
        <w:rPr>
          <w:rFonts w:hint="eastAsia"/>
          <w:lang w:val="en-GB" w:eastAsia="zh-CN"/>
        </w:rPr>
        <w:tab/>
      </w:r>
      <w:r w:rsidRPr="00AC4BAD">
        <w:rPr>
          <w:rFonts w:hint="eastAsia"/>
          <w:lang w:val="en-GB" w:eastAsia="zh-CN"/>
        </w:rPr>
        <w:t>开发工具与解决方案</w:t>
      </w:r>
    </w:p>
    <w:p w14:paraId="2313C2B4" w14:textId="77777777" w:rsidR="00810DB7" w:rsidRPr="00A82775" w:rsidRDefault="00810DB7" w:rsidP="00E52FA3">
      <w:pPr>
        <w:pStyle w:val="CBDNormalNoNumber"/>
        <w:rPr>
          <w:sz w:val="24"/>
          <w:lang w:val="en-GB" w:eastAsia="zh-CN"/>
        </w:rPr>
      </w:pPr>
      <w:r w:rsidRPr="0039298F">
        <w:rPr>
          <w:rFonts w:ascii="KaiTi" w:eastAsia="KaiTi" w:hAnsi="KaiTi" w:hint="eastAsia"/>
          <w:sz w:val="24"/>
          <w:lang w:val="en-GB" w:eastAsia="zh-CN"/>
        </w:rPr>
        <w:t>开发工具与解决方案</w:t>
      </w:r>
      <w:r w:rsidRPr="00A82775">
        <w:rPr>
          <w:rFonts w:hint="eastAsia"/>
          <w:sz w:val="24"/>
          <w:lang w:val="en-GB" w:eastAsia="zh-CN"/>
        </w:rPr>
        <w:t>行动领域反映了城市日益着力于加强有效开展生物多样性行动所需的扶持性条件。迄今与会城市已作出</w:t>
      </w:r>
      <w:r w:rsidRPr="00A82775">
        <w:rPr>
          <w:rFonts w:hint="eastAsia"/>
          <w:b/>
          <w:bCs/>
          <w:sz w:val="24"/>
          <w:lang w:val="en-GB" w:eastAsia="zh-CN"/>
        </w:rPr>
        <w:t>229</w:t>
      </w:r>
      <w:r w:rsidRPr="00A82775">
        <w:rPr>
          <w:rFonts w:hint="eastAsia"/>
          <w:b/>
          <w:bCs/>
          <w:sz w:val="24"/>
          <w:lang w:val="en-GB" w:eastAsia="zh-CN"/>
        </w:rPr>
        <w:t>项承诺</w:t>
      </w:r>
      <w:r w:rsidRPr="00A82775">
        <w:rPr>
          <w:rFonts w:hint="eastAsia"/>
          <w:sz w:val="24"/>
          <w:lang w:val="en-GB" w:eastAsia="zh-CN"/>
        </w:rPr>
        <w:t>，并有</w:t>
      </w:r>
      <w:r w:rsidRPr="00A82775">
        <w:rPr>
          <w:rFonts w:hint="eastAsia"/>
          <w:b/>
          <w:bCs/>
          <w:sz w:val="24"/>
          <w:lang w:val="en-GB" w:eastAsia="zh-CN"/>
        </w:rPr>
        <w:t>340</w:t>
      </w:r>
      <w:r w:rsidRPr="00A82775">
        <w:rPr>
          <w:rFonts w:hint="eastAsia"/>
          <w:b/>
          <w:bCs/>
          <w:sz w:val="24"/>
          <w:lang w:val="en-GB" w:eastAsia="zh-CN"/>
        </w:rPr>
        <w:t>项记录在案的行动</w:t>
      </w:r>
      <w:r w:rsidRPr="00A82775">
        <w:rPr>
          <w:rFonts w:hint="eastAsia"/>
          <w:sz w:val="24"/>
          <w:lang w:val="en-GB" w:eastAsia="zh-CN"/>
        </w:rPr>
        <w:t>予以支持，表明其明确侧重于构建实现全球生物多样性目标所需的治理框架、知识体系和财务机制。这些努力助力</w:t>
      </w:r>
      <w:r w:rsidRPr="00A82775">
        <w:rPr>
          <w:rFonts w:hint="eastAsia"/>
          <w:b/>
          <w:bCs/>
          <w:sz w:val="24"/>
          <w:lang w:val="en-GB" w:eastAsia="zh-CN"/>
        </w:rPr>
        <w:t>12</w:t>
      </w:r>
      <w:r w:rsidRPr="00A82775">
        <w:rPr>
          <w:rFonts w:hint="eastAsia"/>
          <w:b/>
          <w:bCs/>
          <w:sz w:val="24"/>
          <w:lang w:val="en-GB" w:eastAsia="zh-CN"/>
        </w:rPr>
        <w:t>项可持续发展目标</w:t>
      </w:r>
      <w:r w:rsidRPr="00A82775">
        <w:rPr>
          <w:rFonts w:hint="eastAsia"/>
          <w:sz w:val="24"/>
          <w:lang w:val="en-GB" w:eastAsia="zh-CN"/>
        </w:rPr>
        <w:t>，并与</w:t>
      </w:r>
      <w:r w:rsidRPr="00A82775">
        <w:rPr>
          <w:rFonts w:hint="eastAsia"/>
          <w:b/>
          <w:bCs/>
          <w:sz w:val="24"/>
          <w:lang w:val="en-GB" w:eastAsia="zh-CN"/>
        </w:rPr>
        <w:t>九项全球生物多样性框架行动目标</w:t>
      </w:r>
      <w:r w:rsidRPr="00A82775">
        <w:rPr>
          <w:rFonts w:hint="eastAsia"/>
          <w:sz w:val="24"/>
          <w:lang w:val="en-GB" w:eastAsia="zh-CN"/>
        </w:rPr>
        <w:t>保持一致，包括行动目标</w:t>
      </w:r>
      <w:r w:rsidRPr="00A82775">
        <w:rPr>
          <w:rFonts w:hint="eastAsia"/>
          <w:sz w:val="24"/>
          <w:lang w:val="en-GB" w:eastAsia="zh-CN"/>
        </w:rPr>
        <w:t>13</w:t>
      </w:r>
      <w:r w:rsidRPr="00A82775">
        <w:rPr>
          <w:rFonts w:hint="eastAsia"/>
          <w:sz w:val="24"/>
          <w:lang w:val="en-GB" w:eastAsia="zh-CN"/>
        </w:rPr>
        <w:t>、</w:t>
      </w:r>
      <w:r w:rsidRPr="00A82775">
        <w:rPr>
          <w:rFonts w:hint="eastAsia"/>
          <w:sz w:val="24"/>
          <w:lang w:val="en-GB" w:eastAsia="zh-CN"/>
        </w:rPr>
        <w:t>14</w:t>
      </w:r>
      <w:r w:rsidRPr="00A82775">
        <w:rPr>
          <w:rFonts w:hint="eastAsia"/>
          <w:sz w:val="24"/>
          <w:lang w:val="en-GB" w:eastAsia="zh-CN"/>
        </w:rPr>
        <w:t>、</w:t>
      </w:r>
      <w:r w:rsidRPr="00A82775">
        <w:rPr>
          <w:rFonts w:hint="eastAsia"/>
          <w:sz w:val="24"/>
          <w:lang w:val="en-GB" w:eastAsia="zh-CN"/>
        </w:rPr>
        <w:t>15</w:t>
      </w:r>
      <w:r w:rsidRPr="00A82775">
        <w:rPr>
          <w:rFonts w:hint="eastAsia"/>
          <w:sz w:val="24"/>
          <w:lang w:val="en-GB" w:eastAsia="zh-CN"/>
        </w:rPr>
        <w:t>、</w:t>
      </w:r>
      <w:r w:rsidRPr="00A82775">
        <w:rPr>
          <w:rFonts w:hint="eastAsia"/>
          <w:sz w:val="24"/>
          <w:lang w:val="en-GB" w:eastAsia="zh-CN"/>
        </w:rPr>
        <w:t>16</w:t>
      </w:r>
      <w:r w:rsidRPr="00A82775">
        <w:rPr>
          <w:rFonts w:hint="eastAsia"/>
          <w:sz w:val="24"/>
          <w:lang w:val="en-GB" w:eastAsia="zh-CN"/>
        </w:rPr>
        <w:t>、</w:t>
      </w:r>
      <w:r w:rsidRPr="00A82775">
        <w:rPr>
          <w:rFonts w:hint="eastAsia"/>
          <w:sz w:val="24"/>
          <w:lang w:val="en-GB" w:eastAsia="zh-CN"/>
        </w:rPr>
        <w:t>18</w:t>
      </w:r>
      <w:r w:rsidRPr="00A82775">
        <w:rPr>
          <w:rFonts w:hint="eastAsia"/>
          <w:sz w:val="24"/>
          <w:lang w:val="en-GB" w:eastAsia="zh-CN"/>
        </w:rPr>
        <w:t>、</w:t>
      </w:r>
      <w:r w:rsidRPr="00A82775">
        <w:rPr>
          <w:rFonts w:hint="eastAsia"/>
          <w:sz w:val="24"/>
          <w:lang w:val="en-GB" w:eastAsia="zh-CN"/>
        </w:rPr>
        <w:t>19</w:t>
      </w:r>
      <w:r w:rsidRPr="00A82775">
        <w:rPr>
          <w:rFonts w:hint="eastAsia"/>
          <w:sz w:val="24"/>
          <w:lang w:val="en-GB" w:eastAsia="zh-CN"/>
        </w:rPr>
        <w:t>、</w:t>
      </w:r>
      <w:r w:rsidRPr="00A82775">
        <w:rPr>
          <w:rFonts w:hint="eastAsia"/>
          <w:sz w:val="24"/>
          <w:lang w:val="en-GB" w:eastAsia="zh-CN"/>
        </w:rPr>
        <w:t>20</w:t>
      </w:r>
      <w:r w:rsidRPr="00A82775">
        <w:rPr>
          <w:rFonts w:hint="eastAsia"/>
          <w:sz w:val="24"/>
          <w:lang w:val="en-GB" w:eastAsia="zh-CN"/>
        </w:rPr>
        <w:t>、</w:t>
      </w:r>
      <w:r w:rsidRPr="00A82775">
        <w:rPr>
          <w:rFonts w:hint="eastAsia"/>
          <w:sz w:val="24"/>
          <w:lang w:val="en-GB" w:eastAsia="zh-CN"/>
        </w:rPr>
        <w:t>21</w:t>
      </w:r>
      <w:r w:rsidRPr="00A82775">
        <w:rPr>
          <w:rFonts w:hint="eastAsia"/>
          <w:sz w:val="24"/>
          <w:lang w:val="en-GB" w:eastAsia="zh-CN"/>
        </w:rPr>
        <w:t>和</w:t>
      </w:r>
      <w:r w:rsidRPr="00A82775">
        <w:rPr>
          <w:rFonts w:hint="eastAsia"/>
          <w:sz w:val="24"/>
          <w:lang w:val="en-GB" w:eastAsia="zh-CN"/>
        </w:rPr>
        <w:t>22</w:t>
      </w:r>
      <w:r w:rsidRPr="00A82775">
        <w:rPr>
          <w:rFonts w:hint="eastAsia"/>
          <w:sz w:val="24"/>
          <w:lang w:val="en-GB" w:eastAsia="zh-CN"/>
        </w:rPr>
        <w:t>，凸显了这一行动领域的跨领域性质。</w:t>
      </w:r>
    </w:p>
    <w:p w14:paraId="48213BD9" w14:textId="3F9EBF9F" w:rsidR="00810DB7" w:rsidRPr="00A82775" w:rsidRDefault="00810DB7" w:rsidP="00E52FA3">
      <w:pPr>
        <w:pStyle w:val="CBDNormalNoNumber"/>
        <w:rPr>
          <w:sz w:val="24"/>
          <w:lang w:val="en-GB" w:eastAsia="zh-CN"/>
        </w:rPr>
      </w:pPr>
      <w:r w:rsidRPr="00A82775">
        <w:rPr>
          <w:rFonts w:hint="eastAsia"/>
          <w:sz w:val="24"/>
          <w:lang w:val="en-GB" w:eastAsia="zh-CN"/>
        </w:rPr>
        <w:t>城市自然和区域自然平台中的承诺已被纳入</w:t>
      </w:r>
      <w:r w:rsidR="009A62C0">
        <w:rPr>
          <w:rFonts w:hint="eastAsia"/>
          <w:sz w:val="24"/>
          <w:lang w:val="en-GB" w:eastAsia="zh-CN"/>
        </w:rPr>
        <w:t>生物多样性公约</w:t>
      </w:r>
      <w:r w:rsidRPr="00A82775">
        <w:rPr>
          <w:rFonts w:hint="eastAsia"/>
          <w:sz w:val="24"/>
          <w:lang w:val="en-GB" w:eastAsia="zh-CN"/>
        </w:rPr>
        <w:t>信息交换所机制，以便将城市和</w:t>
      </w:r>
      <w:r w:rsidR="00C11749" w:rsidRPr="00A82775">
        <w:rPr>
          <w:rFonts w:hint="eastAsia"/>
          <w:sz w:val="24"/>
          <w:lang w:val="en-GB" w:eastAsia="zh-CN"/>
        </w:rPr>
        <w:t>区域</w:t>
      </w:r>
      <w:r w:rsidRPr="00A82775">
        <w:rPr>
          <w:rFonts w:hint="eastAsia"/>
          <w:sz w:val="24"/>
          <w:lang w:val="en-GB" w:eastAsia="zh-CN"/>
        </w:rPr>
        <w:t>的进展纳入全球审查进程。</w:t>
      </w:r>
    </w:p>
    <w:p w14:paraId="3E01C01C" w14:textId="77777777" w:rsidR="00810DB7" w:rsidRPr="00AC4BAD" w:rsidRDefault="00810DB7" w:rsidP="00E52FA3">
      <w:pPr>
        <w:pStyle w:val="CBDH1"/>
        <w:spacing w:before="0"/>
        <w:rPr>
          <w:lang w:eastAsia="zh-CN"/>
        </w:rPr>
      </w:pPr>
      <w:r w:rsidRPr="00AC4BAD">
        <w:rPr>
          <w:rFonts w:hint="eastAsia"/>
          <w:lang w:eastAsia="zh-CN"/>
        </w:rPr>
        <w:t>5.</w:t>
      </w:r>
      <w:r w:rsidRPr="00AC4BAD">
        <w:rPr>
          <w:rFonts w:hint="eastAsia"/>
          <w:lang w:eastAsia="zh-CN"/>
        </w:rPr>
        <w:tab/>
      </w:r>
      <w:r w:rsidRPr="00AC4BAD">
        <w:rPr>
          <w:rFonts w:hint="eastAsia"/>
          <w:lang w:eastAsia="zh-CN"/>
        </w:rPr>
        <w:t>迈向</w:t>
      </w:r>
      <w:r w:rsidRPr="00AC4BAD">
        <w:rPr>
          <w:rFonts w:hint="eastAsia"/>
          <w:lang w:eastAsia="zh-CN"/>
        </w:rPr>
        <w:t>2030</w:t>
      </w:r>
      <w:r w:rsidRPr="00AC4BAD">
        <w:rPr>
          <w:rFonts w:hint="eastAsia"/>
          <w:lang w:eastAsia="zh-CN"/>
        </w:rPr>
        <w:t>年的前进之路</w:t>
      </w:r>
    </w:p>
    <w:p w14:paraId="6433C890" w14:textId="780C6500" w:rsidR="00810DB7" w:rsidRDefault="00810DB7" w:rsidP="00E52FA3">
      <w:pPr>
        <w:pStyle w:val="CBDNormalNoNumber"/>
        <w:rPr>
          <w:sz w:val="24"/>
          <w:lang w:val="en-GB" w:eastAsia="zh-CN"/>
        </w:rPr>
      </w:pPr>
      <w:r w:rsidRPr="00A82775">
        <w:rPr>
          <w:rFonts w:hint="eastAsia"/>
          <w:sz w:val="24"/>
          <w:lang w:val="en-GB" w:eastAsia="zh-CN"/>
        </w:rPr>
        <w:t>尽管城市和</w:t>
      </w:r>
      <w:r w:rsidR="00C11749" w:rsidRPr="00A82775">
        <w:rPr>
          <w:rFonts w:hint="eastAsia"/>
          <w:sz w:val="24"/>
          <w:lang w:val="en-GB" w:eastAsia="zh-CN"/>
        </w:rPr>
        <w:t>区域</w:t>
      </w:r>
      <w:r w:rsidRPr="00A82775">
        <w:rPr>
          <w:rFonts w:hint="eastAsia"/>
          <w:sz w:val="24"/>
          <w:lang w:val="en-GB" w:eastAsia="zh-CN"/>
        </w:rPr>
        <w:t>日益调动资源是一项重大成就，但目前的执行速度仍然不足。</w:t>
      </w:r>
      <w:r w:rsidRPr="00A82775">
        <w:rPr>
          <w:rFonts w:hint="eastAsia"/>
          <w:b/>
          <w:bCs/>
          <w:sz w:val="24"/>
          <w:lang w:val="en-GB" w:eastAsia="zh-CN"/>
        </w:rPr>
        <w:t>各级政府都必须提高雄心</w:t>
      </w:r>
      <w:r w:rsidRPr="00A82775">
        <w:rPr>
          <w:rFonts w:hint="eastAsia"/>
          <w:sz w:val="24"/>
          <w:lang w:val="en-GB" w:eastAsia="zh-CN"/>
        </w:rPr>
        <w:t>，迄今形成的势头必须转化为更深入、更迅速和更协调的实地行动。根据</w:t>
      </w:r>
      <w:r w:rsidR="00F41034" w:rsidRPr="00A82775">
        <w:rPr>
          <w:rFonts w:hint="eastAsia"/>
          <w:sz w:val="24"/>
          <w:lang w:val="en-GB" w:eastAsia="zh-CN"/>
        </w:rPr>
        <w:t>生物多样性公约</w:t>
      </w:r>
      <w:r w:rsidRPr="00A82775">
        <w:rPr>
          <w:rFonts w:hint="eastAsia"/>
          <w:sz w:val="24"/>
          <w:lang w:val="en-GB" w:eastAsia="zh-CN"/>
        </w:rPr>
        <w:t>第</w:t>
      </w:r>
      <w:r w:rsidRPr="00A82775">
        <w:rPr>
          <w:sz w:val="24"/>
          <w:lang w:val="en-GB" w:eastAsia="zh-CN"/>
        </w:rPr>
        <w:t>15/12</w:t>
      </w:r>
      <w:r w:rsidRPr="00A82775">
        <w:rPr>
          <w:rFonts w:hint="eastAsia"/>
          <w:sz w:val="24"/>
          <w:lang w:val="en-GB" w:eastAsia="zh-CN"/>
        </w:rPr>
        <w:t>号决定《行动计划》，缔约方承诺支持和增强次国家政府、城市和地方当局作为执行全球生物多样性框架关键行为体的权能。本报告回顾了这一承诺，并强调未来一段时期是落实问责制的时期。各项框架、决定和指导意见已经到位，现在需要的是持续、紧迫和加强的行动。次国家和地方政府的承诺和行动能够增强实现</w:t>
      </w:r>
      <w:r w:rsidRPr="00A82775">
        <w:rPr>
          <w:rFonts w:hint="eastAsia"/>
          <w:sz w:val="24"/>
          <w:lang w:val="en-GB" w:eastAsia="zh-CN"/>
        </w:rPr>
        <w:t>2030</w:t>
      </w:r>
      <w:r w:rsidRPr="00A82775">
        <w:rPr>
          <w:rFonts w:hint="eastAsia"/>
          <w:sz w:val="24"/>
          <w:lang w:val="en-GB" w:eastAsia="zh-CN"/>
        </w:rPr>
        <w:t>年行动目标的可能性，但缔约方、次国家和地方政府以及关键伙伴，如地方政府可持续发展网络、地方政府网络、爱知生物多样性目标地方政府联盟和欧洲地区委员会，还需要付出更多努力来实现这一行动目标。</w:t>
      </w:r>
      <w:r w:rsidR="006E0F38">
        <w:rPr>
          <w:sz w:val="24"/>
          <w:lang w:val="en-GB" w:eastAsia="zh-CN"/>
        </w:rPr>
        <w:t xml:space="preserve"> </w:t>
      </w:r>
    </w:p>
    <w:p w14:paraId="39D6612E" w14:textId="77777777" w:rsidR="00E7300E" w:rsidRDefault="00E7300E" w:rsidP="00E52FA3">
      <w:pPr>
        <w:pStyle w:val="CBDNormalNoNumber"/>
        <w:rPr>
          <w:sz w:val="24"/>
          <w:lang w:val="en-GB" w:eastAsia="zh-CN"/>
        </w:rPr>
      </w:pPr>
    </w:p>
    <w:p w14:paraId="6B157D0D" w14:textId="326B4A8B" w:rsidR="00E7300E" w:rsidRPr="00A82775" w:rsidRDefault="00E7300E" w:rsidP="00E7300E">
      <w:pPr>
        <w:pStyle w:val="CBDNormalNoNumber"/>
        <w:jc w:val="center"/>
        <w:rPr>
          <w:sz w:val="24"/>
          <w:lang w:val="en-GB" w:eastAsia="zh-CN"/>
        </w:rPr>
      </w:pPr>
      <w:r w:rsidRPr="006656CF">
        <w:rPr>
          <w:color w:val="000000"/>
          <w:sz w:val="20"/>
          <w:szCs w:val="20"/>
          <w:lang w:val="en-GB"/>
        </w:rPr>
        <w:t>__________</w:t>
      </w:r>
    </w:p>
    <w:sectPr w:rsidR="00E7300E" w:rsidRPr="00A82775" w:rsidSect="00FE373E">
      <w:headerReference w:type="even" r:id="rId50"/>
      <w:headerReference w:type="default" r:id="rId51"/>
      <w:footerReference w:type="even" r:id="rId52"/>
      <w:footerReference w:type="default" r:id="rId5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9062E" w14:textId="77777777" w:rsidR="00065969" w:rsidRPr="00866063" w:rsidRDefault="00065969" w:rsidP="00CF1848">
      <w:r w:rsidRPr="00866063">
        <w:separator/>
      </w:r>
    </w:p>
  </w:endnote>
  <w:endnote w:type="continuationSeparator" w:id="0">
    <w:p w14:paraId="707CCEF7" w14:textId="77777777" w:rsidR="00065969" w:rsidRPr="00866063" w:rsidRDefault="0006596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111702190"/>
      <w:docPartObj>
        <w:docPartGallery w:val="Page Numbers (Bottom of Page)"/>
        <w:docPartUnique/>
      </w:docPartObj>
    </w:sdtPr>
    <w:sdtEndPr/>
    <w:sdtContent>
      <w:sdt>
        <w:sdtPr>
          <w:rPr>
            <w:sz w:val="20"/>
          </w:rPr>
          <w:id w:val="-740491752"/>
          <w:docPartObj>
            <w:docPartGallery w:val="Page Numbers (Top of Page)"/>
            <w:docPartUnique/>
          </w:docPartObj>
        </w:sdtPr>
        <w:sdtEndPr/>
        <w:sdtContent>
          <w:p w14:paraId="3C1B7081" w14:textId="77777777" w:rsidR="005F1584" w:rsidRPr="003E57A5" w:rsidRDefault="005F1584" w:rsidP="003E57A5">
            <w:pPr>
              <w:tabs>
                <w:tab w:val="center" w:pos="4680"/>
                <w:tab w:val="right" w:pos="9360"/>
              </w:tabs>
              <w:jc w:val="left"/>
              <w:rPr>
                <w:sz w:val="20"/>
              </w:rPr>
            </w:pPr>
            <w:r w:rsidRPr="003E57A5">
              <w:rPr>
                <w:sz w:val="20"/>
                <w:szCs w:val="20"/>
              </w:rPr>
              <w:fldChar w:fldCharType="begin"/>
            </w:r>
            <w:r w:rsidRPr="003E57A5">
              <w:rPr>
                <w:sz w:val="20"/>
                <w:szCs w:val="20"/>
              </w:rPr>
              <w:instrText xml:space="preserve"> PAGE </w:instrText>
            </w:r>
            <w:r w:rsidRPr="003E57A5">
              <w:rPr>
                <w:sz w:val="20"/>
                <w:szCs w:val="20"/>
              </w:rPr>
              <w:fldChar w:fldCharType="separate"/>
            </w:r>
            <w:r w:rsidRPr="003E57A5">
              <w:rPr>
                <w:sz w:val="20"/>
                <w:szCs w:val="20"/>
              </w:rPr>
              <w:t>2</w:t>
            </w:r>
            <w:r w:rsidRPr="003E57A5">
              <w:rPr>
                <w:sz w:val="20"/>
                <w:szCs w:val="20"/>
              </w:rPr>
              <w:fldChar w:fldCharType="end"/>
            </w:r>
            <w:r w:rsidRPr="003E57A5">
              <w:rPr>
                <w:sz w:val="20"/>
                <w:szCs w:val="20"/>
              </w:rPr>
              <w:t>/</w:t>
            </w:r>
            <w:r w:rsidRPr="003E57A5">
              <w:rPr>
                <w:sz w:val="20"/>
                <w:szCs w:val="20"/>
              </w:rPr>
              <w:fldChar w:fldCharType="begin"/>
            </w:r>
            <w:r w:rsidRPr="003E57A5">
              <w:rPr>
                <w:sz w:val="20"/>
                <w:szCs w:val="20"/>
              </w:rPr>
              <w:instrText xml:space="preserve"> NUMPAGES  </w:instrText>
            </w:r>
            <w:r w:rsidRPr="003E57A5">
              <w:rPr>
                <w:sz w:val="20"/>
                <w:szCs w:val="20"/>
              </w:rPr>
              <w:fldChar w:fldCharType="separate"/>
            </w:r>
            <w:r w:rsidRPr="003E57A5">
              <w:rPr>
                <w:sz w:val="20"/>
                <w:szCs w:val="20"/>
              </w:rPr>
              <w:t>14</w:t>
            </w:r>
            <w:r w:rsidRPr="003E57A5">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CE69FF2" w14:textId="77777777" w:rsidR="00D75CA6" w:rsidRPr="00233BC5" w:rsidRDefault="00D75CA6" w:rsidP="00D75CA6">
            <w:pPr>
              <w:pStyle w:val="Footer"/>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356441" w14:textId="77777777" w:rsidR="00D75CA6" w:rsidRPr="00233BC5" w:rsidRDefault="00D75CA6" w:rsidP="00E7300E">
        <w:pPr>
          <w:pStyle w:val="Footer"/>
          <w:jc w:val="right"/>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9046" w14:textId="77777777" w:rsidR="00065969" w:rsidRPr="00866063" w:rsidRDefault="00065969" w:rsidP="00CF1848">
      <w:r w:rsidRPr="00866063">
        <w:separator/>
      </w:r>
    </w:p>
  </w:footnote>
  <w:footnote w:type="continuationSeparator" w:id="0">
    <w:p w14:paraId="1EDBBEFE" w14:textId="77777777" w:rsidR="00065969" w:rsidRPr="00866063" w:rsidRDefault="00065969" w:rsidP="00CF1848">
      <w:r w:rsidRPr="00866063">
        <w:continuationSeparator/>
      </w:r>
    </w:p>
  </w:footnote>
  <w:footnote w:id="1">
    <w:p w14:paraId="521285F7" w14:textId="6EEA7492" w:rsidR="00ED162B" w:rsidRPr="00E7300E" w:rsidRDefault="00ED162B" w:rsidP="00E7300E">
      <w:pPr>
        <w:pStyle w:val="FootnoteText"/>
        <w:spacing w:after="60"/>
        <w:rPr>
          <w:sz w:val="20"/>
          <w:lang w:eastAsia="zh-CN"/>
        </w:rPr>
      </w:pPr>
      <w:hyperlink r:id="rId1" w:history="1">
        <w:r w:rsidRPr="00E7300E">
          <w:rPr>
            <w:rStyle w:val="Hyperlink"/>
            <w:sz w:val="20"/>
            <w:vertAlign w:val="superscript"/>
            <w:lang w:eastAsia="zh-CN"/>
          </w:rPr>
          <w:t>*</w:t>
        </w:r>
        <w:r w:rsidRPr="00E7300E">
          <w:rPr>
            <w:rStyle w:val="Hyperlink"/>
            <w:sz w:val="20"/>
            <w:lang w:eastAsia="zh-CN"/>
          </w:rPr>
          <w:t xml:space="preserve"> CBD/SBI/7/1</w:t>
        </w:r>
      </w:hyperlink>
      <w:r w:rsidR="001A204D" w:rsidRPr="00E7300E">
        <w:rPr>
          <w:rFonts w:hint="eastAsia"/>
          <w:sz w:val="20"/>
          <w:lang w:eastAsia="zh-CN"/>
        </w:rPr>
        <w:t>。</w:t>
      </w:r>
    </w:p>
  </w:footnote>
  <w:footnote w:id="2">
    <w:p w14:paraId="79AC4B29" w14:textId="5CDCBF9F" w:rsidR="00ED162B" w:rsidRPr="00E7300E" w:rsidRDefault="00ED162B" w:rsidP="00E7300E">
      <w:pPr>
        <w:pStyle w:val="FootnoteText"/>
        <w:spacing w:after="60"/>
        <w:rPr>
          <w:sz w:val="20"/>
          <w:lang w:val="en-CA" w:eastAsia="zh-CN"/>
        </w:rPr>
      </w:pPr>
      <w:r w:rsidRPr="00E7300E">
        <w:rPr>
          <w:rStyle w:val="FootnoteReference"/>
          <w:sz w:val="20"/>
          <w:lang w:eastAsia="zh-CN"/>
        </w:rPr>
        <w:t>**</w:t>
      </w:r>
      <w:r w:rsidR="00E7300E" w:rsidRPr="00E7300E">
        <w:rPr>
          <w:rStyle w:val="FootnoteReference"/>
          <w:rFonts w:hint="eastAsia"/>
          <w:sz w:val="20"/>
          <w:lang w:eastAsia="zh-CN"/>
        </w:rPr>
        <w:t xml:space="preserve"> </w:t>
      </w:r>
      <w:r w:rsidR="00E7300E" w:rsidRPr="00E7300E">
        <w:rPr>
          <w:rFonts w:hint="eastAsia"/>
          <w:sz w:val="20"/>
          <w:lang w:eastAsia="zh-CN"/>
        </w:rPr>
        <w:t xml:space="preserve"> </w:t>
      </w:r>
      <w:r w:rsidR="00E7300E" w:rsidRPr="00E7300E">
        <w:rPr>
          <w:rFonts w:hint="eastAsia"/>
          <w:sz w:val="20"/>
          <w:lang w:eastAsia="zh-CN"/>
        </w:rPr>
        <w:t>除</w:t>
      </w:r>
      <w:r w:rsidR="001A204D" w:rsidRPr="00E7300E">
        <w:rPr>
          <w:sz w:val="20"/>
          <w:lang w:eastAsia="zh-CN"/>
        </w:rPr>
        <w:t>第三节所载建议草案外</w:t>
      </w:r>
      <w:r w:rsidR="00E7300E" w:rsidRPr="00E7300E">
        <w:rPr>
          <w:rFonts w:hint="eastAsia"/>
          <w:sz w:val="20"/>
          <w:lang w:eastAsia="zh-CN"/>
        </w:rPr>
        <w:t>，</w:t>
      </w:r>
      <w:r w:rsidR="00E7300E" w:rsidRPr="00E7300E">
        <w:rPr>
          <w:sz w:val="20"/>
          <w:lang w:eastAsia="zh-CN"/>
        </w:rPr>
        <w:t>本文件未经正式编辑</w:t>
      </w:r>
      <w:r w:rsidR="001A204D" w:rsidRPr="00E7300E">
        <w:rPr>
          <w:sz w:val="20"/>
          <w:lang w:eastAsia="zh-CN"/>
        </w:rPr>
        <w:t>。</w:t>
      </w:r>
    </w:p>
  </w:footnote>
  <w:footnote w:id="3">
    <w:p w14:paraId="4D4B1D85" w14:textId="77777777" w:rsidR="00486C02" w:rsidRPr="00E7300E" w:rsidRDefault="00486C02" w:rsidP="00E7300E">
      <w:pPr>
        <w:pStyle w:val="FootnoteText"/>
        <w:spacing w:after="60"/>
        <w:rPr>
          <w:sz w:val="20"/>
          <w:lang w:val="en-CA"/>
        </w:rPr>
      </w:pPr>
      <w:r w:rsidRPr="00E7300E">
        <w:rPr>
          <w:rStyle w:val="FootnoteReference"/>
          <w:sz w:val="20"/>
        </w:rPr>
        <w:footnoteRef/>
      </w:r>
      <w:r w:rsidRPr="00E7300E">
        <w:rPr>
          <w:sz w:val="20"/>
          <w:lang w:val="en-CA"/>
        </w:rPr>
        <w:t xml:space="preserve"> </w:t>
      </w:r>
      <w:hyperlink r:id="rId2" w:history="1">
        <w:r w:rsidRPr="00E7300E">
          <w:rPr>
            <w:rStyle w:val="Hyperlink"/>
            <w:sz w:val="20"/>
            <w:lang w:val="en-CA"/>
          </w:rPr>
          <w:t>https://iclei.org/</w:t>
        </w:r>
      </w:hyperlink>
      <w:r w:rsidRPr="00E7300E">
        <w:rPr>
          <w:rFonts w:hint="eastAsia"/>
          <w:sz w:val="20"/>
          <w:lang w:val="en-CA" w:eastAsia="zh-CN"/>
        </w:rPr>
        <w:t>。</w:t>
      </w:r>
    </w:p>
  </w:footnote>
  <w:footnote w:id="4">
    <w:p w14:paraId="646645E2" w14:textId="66240285" w:rsidR="00486C02" w:rsidRPr="00E7300E" w:rsidRDefault="00486C02" w:rsidP="00E7300E">
      <w:pPr>
        <w:pStyle w:val="FootnoteText"/>
        <w:spacing w:after="60"/>
        <w:rPr>
          <w:sz w:val="20"/>
          <w:lang w:val="en-CA"/>
        </w:rPr>
      </w:pPr>
      <w:r w:rsidRPr="00E7300E">
        <w:rPr>
          <w:rStyle w:val="FootnoteReference"/>
          <w:sz w:val="20"/>
        </w:rPr>
        <w:footnoteRef/>
      </w:r>
      <w:r w:rsidRPr="00E7300E">
        <w:rPr>
          <w:sz w:val="20"/>
          <w:lang w:val="en-CA"/>
        </w:rPr>
        <w:t xml:space="preserve"> </w:t>
      </w:r>
      <w:hyperlink r:id="rId3" w:history="1">
        <w:r w:rsidRPr="00E7300E">
          <w:rPr>
            <w:rStyle w:val="Hyperlink"/>
            <w:sz w:val="20"/>
            <w:lang w:val="en-CA"/>
          </w:rPr>
          <w:t>https://regions4.org/</w:t>
        </w:r>
      </w:hyperlink>
      <w:r w:rsidRPr="00E7300E">
        <w:rPr>
          <w:rFonts w:hint="eastAsia"/>
          <w:sz w:val="20"/>
          <w:lang w:val="en-CA" w:eastAsia="zh-CN"/>
        </w:rPr>
        <w:t>。</w:t>
      </w:r>
    </w:p>
  </w:footnote>
  <w:footnote w:id="5">
    <w:p w14:paraId="3834952B" w14:textId="6CB7E6F4" w:rsidR="0051099D" w:rsidRPr="00E7300E" w:rsidRDefault="0051099D" w:rsidP="00E7300E">
      <w:pPr>
        <w:pStyle w:val="FootnoteText"/>
        <w:spacing w:after="60"/>
        <w:rPr>
          <w:sz w:val="20"/>
          <w:lang w:val="en-CA"/>
        </w:rPr>
      </w:pPr>
      <w:r w:rsidRPr="00E7300E">
        <w:rPr>
          <w:rStyle w:val="FootnoteReference"/>
          <w:sz w:val="20"/>
        </w:rPr>
        <w:footnoteRef/>
      </w:r>
      <w:r w:rsidRPr="00E7300E">
        <w:rPr>
          <w:sz w:val="20"/>
          <w:lang w:val="en-CA"/>
        </w:rPr>
        <w:t xml:space="preserve"> </w:t>
      </w:r>
      <w:hyperlink r:id="rId4" w:history="1">
        <w:r w:rsidRPr="00E7300E">
          <w:rPr>
            <w:rStyle w:val="Hyperlink"/>
            <w:sz w:val="20"/>
            <w:lang w:val="en-CA"/>
          </w:rPr>
          <w:t>https://citieswithnature.org/</w:t>
        </w:r>
      </w:hyperlink>
      <w:r w:rsidRPr="00E7300E">
        <w:rPr>
          <w:rFonts w:hint="eastAsia"/>
          <w:sz w:val="20"/>
          <w:lang w:val="en-CA" w:eastAsia="zh-CN"/>
        </w:rPr>
        <w:t>。</w:t>
      </w:r>
    </w:p>
  </w:footnote>
  <w:footnote w:id="6">
    <w:p w14:paraId="04EDF59F" w14:textId="21524899" w:rsidR="0051099D" w:rsidRPr="00ED162B" w:rsidRDefault="0051099D" w:rsidP="00E7300E">
      <w:pPr>
        <w:pStyle w:val="FootnoteText"/>
        <w:spacing w:after="60"/>
        <w:rPr>
          <w:sz w:val="20"/>
          <w:lang w:val="en-CA"/>
        </w:rPr>
      </w:pPr>
      <w:r w:rsidRPr="00E7300E">
        <w:rPr>
          <w:rStyle w:val="FootnoteReference"/>
          <w:sz w:val="20"/>
        </w:rPr>
        <w:footnoteRef/>
      </w:r>
      <w:r w:rsidRPr="00E7300E">
        <w:rPr>
          <w:sz w:val="20"/>
          <w:lang w:val="en-CA"/>
        </w:rPr>
        <w:t xml:space="preserve"> </w:t>
      </w:r>
      <w:hyperlink r:id="rId5" w:history="1">
        <w:r w:rsidRPr="00E7300E">
          <w:rPr>
            <w:rStyle w:val="Hyperlink"/>
            <w:sz w:val="20"/>
            <w:lang w:val="en-CA"/>
          </w:rPr>
          <w:t>https://regionswithnature.org/</w:t>
        </w:r>
      </w:hyperlink>
      <w:r w:rsidRPr="00E7300E">
        <w:rPr>
          <w:rFonts w:hint="eastAsia"/>
          <w:sz w:val="20"/>
          <w:lang w:val="en-CA" w:eastAsia="zh-CN"/>
        </w:rPr>
        <w:t>。</w:t>
      </w:r>
    </w:p>
  </w:footnote>
  <w:footnote w:id="7">
    <w:p w14:paraId="3098F718" w14:textId="77777777" w:rsidR="00C84242" w:rsidRPr="00E7300E" w:rsidRDefault="00C84242" w:rsidP="00E7300E">
      <w:pPr>
        <w:pStyle w:val="FootnoteText"/>
        <w:spacing w:after="60"/>
        <w:rPr>
          <w:sz w:val="20"/>
          <w:lang w:eastAsia="zh-CN"/>
        </w:rPr>
      </w:pPr>
      <w:r w:rsidRPr="00E7300E">
        <w:rPr>
          <w:rStyle w:val="FootnoteReference"/>
          <w:sz w:val="20"/>
        </w:rPr>
        <w:footnoteRef/>
      </w:r>
      <w:r w:rsidRPr="00E7300E">
        <w:rPr>
          <w:rFonts w:hint="eastAsia"/>
          <w:sz w:val="20"/>
          <w:lang w:eastAsia="zh-CN"/>
        </w:rPr>
        <w:t xml:space="preserve"> </w:t>
      </w:r>
      <w:r w:rsidRPr="00E7300E">
        <w:rPr>
          <w:sz w:val="20"/>
          <w:lang w:eastAsia="zh-CN"/>
        </w:rPr>
        <w:t>CBD/SBI/7/9</w:t>
      </w:r>
      <w:r w:rsidRPr="00E7300E">
        <w:rPr>
          <w:rFonts w:hint="eastAsia"/>
          <w:sz w:val="20"/>
          <w:lang w:eastAsia="zh-CN"/>
        </w:rPr>
        <w:t>，附件。</w:t>
      </w:r>
    </w:p>
  </w:footnote>
  <w:footnote w:id="8">
    <w:p w14:paraId="55AB914A" w14:textId="77777777" w:rsidR="00C84242" w:rsidRPr="00E7300E" w:rsidRDefault="00C84242" w:rsidP="00E7300E">
      <w:pPr>
        <w:pStyle w:val="FootnoteText"/>
        <w:spacing w:after="60"/>
        <w:rPr>
          <w:sz w:val="20"/>
          <w:lang w:val="en-CA" w:eastAsia="zh-CN"/>
        </w:rPr>
      </w:pPr>
      <w:r w:rsidRPr="00E7300E">
        <w:rPr>
          <w:rStyle w:val="FootnoteReference"/>
          <w:sz w:val="20"/>
        </w:rPr>
        <w:footnoteRef/>
      </w:r>
      <w:r w:rsidRPr="00E7300E">
        <w:rPr>
          <w:rFonts w:hint="eastAsia"/>
          <w:sz w:val="20"/>
          <w:lang w:eastAsia="zh-CN"/>
        </w:rPr>
        <w:t xml:space="preserve"> </w:t>
      </w:r>
      <w:r w:rsidRPr="00E7300E">
        <w:rPr>
          <w:rFonts w:hint="eastAsia"/>
          <w:sz w:val="20"/>
          <w:lang w:eastAsia="zh-CN"/>
        </w:rPr>
        <w:t>联合国，《条约汇编》，第</w:t>
      </w:r>
      <w:r w:rsidRPr="00E7300E">
        <w:rPr>
          <w:sz w:val="20"/>
          <w:lang w:eastAsia="zh-CN"/>
        </w:rPr>
        <w:t>1760</w:t>
      </w:r>
      <w:r w:rsidRPr="00E7300E">
        <w:rPr>
          <w:rFonts w:hint="eastAsia"/>
          <w:sz w:val="20"/>
          <w:lang w:eastAsia="zh-CN"/>
        </w:rPr>
        <w:t>卷，第</w:t>
      </w:r>
      <w:r w:rsidRPr="00E7300E">
        <w:rPr>
          <w:sz w:val="20"/>
          <w:lang w:eastAsia="zh-CN"/>
        </w:rPr>
        <w:t>30619</w:t>
      </w:r>
      <w:r w:rsidRPr="00E7300E">
        <w:rPr>
          <w:rFonts w:hint="eastAsia"/>
          <w:sz w:val="20"/>
          <w:lang w:eastAsia="zh-CN"/>
        </w:rPr>
        <w:t>号。</w:t>
      </w:r>
    </w:p>
  </w:footnote>
  <w:footnote w:id="9">
    <w:p w14:paraId="04E5FBC1" w14:textId="77777777" w:rsidR="00C84242" w:rsidRPr="00E7300E" w:rsidRDefault="00C84242" w:rsidP="00E7300E">
      <w:pPr>
        <w:pStyle w:val="FootnoteText"/>
        <w:spacing w:after="60"/>
        <w:rPr>
          <w:sz w:val="20"/>
          <w:lang w:val="en-CA" w:eastAsia="zh-CN"/>
        </w:rPr>
      </w:pPr>
      <w:r w:rsidRPr="00E7300E">
        <w:rPr>
          <w:rStyle w:val="FootnoteReference"/>
          <w:sz w:val="20"/>
        </w:rPr>
        <w:footnoteRef/>
      </w:r>
      <w:r w:rsidRPr="00E7300E">
        <w:rPr>
          <w:sz w:val="20"/>
          <w:lang w:eastAsia="zh-CN"/>
        </w:rPr>
        <w:t xml:space="preserve"> </w:t>
      </w:r>
      <w:r w:rsidRPr="00E7300E">
        <w:rPr>
          <w:rFonts w:hint="eastAsia"/>
          <w:sz w:val="20"/>
          <w:lang w:eastAsia="zh-CN"/>
        </w:rPr>
        <w:t>第</w:t>
      </w:r>
      <w:hyperlink r:id="rId6" w:history="1">
        <w:r w:rsidRPr="00E7300E">
          <w:rPr>
            <w:rStyle w:val="Hyperlink"/>
            <w:rFonts w:hint="eastAsia"/>
            <w:sz w:val="20"/>
            <w:lang w:eastAsia="zh-CN"/>
          </w:rPr>
          <w:t>15/4</w:t>
        </w:r>
      </w:hyperlink>
      <w:r w:rsidRPr="00E7300E">
        <w:rPr>
          <w:rFonts w:hint="eastAsia"/>
          <w:sz w:val="20"/>
          <w:lang w:eastAsia="zh-CN"/>
        </w:rPr>
        <w:t>号决定，附件。</w:t>
      </w:r>
    </w:p>
  </w:footnote>
  <w:footnote w:id="10">
    <w:p w14:paraId="5EC5A59C" w14:textId="61DC004F" w:rsidR="00F24F88" w:rsidRPr="00B15FAA" w:rsidRDefault="00F24F88" w:rsidP="00E7300E">
      <w:pPr>
        <w:pStyle w:val="FootnoteText"/>
        <w:spacing w:after="60"/>
        <w:rPr>
          <w:sz w:val="20"/>
          <w:lang w:val="en-CA" w:eastAsia="zh-CN"/>
        </w:rPr>
      </w:pPr>
      <w:r w:rsidRPr="00E7300E">
        <w:rPr>
          <w:rStyle w:val="FootnoteReference"/>
          <w:sz w:val="20"/>
        </w:rPr>
        <w:footnoteRef/>
      </w:r>
      <w:r w:rsidRPr="00E7300E">
        <w:rPr>
          <w:sz w:val="20"/>
          <w:lang w:eastAsia="zh-CN"/>
        </w:rPr>
        <w:t xml:space="preserve"> </w:t>
      </w:r>
      <w:r w:rsidR="00057CFC" w:rsidRPr="00E7300E">
        <w:rPr>
          <w:rFonts w:hint="eastAsia"/>
          <w:sz w:val="20"/>
          <w:lang w:eastAsia="zh-CN"/>
        </w:rPr>
        <w:t>第</w:t>
      </w:r>
      <w:hyperlink r:id="rId7" w:history="1">
        <w:r w:rsidR="00057CFC" w:rsidRPr="00E7300E">
          <w:rPr>
            <w:rStyle w:val="Hyperlink"/>
            <w:rFonts w:hint="eastAsia"/>
            <w:sz w:val="20"/>
            <w:lang w:eastAsia="zh-CN"/>
          </w:rPr>
          <w:t>15/12</w:t>
        </w:r>
      </w:hyperlink>
      <w:r w:rsidR="00057CFC" w:rsidRPr="00E7300E">
        <w:rPr>
          <w:rFonts w:hint="eastAsia"/>
          <w:sz w:val="20"/>
          <w:lang w:eastAsia="zh-CN"/>
        </w:rPr>
        <w:t>号决定，附件。</w:t>
      </w:r>
    </w:p>
  </w:footnote>
  <w:footnote w:id="11">
    <w:p w14:paraId="170CDE64" w14:textId="399C0C41" w:rsidR="007640CD" w:rsidRPr="00E7300E" w:rsidRDefault="007640CD" w:rsidP="00E7300E">
      <w:pPr>
        <w:pBdr>
          <w:top w:val="nil"/>
          <w:left w:val="nil"/>
          <w:bottom w:val="nil"/>
          <w:right w:val="nil"/>
          <w:between w:val="nil"/>
        </w:pBdr>
        <w:spacing w:after="60"/>
        <w:rPr>
          <w:color w:val="000000"/>
          <w:sz w:val="20"/>
          <w:szCs w:val="20"/>
          <w:lang w:eastAsia="zh-CN"/>
        </w:rPr>
      </w:pPr>
      <w:r w:rsidRPr="00E7300E">
        <w:rPr>
          <w:sz w:val="20"/>
          <w:szCs w:val="20"/>
          <w:vertAlign w:val="superscript"/>
        </w:rPr>
        <w:footnoteRef/>
      </w:r>
      <w:r w:rsidR="003C3BE6" w:rsidRPr="00E7300E">
        <w:rPr>
          <w:rFonts w:hint="eastAsia"/>
          <w:color w:val="000000"/>
          <w:sz w:val="20"/>
          <w:szCs w:val="20"/>
          <w:lang w:eastAsia="zh-CN"/>
        </w:rPr>
        <w:t xml:space="preserve"> </w:t>
      </w:r>
      <w:r w:rsidR="000B3D93" w:rsidRPr="00E7300E">
        <w:rPr>
          <w:rFonts w:hint="eastAsia"/>
          <w:color w:val="000000"/>
          <w:sz w:val="20"/>
          <w:szCs w:val="20"/>
          <w:lang w:eastAsia="zh-CN"/>
        </w:rPr>
        <w:t>全球审查程序已在</w:t>
      </w:r>
      <w:r w:rsidR="000B3D93" w:rsidRPr="00E7300E">
        <w:rPr>
          <w:rFonts w:hint="eastAsia"/>
          <w:color w:val="000000"/>
          <w:sz w:val="20"/>
          <w:szCs w:val="20"/>
          <w:lang w:eastAsia="zh-CN"/>
        </w:rPr>
        <w:t xml:space="preserve"> </w:t>
      </w:r>
      <w:hyperlink r:id="rId8" w:history="1">
        <w:r w:rsidR="000B3D93" w:rsidRPr="00E7300E">
          <w:rPr>
            <w:rStyle w:val="Hyperlink"/>
            <w:sz w:val="20"/>
            <w:szCs w:val="20"/>
            <w:lang w:eastAsia="zh-CN"/>
          </w:rPr>
          <w:t>CBD/SBI/4/4/Add.2/Rev.1</w:t>
        </w:r>
      </w:hyperlink>
      <w:r w:rsidR="000B3D93" w:rsidRPr="00E7300E">
        <w:rPr>
          <w:rStyle w:val="Hyperlink"/>
          <w:rFonts w:hint="eastAsia"/>
          <w:sz w:val="20"/>
          <w:szCs w:val="20"/>
          <w:lang w:eastAsia="zh-CN"/>
        </w:rPr>
        <w:t>号文件</w:t>
      </w:r>
      <w:r w:rsidR="000B3D93" w:rsidRPr="00E7300E">
        <w:rPr>
          <w:rFonts w:hint="eastAsia"/>
          <w:color w:val="000000"/>
          <w:sz w:val="20"/>
          <w:szCs w:val="20"/>
          <w:lang w:eastAsia="zh-CN"/>
        </w:rPr>
        <w:t>中予以规定，并经第</w:t>
      </w:r>
      <w:hyperlink r:id="rId9" w:history="1">
        <w:r w:rsidR="000B3D93" w:rsidRPr="00E7300E">
          <w:rPr>
            <w:rStyle w:val="Hyperlink"/>
            <w:sz w:val="20"/>
            <w:szCs w:val="20"/>
            <w:lang w:eastAsia="zh-CN"/>
          </w:rPr>
          <w:t>16/34</w:t>
        </w:r>
      </w:hyperlink>
      <w:r w:rsidR="000B3D93" w:rsidRPr="00E7300E">
        <w:rPr>
          <w:rFonts w:hint="eastAsia"/>
          <w:color w:val="000000"/>
          <w:sz w:val="20"/>
          <w:szCs w:val="20"/>
          <w:lang w:eastAsia="zh-CN"/>
        </w:rPr>
        <w:t>号决定通过。</w:t>
      </w:r>
    </w:p>
  </w:footnote>
  <w:footnote w:id="12">
    <w:p w14:paraId="50A10EB1" w14:textId="77777777" w:rsidR="00615BDC" w:rsidRPr="00C038E0" w:rsidRDefault="00615BDC" w:rsidP="00E7300E">
      <w:pPr>
        <w:pStyle w:val="FootnoteText"/>
        <w:snapToGrid w:val="0"/>
        <w:spacing w:after="60"/>
        <w:rPr>
          <w:sz w:val="20"/>
          <w:szCs w:val="21"/>
          <w:lang w:eastAsia="zh-CN"/>
        </w:rPr>
      </w:pPr>
      <w:r w:rsidRPr="00C038E0">
        <w:rPr>
          <w:rStyle w:val="FootnoteReference"/>
          <w:sz w:val="20"/>
          <w:szCs w:val="21"/>
        </w:rPr>
        <w:footnoteRef/>
      </w:r>
      <w:r w:rsidRPr="00C038E0">
        <w:rPr>
          <w:sz w:val="20"/>
          <w:szCs w:val="21"/>
          <w:lang w:eastAsia="zh-CN"/>
        </w:rPr>
        <w:t xml:space="preserve"> </w:t>
      </w:r>
      <w:r w:rsidRPr="00C038E0">
        <w:rPr>
          <w:rFonts w:hint="eastAsia"/>
          <w:sz w:val="20"/>
          <w:szCs w:val="21"/>
          <w:lang w:eastAsia="zh-CN"/>
        </w:rPr>
        <w:t>截至</w:t>
      </w:r>
      <w:r w:rsidRPr="00C038E0">
        <w:rPr>
          <w:rFonts w:hint="eastAsia"/>
          <w:sz w:val="20"/>
          <w:szCs w:val="21"/>
          <w:lang w:eastAsia="zh-CN"/>
        </w:rPr>
        <w:t>2026</w:t>
      </w:r>
      <w:r w:rsidRPr="00C038E0">
        <w:rPr>
          <w:rFonts w:hint="eastAsia"/>
          <w:sz w:val="20"/>
          <w:szCs w:val="21"/>
          <w:lang w:eastAsia="zh-CN"/>
        </w:rPr>
        <w:t>年</w:t>
      </w:r>
      <w:r w:rsidRPr="00C038E0">
        <w:rPr>
          <w:rFonts w:hint="eastAsia"/>
          <w:sz w:val="20"/>
          <w:szCs w:val="21"/>
          <w:lang w:eastAsia="zh-CN"/>
        </w:rPr>
        <w:t>4</w:t>
      </w:r>
      <w:r w:rsidRPr="00C038E0">
        <w:rPr>
          <w:rFonts w:hint="eastAsia"/>
          <w:sz w:val="20"/>
          <w:szCs w:val="21"/>
          <w:lang w:eastAsia="zh-CN"/>
        </w:rPr>
        <w:t>月，次国家政府与生物多样性咨询委员会的成员有：爱知县、安得拉邦、奥弗涅</w:t>
      </w:r>
      <w:r w:rsidRPr="00C038E0">
        <w:rPr>
          <w:rFonts w:hint="eastAsia"/>
          <w:sz w:val="20"/>
          <w:szCs w:val="21"/>
          <w:lang w:eastAsia="zh-CN"/>
        </w:rPr>
        <w:t>-</w:t>
      </w:r>
      <w:r w:rsidRPr="00C038E0">
        <w:rPr>
          <w:rFonts w:hint="eastAsia"/>
          <w:sz w:val="20"/>
          <w:szCs w:val="21"/>
          <w:lang w:eastAsia="zh-CN"/>
        </w:rPr>
        <w:t>罗讷</w:t>
      </w:r>
      <w:r w:rsidRPr="00C038E0">
        <w:rPr>
          <w:rFonts w:hint="eastAsia"/>
          <w:sz w:val="20"/>
          <w:szCs w:val="21"/>
          <w:lang w:eastAsia="zh-CN"/>
        </w:rPr>
        <w:t>-</w:t>
      </w:r>
      <w:r w:rsidRPr="00C038E0">
        <w:rPr>
          <w:rFonts w:hint="eastAsia"/>
          <w:sz w:val="20"/>
          <w:szCs w:val="21"/>
          <w:lang w:eastAsia="zh-CN"/>
        </w:rPr>
        <w:t>阿尔卑斯大区、巴斯克自治区、加利福尼亚州、坎佩切州、加泰罗尼亚、科尔多瓦、法蒂克区、江原道、戈亚斯、戈萨省、哈利斯科州、伦巴第大区、北莱茵</w:t>
      </w:r>
      <w:r w:rsidRPr="00C038E0">
        <w:rPr>
          <w:rFonts w:hint="eastAsia"/>
          <w:sz w:val="20"/>
          <w:szCs w:val="21"/>
          <w:lang w:eastAsia="zh-CN"/>
        </w:rPr>
        <w:t>-</w:t>
      </w:r>
      <w:r w:rsidRPr="00C038E0">
        <w:rPr>
          <w:rFonts w:hint="eastAsia"/>
          <w:sz w:val="20"/>
          <w:szCs w:val="21"/>
          <w:lang w:eastAsia="zh-CN"/>
        </w:rPr>
        <w:t>威斯特法伦州、安大略省、巴拉望省、巴拉那州、魁北克省、里约热内卢州、圣保罗州、圣菲、苏格兰、四川省、威尔士和西澳大利亚地方政府协会。</w:t>
      </w:r>
    </w:p>
  </w:footnote>
  <w:footnote w:id="13">
    <w:p w14:paraId="75552654" w14:textId="3E44C4E8" w:rsidR="00810DB7" w:rsidRPr="00C038E0" w:rsidRDefault="00810DB7" w:rsidP="00E7300E">
      <w:pPr>
        <w:pStyle w:val="FootnoteText"/>
        <w:spacing w:after="60"/>
        <w:rPr>
          <w:sz w:val="20"/>
          <w:szCs w:val="21"/>
          <w:lang w:eastAsia="zh-CN"/>
        </w:rPr>
      </w:pPr>
      <w:r w:rsidRPr="00C038E0">
        <w:rPr>
          <w:rStyle w:val="FootnoteReference"/>
          <w:sz w:val="20"/>
          <w:szCs w:val="21"/>
        </w:rPr>
        <w:footnoteRef/>
      </w:r>
      <w:r w:rsidRPr="00C038E0">
        <w:rPr>
          <w:sz w:val="20"/>
          <w:szCs w:val="21"/>
          <w:lang w:eastAsia="zh-CN"/>
        </w:rPr>
        <w:t xml:space="preserve"> </w:t>
      </w:r>
      <w:r w:rsidRPr="00C038E0">
        <w:rPr>
          <w:rFonts w:hint="eastAsia"/>
          <w:sz w:val="20"/>
          <w:szCs w:val="21"/>
          <w:lang w:val="en-GB" w:eastAsia="zh-CN"/>
        </w:rPr>
        <w:t>次国家政府与生物多样性咨询委员会的合作伙伴有：美国鱼类及野生动物保护机构协会、厄瓜多尔省政府联合会、生态研究与林业应用研究中心和欧洲地区委员会。</w:t>
      </w:r>
    </w:p>
  </w:footnote>
  <w:footnote w:id="14">
    <w:p w14:paraId="5EAC5F2C" w14:textId="77777777" w:rsidR="00810DB7" w:rsidRPr="00B15FAA" w:rsidRDefault="00810DB7" w:rsidP="00E7300E">
      <w:pPr>
        <w:pStyle w:val="FootnoteText"/>
        <w:spacing w:after="60"/>
        <w:rPr>
          <w:sz w:val="20"/>
          <w:lang w:eastAsia="zh-CN"/>
        </w:rPr>
      </w:pPr>
      <w:r w:rsidRPr="00C038E0">
        <w:rPr>
          <w:rStyle w:val="FootnoteReference"/>
          <w:sz w:val="20"/>
          <w:szCs w:val="21"/>
        </w:rPr>
        <w:footnoteRef/>
      </w:r>
      <w:r w:rsidRPr="00C038E0">
        <w:rPr>
          <w:sz w:val="20"/>
          <w:szCs w:val="21"/>
          <w:lang w:eastAsia="zh-CN"/>
        </w:rPr>
        <w:t xml:space="preserve"> </w:t>
      </w:r>
      <w:r w:rsidRPr="00C038E0">
        <w:rPr>
          <w:rFonts w:hint="eastAsia"/>
          <w:sz w:val="20"/>
          <w:szCs w:val="21"/>
          <w:lang w:val="en-GB" w:eastAsia="zh-CN"/>
        </w:rPr>
        <w:t>截至</w:t>
      </w:r>
      <w:r w:rsidRPr="00C038E0">
        <w:rPr>
          <w:rFonts w:hint="eastAsia"/>
          <w:sz w:val="20"/>
          <w:szCs w:val="21"/>
          <w:lang w:val="en-GB" w:eastAsia="zh-CN"/>
        </w:rPr>
        <w:t>2026</w:t>
      </w:r>
      <w:r w:rsidRPr="00C038E0">
        <w:rPr>
          <w:rFonts w:hint="eastAsia"/>
          <w:sz w:val="20"/>
          <w:szCs w:val="21"/>
          <w:lang w:val="en-GB" w:eastAsia="zh-CN"/>
        </w:rPr>
        <w:t>年</w:t>
      </w:r>
      <w:r w:rsidRPr="00C038E0">
        <w:rPr>
          <w:rFonts w:hint="eastAsia"/>
          <w:sz w:val="20"/>
          <w:szCs w:val="21"/>
          <w:lang w:val="en-GB" w:eastAsia="zh-CN"/>
        </w:rPr>
        <w:t>4</w:t>
      </w:r>
      <w:r w:rsidRPr="00C038E0">
        <w:rPr>
          <w:rFonts w:hint="eastAsia"/>
          <w:sz w:val="20"/>
          <w:szCs w:val="21"/>
          <w:lang w:val="en-GB" w:eastAsia="zh-CN"/>
        </w:rPr>
        <w:t>月，地方政府与生物多样性咨询委员会（城市咨询委员会）的成员有：波恩、卡加延德奥罗、卡利、坎皮纳斯、舍夫沙万、库里提巴、德班（特克维尼）、伊兹密尔、洛杉矶、麦德林、墨西哥城、蒙特利尔、名古屋、圣保罗和地拉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604689134"/>
      <w:dataBinding w:prefixMappings="xmlns:ns0='http://purl.org/dc/elements/1.1/' xmlns:ns1='http://schemas.openxmlformats.org/package/2006/metadata/core-properties' " w:xpath="/ns1:coreProperties[1]/ns0:subject[1]" w:storeItemID="{6C3C8BC8-F283-45AE-878A-BAB7291924A1}"/>
      <w:text/>
    </w:sdtPr>
    <w:sdtEndPr/>
    <w:sdtContent>
      <w:p w14:paraId="21195FE7" w14:textId="7F1C378E" w:rsidR="005F1584" w:rsidRPr="00866063" w:rsidRDefault="005F1584" w:rsidP="003E57A5">
        <w:pPr>
          <w:pStyle w:val="Header"/>
          <w:spacing w:after="240"/>
          <w:rPr>
            <w:szCs w:val="20"/>
          </w:rPr>
        </w:pPr>
        <w:r>
          <w:rPr>
            <w:szCs w:val="20"/>
          </w:rPr>
          <w:t>CBD/SBI/7/9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937668240"/>
      <w:dataBinding w:prefixMappings="xmlns:ns0='http://purl.org/dc/elements/1.1/' xmlns:ns1='http://schemas.openxmlformats.org/package/2006/metadata/core-properties' " w:xpath="/ns1:coreProperties[1]/ns0:subject[1]" w:storeItemID="{6C3C8BC8-F283-45AE-878A-BAB7291924A1}"/>
      <w:text/>
    </w:sdtPr>
    <w:sdtEndPr/>
    <w:sdtContent>
      <w:p w14:paraId="1C88DF89" w14:textId="7482217D" w:rsidR="005F1584" w:rsidRPr="00866063" w:rsidRDefault="005F1584" w:rsidP="003E57A5">
        <w:pPr>
          <w:pStyle w:val="Header"/>
          <w:spacing w:after="240"/>
          <w:jc w:val="right"/>
        </w:pPr>
        <w:r>
          <w:t>CBD/SBI/7/9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37DBF7" w14:textId="4B3B3EA9" w:rsidR="00534681" w:rsidRPr="00866063" w:rsidRDefault="00702E45" w:rsidP="007C4951">
        <w:pPr>
          <w:pStyle w:val="Header"/>
          <w:spacing w:after="240"/>
          <w:rPr>
            <w:szCs w:val="20"/>
          </w:rPr>
        </w:pPr>
        <w:r w:rsidRPr="00866063">
          <w:rPr>
            <w:szCs w:val="20"/>
          </w:rPr>
          <w:t>CBD/</w:t>
        </w:r>
        <w:r>
          <w:rPr>
            <w:szCs w:val="20"/>
          </w:rPr>
          <w:t>SBI/7/9</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FC8A100" w14:textId="3ADFBB67" w:rsidR="009505C9" w:rsidRPr="00866063" w:rsidRDefault="00702E45" w:rsidP="007C4951">
        <w:pPr>
          <w:pStyle w:val="Header"/>
          <w:spacing w:after="240"/>
          <w:jc w:val="right"/>
        </w:pPr>
        <w: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18ED8A"/>
    <w:multiLevelType w:val="multilevel"/>
    <w:tmpl w:val="8B18ED8A"/>
    <w:lvl w:ilvl="0">
      <w:start w:val="1"/>
      <w:numFmt w:val="decimal"/>
      <w:lvlText w:val="%1)"/>
      <w:lvlJc w:val="left"/>
      <w:pPr>
        <w:ind w:left="1440" w:hanging="360"/>
      </w:pPr>
      <w:rPr>
        <w:rFonts w:ascii="Times New Roman" w:hAnsi="Times New Roman" w:cs="Times New Roman" w:hint="default"/>
      </w:rPr>
    </w:lvl>
    <w:lvl w:ilvl="1">
      <w:start w:val="1"/>
      <w:numFmt w:val="lowerLetter"/>
      <w:lvlText w:val="%2)"/>
      <w:lvlJc w:val="left"/>
      <w:pPr>
        <w:ind w:left="2160" w:hanging="360"/>
      </w:pPr>
      <w:rPr>
        <w:rFonts w:ascii="Times New Roman" w:hAnsi="Times New Roman" w:cs="Times New Roman" w:hint="default"/>
      </w:rPr>
    </w:lvl>
    <w:lvl w:ilvl="2">
      <w:start w:val="1"/>
      <w:numFmt w:val="lowerRoman"/>
      <w:lvlText w:val="%3)"/>
      <w:lvlJc w:val="right"/>
      <w:pPr>
        <w:ind w:left="2880" w:hanging="360"/>
      </w:pPr>
      <w:rPr>
        <w:rFonts w:ascii="Times New Roman" w:hAnsi="Times New Roman" w:cs="Times New Roman" w:hint="default"/>
      </w:rPr>
    </w:lvl>
    <w:lvl w:ilvl="3">
      <w:start w:val="1"/>
      <w:numFmt w:val="decimal"/>
      <w:lvlText w:val="(%4)"/>
      <w:lvlJc w:val="left"/>
      <w:pPr>
        <w:ind w:left="3600" w:hanging="360"/>
      </w:pPr>
      <w:rPr>
        <w:rFonts w:ascii="Times New Roman" w:hAnsi="Times New Roman" w:cs="Times New Roman" w:hint="default"/>
      </w:rPr>
    </w:lvl>
    <w:lvl w:ilvl="4">
      <w:start w:val="1"/>
      <w:numFmt w:val="lowerLetter"/>
      <w:lvlText w:val="(%5)"/>
      <w:lvlJc w:val="left"/>
      <w:pPr>
        <w:ind w:left="4320" w:hanging="360"/>
      </w:pPr>
      <w:rPr>
        <w:rFonts w:ascii="Times New Roman" w:hAnsi="Times New Roman" w:cs="Times New Roman" w:hint="default"/>
      </w:rPr>
    </w:lvl>
    <w:lvl w:ilvl="5">
      <w:start w:val="1"/>
      <w:numFmt w:val="lowerRoman"/>
      <w:lvlText w:val="(%6)"/>
      <w:lvlJc w:val="right"/>
      <w:pPr>
        <w:ind w:left="5040" w:hanging="360"/>
      </w:pPr>
      <w:rPr>
        <w:rFonts w:ascii="Times New Roman" w:hAnsi="Times New Roman" w:cs="Times New Roman" w:hint="default"/>
      </w:rPr>
    </w:lvl>
    <w:lvl w:ilvl="6">
      <w:start w:val="1"/>
      <w:numFmt w:val="decimal"/>
      <w:lvlText w:val="%7."/>
      <w:lvlJc w:val="left"/>
      <w:pPr>
        <w:ind w:left="5760" w:hanging="360"/>
      </w:pPr>
      <w:rPr>
        <w:rFonts w:ascii="Times New Roman" w:hAnsi="Times New Roman" w:cs="Times New Roman" w:hint="default"/>
      </w:rPr>
    </w:lvl>
    <w:lvl w:ilvl="7">
      <w:start w:val="1"/>
      <w:numFmt w:val="lowerLetter"/>
      <w:lvlText w:val="%8."/>
      <w:lvlJc w:val="left"/>
      <w:pPr>
        <w:ind w:left="6480" w:hanging="360"/>
      </w:pPr>
      <w:rPr>
        <w:rFonts w:ascii="Times New Roman" w:hAnsi="Times New Roman" w:cs="Times New Roman" w:hint="default"/>
      </w:rPr>
    </w:lvl>
    <w:lvl w:ilvl="8">
      <w:start w:val="1"/>
      <w:numFmt w:val="lowerRoman"/>
      <w:lvlText w:val="%9."/>
      <w:lvlJc w:val="right"/>
      <w:pPr>
        <w:ind w:left="7200" w:hanging="360"/>
      </w:pPr>
      <w:rPr>
        <w:rFonts w:ascii="Times New Roman" w:hAnsi="Times New Roman" w:cs="Times New Roman" w:hint="default"/>
      </w:rPr>
    </w:lvl>
  </w:abstractNum>
  <w:abstractNum w:abstractNumId="1"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7DC4EDA"/>
    <w:multiLevelType w:val="multilevel"/>
    <w:tmpl w:val="A314AA66"/>
    <w:lvl w:ilvl="0">
      <w:start w:val="1"/>
      <w:numFmt w:val="decimal"/>
      <w:lvlText w:val="%1."/>
      <w:lvlJc w:val="left"/>
      <w:pPr>
        <w:ind w:left="567" w:firstLine="0"/>
      </w:pPr>
      <w:rPr>
        <w:rFonts w:ascii="Times New Roman" w:hAnsi="Times New Roman" w:cs="Times New Roman" w:hint="default"/>
        <w:b w:val="0"/>
        <w:bCs w:val="0"/>
        <w:i w:val="0"/>
        <w:iCs w:val="0"/>
        <w:sz w:val="24"/>
        <w:szCs w:val="24"/>
      </w:rPr>
    </w:lvl>
    <w:lvl w:ilvl="1">
      <w:start w:val="1"/>
      <w:numFmt w:val="lowerLetter"/>
      <w:lvlText w:val="(%2)"/>
      <w:lvlJc w:val="left"/>
      <w:pPr>
        <w:ind w:left="567" w:firstLine="567"/>
      </w:pPr>
      <w:rPr>
        <w:rFonts w:ascii="Times New Roman" w:hAnsi="Times New Roman" w:cs="Times New Roman" w:hint="default"/>
        <w:b w:val="0"/>
        <w:i w:val="0"/>
        <w:sz w:val="22"/>
        <w:szCs w:val="22"/>
      </w:rPr>
    </w:lvl>
    <w:lvl w:ilvl="2">
      <w:start w:val="1"/>
      <w:numFmt w:val="lowerRoman"/>
      <w:lvlText w:val="(%3)"/>
      <w:lvlJc w:val="left"/>
      <w:pPr>
        <w:ind w:left="2268" w:hanging="567"/>
      </w:pPr>
      <w:rPr>
        <w:rFonts w:ascii="Times New Roman" w:hAnsi="Times New Roman" w:cs="Times New Roman" w:hint="default"/>
        <w:sz w:val="22"/>
        <w:szCs w:val="22"/>
      </w:rPr>
    </w:lvl>
    <w:lvl w:ilvl="3">
      <w:start w:val="1"/>
      <w:numFmt w:val="decimal"/>
      <w:lvlText w:val="(%4)"/>
      <w:lvlJc w:val="left"/>
      <w:pPr>
        <w:ind w:left="2835" w:hanging="567"/>
      </w:pPr>
      <w:rPr>
        <w:rFonts w:ascii="Times New Roman" w:hAnsi="Times New Roman" w:cs="Times New Roman" w:hint="default"/>
        <w:sz w:val="22"/>
        <w:szCs w:val="22"/>
      </w:rPr>
    </w:lvl>
    <w:lvl w:ilvl="4">
      <w:start w:val="1"/>
      <w:numFmt w:val="lowerLetter"/>
      <w:lvlText w:val="(%5)"/>
      <w:lvlJc w:val="left"/>
      <w:pPr>
        <w:ind w:left="3402" w:hanging="567"/>
      </w:pPr>
      <w:rPr>
        <w:rFonts w:ascii="Times New Roman" w:hAnsi="Times New Roman" w:cs="Times New Roman" w:hint="default"/>
      </w:rPr>
    </w:lvl>
    <w:lvl w:ilvl="5">
      <w:start w:val="1"/>
      <w:numFmt w:val="lowerRoman"/>
      <w:lvlText w:val="(%6)"/>
      <w:lvlJc w:val="left"/>
      <w:pPr>
        <w:ind w:left="2826" w:hanging="360"/>
      </w:pPr>
      <w:rPr>
        <w:rFonts w:ascii="Times New Roman" w:hAnsi="Times New Roman" w:cs="Times New Roman" w:hint="default"/>
      </w:rPr>
    </w:lvl>
    <w:lvl w:ilvl="6">
      <w:start w:val="1"/>
      <w:numFmt w:val="decimal"/>
      <w:lvlText w:val="%7."/>
      <w:lvlJc w:val="left"/>
      <w:pPr>
        <w:ind w:left="3186" w:hanging="360"/>
      </w:pPr>
      <w:rPr>
        <w:rFonts w:ascii="Times New Roman" w:hAnsi="Times New Roman" w:cs="Times New Roman" w:hint="default"/>
      </w:rPr>
    </w:lvl>
    <w:lvl w:ilvl="7">
      <w:start w:val="1"/>
      <w:numFmt w:val="lowerLetter"/>
      <w:lvlText w:val="%8."/>
      <w:lvlJc w:val="left"/>
      <w:pPr>
        <w:ind w:left="3546" w:hanging="360"/>
      </w:pPr>
      <w:rPr>
        <w:rFonts w:ascii="Times New Roman" w:hAnsi="Times New Roman" w:cs="Times New Roman" w:hint="default"/>
      </w:rPr>
    </w:lvl>
    <w:lvl w:ilvl="8">
      <w:start w:val="1"/>
      <w:numFmt w:val="lowerRoman"/>
      <w:lvlText w:val="%9."/>
      <w:lvlJc w:val="left"/>
      <w:pPr>
        <w:ind w:left="3906" w:hanging="360"/>
      </w:pPr>
      <w:rPr>
        <w:rFonts w:ascii="Times New Roman" w:hAnsi="Times New Roman" w:cs="Times New Roman" w:hint="default"/>
      </w:rPr>
    </w:lvl>
  </w:abstractNum>
  <w:abstractNum w:abstractNumId="12"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78602053">
    <w:abstractNumId w:val="6"/>
  </w:num>
  <w:num w:numId="2" w16cid:durableId="680551525">
    <w:abstractNumId w:val="3"/>
  </w:num>
  <w:num w:numId="3" w16cid:durableId="1283612510">
    <w:abstractNumId w:val="9"/>
  </w:num>
  <w:num w:numId="4" w16cid:durableId="1427534232">
    <w:abstractNumId w:val="10"/>
  </w:num>
  <w:num w:numId="5" w16cid:durableId="326905534">
    <w:abstractNumId w:val="5"/>
  </w:num>
  <w:num w:numId="6" w16cid:durableId="568002371">
    <w:abstractNumId w:val="8"/>
  </w:num>
  <w:num w:numId="7" w16cid:durableId="1292055726">
    <w:abstractNumId w:val="7"/>
  </w:num>
  <w:num w:numId="8" w16cid:durableId="866407659">
    <w:abstractNumId w:val="1"/>
  </w:num>
  <w:num w:numId="9" w16cid:durableId="409425215">
    <w:abstractNumId w:val="4"/>
  </w:num>
  <w:num w:numId="10" w16cid:durableId="1371491620">
    <w:abstractNumId w:val="12"/>
  </w:num>
  <w:num w:numId="11" w16cid:durableId="574049855">
    <w:abstractNumId w:val="2"/>
  </w:num>
  <w:num w:numId="12" w16cid:durableId="17599071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7039269">
    <w:abstractNumId w:val="5"/>
  </w:num>
  <w:num w:numId="14" w16cid:durableId="553855491">
    <w:abstractNumId w:val="8"/>
  </w:num>
  <w:num w:numId="15" w16cid:durableId="700545398">
    <w:abstractNumId w:val="7"/>
  </w:num>
  <w:num w:numId="16" w16cid:durableId="1808862863">
    <w:abstractNumId w:val="7"/>
  </w:num>
  <w:num w:numId="17" w16cid:durableId="560363064">
    <w:abstractNumId w:val="8"/>
  </w:num>
  <w:num w:numId="18" w16cid:durableId="1280257436">
    <w:abstractNumId w:val="8"/>
  </w:num>
  <w:num w:numId="19" w16cid:durableId="1803500681">
    <w:abstractNumId w:val="8"/>
  </w:num>
  <w:num w:numId="20" w16cid:durableId="1880118770">
    <w:abstractNumId w:val="8"/>
  </w:num>
  <w:num w:numId="21" w16cid:durableId="1729182972">
    <w:abstractNumId w:val="8"/>
  </w:num>
  <w:num w:numId="22" w16cid:durableId="61684870">
    <w:abstractNumId w:val="10"/>
  </w:num>
  <w:num w:numId="23" w16cid:durableId="1655375520">
    <w:abstractNumId w:val="10"/>
  </w:num>
  <w:num w:numId="24" w16cid:durableId="534658409">
    <w:abstractNumId w:val="10"/>
  </w:num>
  <w:num w:numId="25" w16cid:durableId="888882302">
    <w:abstractNumId w:val="10"/>
  </w:num>
  <w:num w:numId="26" w16cid:durableId="1767572439">
    <w:abstractNumId w:val="11"/>
  </w:num>
  <w:num w:numId="27" w16cid:durableId="53118881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71A4"/>
    <w:rsid w:val="00007DAA"/>
    <w:rsid w:val="00012F31"/>
    <w:rsid w:val="00017C80"/>
    <w:rsid w:val="0002006E"/>
    <w:rsid w:val="00027281"/>
    <w:rsid w:val="000310C5"/>
    <w:rsid w:val="00031D13"/>
    <w:rsid w:val="00040A1A"/>
    <w:rsid w:val="00042767"/>
    <w:rsid w:val="00045F3B"/>
    <w:rsid w:val="00047F93"/>
    <w:rsid w:val="000521D7"/>
    <w:rsid w:val="00057AD9"/>
    <w:rsid w:val="00057CFC"/>
    <w:rsid w:val="00065969"/>
    <w:rsid w:val="00065B8A"/>
    <w:rsid w:val="0007171B"/>
    <w:rsid w:val="00074822"/>
    <w:rsid w:val="0007740C"/>
    <w:rsid w:val="00082418"/>
    <w:rsid w:val="000839C3"/>
    <w:rsid w:val="00093C83"/>
    <w:rsid w:val="00097D1B"/>
    <w:rsid w:val="000A1B6C"/>
    <w:rsid w:val="000A3008"/>
    <w:rsid w:val="000A49F5"/>
    <w:rsid w:val="000B3D93"/>
    <w:rsid w:val="000B4663"/>
    <w:rsid w:val="000B47E8"/>
    <w:rsid w:val="000B722A"/>
    <w:rsid w:val="000C2920"/>
    <w:rsid w:val="000D0753"/>
    <w:rsid w:val="000D0F68"/>
    <w:rsid w:val="000D7ED1"/>
    <w:rsid w:val="000E0066"/>
    <w:rsid w:val="000E087F"/>
    <w:rsid w:val="000E2081"/>
    <w:rsid w:val="000E4CA9"/>
    <w:rsid w:val="000E673A"/>
    <w:rsid w:val="000F66DD"/>
    <w:rsid w:val="000F6945"/>
    <w:rsid w:val="000F74F5"/>
    <w:rsid w:val="000F78FC"/>
    <w:rsid w:val="001003C4"/>
    <w:rsid w:val="001042C6"/>
    <w:rsid w:val="00104EDE"/>
    <w:rsid w:val="00105274"/>
    <w:rsid w:val="00105372"/>
    <w:rsid w:val="001054A6"/>
    <w:rsid w:val="001078A1"/>
    <w:rsid w:val="00113BD7"/>
    <w:rsid w:val="00116236"/>
    <w:rsid w:val="00125186"/>
    <w:rsid w:val="001312AD"/>
    <w:rsid w:val="00131E7A"/>
    <w:rsid w:val="00134846"/>
    <w:rsid w:val="001432FB"/>
    <w:rsid w:val="00143867"/>
    <w:rsid w:val="00147097"/>
    <w:rsid w:val="0015746F"/>
    <w:rsid w:val="0016371C"/>
    <w:rsid w:val="00163EA8"/>
    <w:rsid w:val="001726CE"/>
    <w:rsid w:val="00172AF6"/>
    <w:rsid w:val="00176CEE"/>
    <w:rsid w:val="00177A60"/>
    <w:rsid w:val="00177FD3"/>
    <w:rsid w:val="0018519C"/>
    <w:rsid w:val="00186DD8"/>
    <w:rsid w:val="001A204D"/>
    <w:rsid w:val="001A35EC"/>
    <w:rsid w:val="001B13FE"/>
    <w:rsid w:val="001C1AD2"/>
    <w:rsid w:val="001C523D"/>
    <w:rsid w:val="001E0BFE"/>
    <w:rsid w:val="001E0E2A"/>
    <w:rsid w:val="001E776C"/>
    <w:rsid w:val="001F566D"/>
    <w:rsid w:val="001F63D2"/>
    <w:rsid w:val="001F7A33"/>
    <w:rsid w:val="00200574"/>
    <w:rsid w:val="00214563"/>
    <w:rsid w:val="002164D2"/>
    <w:rsid w:val="00216776"/>
    <w:rsid w:val="00216AAD"/>
    <w:rsid w:val="002235E7"/>
    <w:rsid w:val="00233BC5"/>
    <w:rsid w:val="00235F05"/>
    <w:rsid w:val="00236DFC"/>
    <w:rsid w:val="00237769"/>
    <w:rsid w:val="00243737"/>
    <w:rsid w:val="00252909"/>
    <w:rsid w:val="00255F86"/>
    <w:rsid w:val="0026369D"/>
    <w:rsid w:val="00267CE0"/>
    <w:rsid w:val="00271F6B"/>
    <w:rsid w:val="00273893"/>
    <w:rsid w:val="00273B1B"/>
    <w:rsid w:val="0029199E"/>
    <w:rsid w:val="002928BB"/>
    <w:rsid w:val="0029576F"/>
    <w:rsid w:val="002A0FDF"/>
    <w:rsid w:val="002B31BD"/>
    <w:rsid w:val="002B3256"/>
    <w:rsid w:val="002B3974"/>
    <w:rsid w:val="002B3B95"/>
    <w:rsid w:val="002C6C31"/>
    <w:rsid w:val="002D0229"/>
    <w:rsid w:val="002D05FF"/>
    <w:rsid w:val="002D1FE4"/>
    <w:rsid w:val="002F161D"/>
    <w:rsid w:val="002F6ED3"/>
    <w:rsid w:val="003008FE"/>
    <w:rsid w:val="0030169D"/>
    <w:rsid w:val="0030172E"/>
    <w:rsid w:val="003023BB"/>
    <w:rsid w:val="003039C0"/>
    <w:rsid w:val="003060EB"/>
    <w:rsid w:val="00306147"/>
    <w:rsid w:val="003102E5"/>
    <w:rsid w:val="0031377B"/>
    <w:rsid w:val="003153EB"/>
    <w:rsid w:val="00321985"/>
    <w:rsid w:val="0032696A"/>
    <w:rsid w:val="003269DA"/>
    <w:rsid w:val="00327435"/>
    <w:rsid w:val="00334974"/>
    <w:rsid w:val="0034192B"/>
    <w:rsid w:val="00351205"/>
    <w:rsid w:val="003526E4"/>
    <w:rsid w:val="003562F6"/>
    <w:rsid w:val="00363E8B"/>
    <w:rsid w:val="00372F74"/>
    <w:rsid w:val="00377B8C"/>
    <w:rsid w:val="00387CD3"/>
    <w:rsid w:val="0039298F"/>
    <w:rsid w:val="00397C00"/>
    <w:rsid w:val="003A0D33"/>
    <w:rsid w:val="003A1A3C"/>
    <w:rsid w:val="003A3843"/>
    <w:rsid w:val="003A5C9C"/>
    <w:rsid w:val="003B00D9"/>
    <w:rsid w:val="003B7833"/>
    <w:rsid w:val="003C3BE6"/>
    <w:rsid w:val="003C624E"/>
    <w:rsid w:val="003D06EB"/>
    <w:rsid w:val="003F3041"/>
    <w:rsid w:val="003F358B"/>
    <w:rsid w:val="003F6DDA"/>
    <w:rsid w:val="003F7224"/>
    <w:rsid w:val="004013FE"/>
    <w:rsid w:val="004077DE"/>
    <w:rsid w:val="00422AA7"/>
    <w:rsid w:val="0042622B"/>
    <w:rsid w:val="00427D21"/>
    <w:rsid w:val="00445768"/>
    <w:rsid w:val="00446929"/>
    <w:rsid w:val="00447F4A"/>
    <w:rsid w:val="00455AF2"/>
    <w:rsid w:val="00455CC6"/>
    <w:rsid w:val="00456F67"/>
    <w:rsid w:val="004644C2"/>
    <w:rsid w:val="00467F9C"/>
    <w:rsid w:val="00472FFE"/>
    <w:rsid w:val="004772E2"/>
    <w:rsid w:val="00477535"/>
    <w:rsid w:val="00486C02"/>
    <w:rsid w:val="00486C3E"/>
    <w:rsid w:val="00490F05"/>
    <w:rsid w:val="004B2090"/>
    <w:rsid w:val="004B2919"/>
    <w:rsid w:val="004B3381"/>
    <w:rsid w:val="004C3EB8"/>
    <w:rsid w:val="004C49B5"/>
    <w:rsid w:val="004D3D52"/>
    <w:rsid w:val="004D61EB"/>
    <w:rsid w:val="004E441E"/>
    <w:rsid w:val="004E46DF"/>
    <w:rsid w:val="004E7184"/>
    <w:rsid w:val="004F00A2"/>
    <w:rsid w:val="004F41C9"/>
    <w:rsid w:val="004F64F6"/>
    <w:rsid w:val="00500BCF"/>
    <w:rsid w:val="0051006C"/>
    <w:rsid w:val="0051099D"/>
    <w:rsid w:val="00512C73"/>
    <w:rsid w:val="005259CE"/>
    <w:rsid w:val="00533131"/>
    <w:rsid w:val="00534681"/>
    <w:rsid w:val="0053760C"/>
    <w:rsid w:val="00541699"/>
    <w:rsid w:val="00541B2A"/>
    <w:rsid w:val="00545CB7"/>
    <w:rsid w:val="00547C37"/>
    <w:rsid w:val="00554734"/>
    <w:rsid w:val="00554B3F"/>
    <w:rsid w:val="0056068E"/>
    <w:rsid w:val="00563442"/>
    <w:rsid w:val="0056348E"/>
    <w:rsid w:val="00565B42"/>
    <w:rsid w:val="00571510"/>
    <w:rsid w:val="00572239"/>
    <w:rsid w:val="00586809"/>
    <w:rsid w:val="005A378B"/>
    <w:rsid w:val="005B00DE"/>
    <w:rsid w:val="005B35E2"/>
    <w:rsid w:val="005B3E0D"/>
    <w:rsid w:val="005B60C0"/>
    <w:rsid w:val="005B6C44"/>
    <w:rsid w:val="005C3408"/>
    <w:rsid w:val="005C3736"/>
    <w:rsid w:val="005C4CE6"/>
    <w:rsid w:val="005C7809"/>
    <w:rsid w:val="005D0F84"/>
    <w:rsid w:val="005D1FA9"/>
    <w:rsid w:val="005E0C3B"/>
    <w:rsid w:val="005F1584"/>
    <w:rsid w:val="006122BA"/>
    <w:rsid w:val="00615BDC"/>
    <w:rsid w:val="006209FF"/>
    <w:rsid w:val="00621DEC"/>
    <w:rsid w:val="00622F0A"/>
    <w:rsid w:val="00625E0D"/>
    <w:rsid w:val="006270EA"/>
    <w:rsid w:val="00634D0C"/>
    <w:rsid w:val="00634D96"/>
    <w:rsid w:val="00637218"/>
    <w:rsid w:val="00640DA8"/>
    <w:rsid w:val="00647318"/>
    <w:rsid w:val="006478BF"/>
    <w:rsid w:val="00656B97"/>
    <w:rsid w:val="00660B19"/>
    <w:rsid w:val="006641E4"/>
    <w:rsid w:val="006656CF"/>
    <w:rsid w:val="00683964"/>
    <w:rsid w:val="00686EAE"/>
    <w:rsid w:val="00687867"/>
    <w:rsid w:val="00691BAF"/>
    <w:rsid w:val="00691DC4"/>
    <w:rsid w:val="00694EF7"/>
    <w:rsid w:val="00696E56"/>
    <w:rsid w:val="006A265C"/>
    <w:rsid w:val="006A73C1"/>
    <w:rsid w:val="006B2290"/>
    <w:rsid w:val="006B60B2"/>
    <w:rsid w:val="006C5874"/>
    <w:rsid w:val="006C5A8A"/>
    <w:rsid w:val="006D1C75"/>
    <w:rsid w:val="006D6D18"/>
    <w:rsid w:val="006E0F38"/>
    <w:rsid w:val="006E2E40"/>
    <w:rsid w:val="006E7DB0"/>
    <w:rsid w:val="006F492D"/>
    <w:rsid w:val="00702E45"/>
    <w:rsid w:val="0071704F"/>
    <w:rsid w:val="00717D88"/>
    <w:rsid w:val="00721091"/>
    <w:rsid w:val="00725620"/>
    <w:rsid w:val="007259A5"/>
    <w:rsid w:val="00726A43"/>
    <w:rsid w:val="00730AC4"/>
    <w:rsid w:val="00737077"/>
    <w:rsid w:val="007451FF"/>
    <w:rsid w:val="00745805"/>
    <w:rsid w:val="00751132"/>
    <w:rsid w:val="00752172"/>
    <w:rsid w:val="00760240"/>
    <w:rsid w:val="00763795"/>
    <w:rsid w:val="007640CD"/>
    <w:rsid w:val="00765589"/>
    <w:rsid w:val="007655DE"/>
    <w:rsid w:val="0076795C"/>
    <w:rsid w:val="00775645"/>
    <w:rsid w:val="007810E6"/>
    <w:rsid w:val="00782AE7"/>
    <w:rsid w:val="007859F5"/>
    <w:rsid w:val="00786056"/>
    <w:rsid w:val="007923B9"/>
    <w:rsid w:val="007942D3"/>
    <w:rsid w:val="00796ED0"/>
    <w:rsid w:val="007A161C"/>
    <w:rsid w:val="007A1D89"/>
    <w:rsid w:val="007A3F21"/>
    <w:rsid w:val="007A4ED4"/>
    <w:rsid w:val="007A7175"/>
    <w:rsid w:val="007B2099"/>
    <w:rsid w:val="007B44E7"/>
    <w:rsid w:val="007B5E63"/>
    <w:rsid w:val="007B6C09"/>
    <w:rsid w:val="007B7741"/>
    <w:rsid w:val="007C4951"/>
    <w:rsid w:val="007D45FE"/>
    <w:rsid w:val="007E09DA"/>
    <w:rsid w:val="007E0F8A"/>
    <w:rsid w:val="007E50D7"/>
    <w:rsid w:val="007E791F"/>
    <w:rsid w:val="007F31A2"/>
    <w:rsid w:val="007F718D"/>
    <w:rsid w:val="00801FAD"/>
    <w:rsid w:val="00810DB7"/>
    <w:rsid w:val="0081294A"/>
    <w:rsid w:val="008178B6"/>
    <w:rsid w:val="00835D7C"/>
    <w:rsid w:val="00840507"/>
    <w:rsid w:val="00844AEA"/>
    <w:rsid w:val="00847A41"/>
    <w:rsid w:val="00851A8D"/>
    <w:rsid w:val="00854E38"/>
    <w:rsid w:val="00856E9E"/>
    <w:rsid w:val="00865B74"/>
    <w:rsid w:val="00866063"/>
    <w:rsid w:val="00877927"/>
    <w:rsid w:val="00882CE6"/>
    <w:rsid w:val="0088690B"/>
    <w:rsid w:val="008948E6"/>
    <w:rsid w:val="008974F0"/>
    <w:rsid w:val="008A1499"/>
    <w:rsid w:val="008A3A2E"/>
    <w:rsid w:val="008B012A"/>
    <w:rsid w:val="008B0876"/>
    <w:rsid w:val="008B2F28"/>
    <w:rsid w:val="008C4890"/>
    <w:rsid w:val="008C56C2"/>
    <w:rsid w:val="008C7B99"/>
    <w:rsid w:val="008E7663"/>
    <w:rsid w:val="008F2301"/>
    <w:rsid w:val="008F302D"/>
    <w:rsid w:val="00901728"/>
    <w:rsid w:val="00906E17"/>
    <w:rsid w:val="00917678"/>
    <w:rsid w:val="00930BA1"/>
    <w:rsid w:val="0093169E"/>
    <w:rsid w:val="00931E44"/>
    <w:rsid w:val="00934C92"/>
    <w:rsid w:val="00935618"/>
    <w:rsid w:val="00944469"/>
    <w:rsid w:val="009504F0"/>
    <w:rsid w:val="009505C9"/>
    <w:rsid w:val="00950752"/>
    <w:rsid w:val="0095444F"/>
    <w:rsid w:val="00954899"/>
    <w:rsid w:val="00961643"/>
    <w:rsid w:val="0096349C"/>
    <w:rsid w:val="00966424"/>
    <w:rsid w:val="0096720F"/>
    <w:rsid w:val="009675CA"/>
    <w:rsid w:val="00970911"/>
    <w:rsid w:val="009710F8"/>
    <w:rsid w:val="009750B7"/>
    <w:rsid w:val="00975497"/>
    <w:rsid w:val="00990266"/>
    <w:rsid w:val="009A2041"/>
    <w:rsid w:val="009A62C0"/>
    <w:rsid w:val="009B1573"/>
    <w:rsid w:val="009B3246"/>
    <w:rsid w:val="009C01DA"/>
    <w:rsid w:val="009C1F2B"/>
    <w:rsid w:val="009C2BF7"/>
    <w:rsid w:val="009C2DE6"/>
    <w:rsid w:val="009D069C"/>
    <w:rsid w:val="009D1868"/>
    <w:rsid w:val="009D2557"/>
    <w:rsid w:val="009E1EDD"/>
    <w:rsid w:val="009E3660"/>
    <w:rsid w:val="009E6F3E"/>
    <w:rsid w:val="009E73E3"/>
    <w:rsid w:val="009F1980"/>
    <w:rsid w:val="009F25AD"/>
    <w:rsid w:val="009F5204"/>
    <w:rsid w:val="00A01335"/>
    <w:rsid w:val="00A111D1"/>
    <w:rsid w:val="00A117F7"/>
    <w:rsid w:val="00A16E29"/>
    <w:rsid w:val="00A20643"/>
    <w:rsid w:val="00A223D7"/>
    <w:rsid w:val="00A30BFD"/>
    <w:rsid w:val="00A36D40"/>
    <w:rsid w:val="00A408B4"/>
    <w:rsid w:val="00A43716"/>
    <w:rsid w:val="00A45BC6"/>
    <w:rsid w:val="00A46951"/>
    <w:rsid w:val="00A469E2"/>
    <w:rsid w:val="00A5065D"/>
    <w:rsid w:val="00A63258"/>
    <w:rsid w:val="00A63EDA"/>
    <w:rsid w:val="00A65101"/>
    <w:rsid w:val="00A65E1B"/>
    <w:rsid w:val="00A8116E"/>
    <w:rsid w:val="00A82775"/>
    <w:rsid w:val="00A83591"/>
    <w:rsid w:val="00A87F37"/>
    <w:rsid w:val="00A90BA3"/>
    <w:rsid w:val="00A92FDA"/>
    <w:rsid w:val="00AA523C"/>
    <w:rsid w:val="00AA6F92"/>
    <w:rsid w:val="00AB01E7"/>
    <w:rsid w:val="00AB0BF5"/>
    <w:rsid w:val="00AB6934"/>
    <w:rsid w:val="00AC0A80"/>
    <w:rsid w:val="00AC4BAD"/>
    <w:rsid w:val="00AC7CF0"/>
    <w:rsid w:val="00AD114B"/>
    <w:rsid w:val="00AE7825"/>
    <w:rsid w:val="00AF11D2"/>
    <w:rsid w:val="00AF42DE"/>
    <w:rsid w:val="00AF4A61"/>
    <w:rsid w:val="00AF60C5"/>
    <w:rsid w:val="00B00FC8"/>
    <w:rsid w:val="00B02DC7"/>
    <w:rsid w:val="00B04FF6"/>
    <w:rsid w:val="00B10847"/>
    <w:rsid w:val="00B11425"/>
    <w:rsid w:val="00B13974"/>
    <w:rsid w:val="00B15FAA"/>
    <w:rsid w:val="00B31184"/>
    <w:rsid w:val="00B3369F"/>
    <w:rsid w:val="00B33F49"/>
    <w:rsid w:val="00B34BDA"/>
    <w:rsid w:val="00B35ECB"/>
    <w:rsid w:val="00B37F03"/>
    <w:rsid w:val="00B42BA3"/>
    <w:rsid w:val="00B46670"/>
    <w:rsid w:val="00B54BB1"/>
    <w:rsid w:val="00B666E9"/>
    <w:rsid w:val="00B713DC"/>
    <w:rsid w:val="00B90458"/>
    <w:rsid w:val="00B909F0"/>
    <w:rsid w:val="00B94E6C"/>
    <w:rsid w:val="00B9588C"/>
    <w:rsid w:val="00B978DC"/>
    <w:rsid w:val="00B97BC5"/>
    <w:rsid w:val="00B97DF5"/>
    <w:rsid w:val="00BA0570"/>
    <w:rsid w:val="00BA153A"/>
    <w:rsid w:val="00BA2E1F"/>
    <w:rsid w:val="00BA5FF6"/>
    <w:rsid w:val="00BA624F"/>
    <w:rsid w:val="00BB4606"/>
    <w:rsid w:val="00BC4E4A"/>
    <w:rsid w:val="00BC7393"/>
    <w:rsid w:val="00BD1F7A"/>
    <w:rsid w:val="00BD554B"/>
    <w:rsid w:val="00BD708D"/>
    <w:rsid w:val="00BE1C94"/>
    <w:rsid w:val="00BE5299"/>
    <w:rsid w:val="00BE6118"/>
    <w:rsid w:val="00BE6F8C"/>
    <w:rsid w:val="00BF25AE"/>
    <w:rsid w:val="00C0107E"/>
    <w:rsid w:val="00C012C5"/>
    <w:rsid w:val="00C01645"/>
    <w:rsid w:val="00C01EC7"/>
    <w:rsid w:val="00C02085"/>
    <w:rsid w:val="00C038E0"/>
    <w:rsid w:val="00C04984"/>
    <w:rsid w:val="00C11749"/>
    <w:rsid w:val="00C23010"/>
    <w:rsid w:val="00C23D2F"/>
    <w:rsid w:val="00C355F2"/>
    <w:rsid w:val="00C41F77"/>
    <w:rsid w:val="00C4348A"/>
    <w:rsid w:val="00C443BD"/>
    <w:rsid w:val="00C451C5"/>
    <w:rsid w:val="00C5101A"/>
    <w:rsid w:val="00C51978"/>
    <w:rsid w:val="00C6676D"/>
    <w:rsid w:val="00C67FCD"/>
    <w:rsid w:val="00C84242"/>
    <w:rsid w:val="00C8555D"/>
    <w:rsid w:val="00C85999"/>
    <w:rsid w:val="00C86D91"/>
    <w:rsid w:val="00C8792E"/>
    <w:rsid w:val="00C90C6E"/>
    <w:rsid w:val="00C9161D"/>
    <w:rsid w:val="00C946FE"/>
    <w:rsid w:val="00CA0C1D"/>
    <w:rsid w:val="00CB140F"/>
    <w:rsid w:val="00CB6714"/>
    <w:rsid w:val="00CB6DA7"/>
    <w:rsid w:val="00CC4340"/>
    <w:rsid w:val="00CD37DC"/>
    <w:rsid w:val="00CD783D"/>
    <w:rsid w:val="00CE5E17"/>
    <w:rsid w:val="00CF1505"/>
    <w:rsid w:val="00CF1848"/>
    <w:rsid w:val="00CF3FB6"/>
    <w:rsid w:val="00CF4444"/>
    <w:rsid w:val="00D12044"/>
    <w:rsid w:val="00D12651"/>
    <w:rsid w:val="00D170D9"/>
    <w:rsid w:val="00D17C8B"/>
    <w:rsid w:val="00D21A38"/>
    <w:rsid w:val="00D21F54"/>
    <w:rsid w:val="00D22282"/>
    <w:rsid w:val="00D33EFC"/>
    <w:rsid w:val="00D361EC"/>
    <w:rsid w:val="00D36D96"/>
    <w:rsid w:val="00D40DBC"/>
    <w:rsid w:val="00D53D09"/>
    <w:rsid w:val="00D61891"/>
    <w:rsid w:val="00D61C85"/>
    <w:rsid w:val="00D6456F"/>
    <w:rsid w:val="00D744A5"/>
    <w:rsid w:val="00D74833"/>
    <w:rsid w:val="00D75CA6"/>
    <w:rsid w:val="00D75FAD"/>
    <w:rsid w:val="00D76A18"/>
    <w:rsid w:val="00D80849"/>
    <w:rsid w:val="00D81FFD"/>
    <w:rsid w:val="00D82594"/>
    <w:rsid w:val="00D82E8F"/>
    <w:rsid w:val="00D84623"/>
    <w:rsid w:val="00D868AE"/>
    <w:rsid w:val="00D95060"/>
    <w:rsid w:val="00DA20D8"/>
    <w:rsid w:val="00DA2A30"/>
    <w:rsid w:val="00DA774B"/>
    <w:rsid w:val="00DB0121"/>
    <w:rsid w:val="00DB5DA0"/>
    <w:rsid w:val="00DB5E0F"/>
    <w:rsid w:val="00DC0AC2"/>
    <w:rsid w:val="00DD118C"/>
    <w:rsid w:val="00DD3D53"/>
    <w:rsid w:val="00DD4821"/>
    <w:rsid w:val="00DD4DDB"/>
    <w:rsid w:val="00DD68A7"/>
    <w:rsid w:val="00DE2BC6"/>
    <w:rsid w:val="00DE3A64"/>
    <w:rsid w:val="00DE50B6"/>
    <w:rsid w:val="00DE765C"/>
    <w:rsid w:val="00DF61D1"/>
    <w:rsid w:val="00DF698E"/>
    <w:rsid w:val="00E078F9"/>
    <w:rsid w:val="00E1381B"/>
    <w:rsid w:val="00E13949"/>
    <w:rsid w:val="00E15125"/>
    <w:rsid w:val="00E17EDB"/>
    <w:rsid w:val="00E235F5"/>
    <w:rsid w:val="00E35A78"/>
    <w:rsid w:val="00E42877"/>
    <w:rsid w:val="00E44339"/>
    <w:rsid w:val="00E52028"/>
    <w:rsid w:val="00E52FA3"/>
    <w:rsid w:val="00E66235"/>
    <w:rsid w:val="00E7300E"/>
    <w:rsid w:val="00E83C24"/>
    <w:rsid w:val="00E911FD"/>
    <w:rsid w:val="00E9318D"/>
    <w:rsid w:val="00E93F3E"/>
    <w:rsid w:val="00E95001"/>
    <w:rsid w:val="00EA5150"/>
    <w:rsid w:val="00EB2568"/>
    <w:rsid w:val="00EB562B"/>
    <w:rsid w:val="00EB5DE1"/>
    <w:rsid w:val="00EC133A"/>
    <w:rsid w:val="00EC2EF8"/>
    <w:rsid w:val="00ED162B"/>
    <w:rsid w:val="00ED46FA"/>
    <w:rsid w:val="00ED63C6"/>
    <w:rsid w:val="00EE0653"/>
    <w:rsid w:val="00EE1C5C"/>
    <w:rsid w:val="00EE3504"/>
    <w:rsid w:val="00EE7131"/>
    <w:rsid w:val="00EF567C"/>
    <w:rsid w:val="00F023B2"/>
    <w:rsid w:val="00F063C2"/>
    <w:rsid w:val="00F06F13"/>
    <w:rsid w:val="00F11CF6"/>
    <w:rsid w:val="00F11F94"/>
    <w:rsid w:val="00F14793"/>
    <w:rsid w:val="00F149DC"/>
    <w:rsid w:val="00F216B7"/>
    <w:rsid w:val="00F23C37"/>
    <w:rsid w:val="00F24F88"/>
    <w:rsid w:val="00F25143"/>
    <w:rsid w:val="00F26E0C"/>
    <w:rsid w:val="00F303C1"/>
    <w:rsid w:val="00F31EC7"/>
    <w:rsid w:val="00F320F6"/>
    <w:rsid w:val="00F403A2"/>
    <w:rsid w:val="00F41034"/>
    <w:rsid w:val="00F44995"/>
    <w:rsid w:val="00F50900"/>
    <w:rsid w:val="00F53193"/>
    <w:rsid w:val="00F5357E"/>
    <w:rsid w:val="00F6034A"/>
    <w:rsid w:val="00F60743"/>
    <w:rsid w:val="00F62722"/>
    <w:rsid w:val="00F6586C"/>
    <w:rsid w:val="00F760FF"/>
    <w:rsid w:val="00F82CD3"/>
    <w:rsid w:val="00F831F2"/>
    <w:rsid w:val="00F9038B"/>
    <w:rsid w:val="00F90887"/>
    <w:rsid w:val="00F908F4"/>
    <w:rsid w:val="00F94774"/>
    <w:rsid w:val="00F96247"/>
    <w:rsid w:val="00FA663B"/>
    <w:rsid w:val="00FB19B9"/>
    <w:rsid w:val="00FB2C4F"/>
    <w:rsid w:val="00FB6391"/>
    <w:rsid w:val="00FB707D"/>
    <w:rsid w:val="00FB7CFB"/>
    <w:rsid w:val="00FC022C"/>
    <w:rsid w:val="00FC53DB"/>
    <w:rsid w:val="00FD6122"/>
    <w:rsid w:val="00FD6EFC"/>
    <w:rsid w:val="00FE373E"/>
    <w:rsid w:val="00FF0409"/>
    <w:rsid w:val="00FF170C"/>
    <w:rsid w:val="00FF277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34BDA"/>
    <w:pPr>
      <w:keepNext/>
      <w:numPr>
        <w:ilvl w:val="4"/>
        <w:numId w:val="21"/>
      </w:numPr>
      <w:spacing w:before="120" w:after="120"/>
      <w:jc w:val="left"/>
      <w:outlineLvl w:val="4"/>
    </w:pPr>
    <w:rPr>
      <w:rFonts w:eastAsiaTheme="majorEastAsia"/>
      <w:i/>
      <w:iCs/>
    </w:rPr>
  </w:style>
  <w:style w:type="paragraph" w:styleId="Heading6">
    <w:name w:val="heading 6"/>
    <w:basedOn w:val="Normal"/>
    <w:next w:val="Normal"/>
    <w:link w:val="Heading6Ch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34BDA"/>
    <w:pPr>
      <w:keepNext/>
      <w:widowControl w:val="0"/>
      <w:numPr>
        <w:ilvl w:val="8"/>
        <w:numId w:val="2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B34BD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34BDA"/>
    <w:rPr>
      <w:rFonts w:ascii="Times New Roman" w:eastAsia="SimSun" w:hAnsi="Times New Roman" w:cs="Times New Roman"/>
      <w:sz w:val="20"/>
      <w:szCs w:val="22"/>
      <w:lang w:val="en-US"/>
    </w:rPr>
  </w:style>
  <w:style w:type="paragraph" w:styleId="Footer">
    <w:name w:val="footer"/>
    <w:basedOn w:val="Normal"/>
    <w:link w:val="FooterChar"/>
    <w:uiPriority w:val="99"/>
    <w:rsid w:val="00B34BDA"/>
    <w:pPr>
      <w:tabs>
        <w:tab w:val="center" w:pos="4680"/>
        <w:tab w:val="right" w:pos="9360"/>
      </w:tabs>
    </w:pPr>
    <w:rPr>
      <w:sz w:val="20"/>
    </w:rPr>
  </w:style>
  <w:style w:type="character" w:customStyle="1" w:styleId="FooterChar">
    <w:name w:val="Footer Char"/>
    <w:basedOn w:val="DefaultParagraphFont"/>
    <w:link w:val="Footer"/>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34BDA"/>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34BDA"/>
    <w:rPr>
      <w:sz w:val="16"/>
      <w:szCs w:val="16"/>
    </w:rPr>
  </w:style>
  <w:style w:type="paragraph" w:styleId="CommentText">
    <w:name w:val="annotation text"/>
    <w:basedOn w:val="Normal"/>
    <w:link w:val="CommentTextChar"/>
    <w:uiPriority w:val="99"/>
    <w:semiHidden/>
    <w:rsid w:val="00B34BDA"/>
    <w:rPr>
      <w:sz w:val="20"/>
      <w:szCs w:val="20"/>
    </w:rPr>
  </w:style>
  <w:style w:type="character" w:customStyle="1" w:styleId="CommentTextChar">
    <w:name w:val="Comment Text Char"/>
    <w:basedOn w:val="DefaultParagraphFont"/>
    <w:link w:val="CommentText"/>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qFormat/>
    <w:rsid w:val="00B34BDA"/>
    <w:rPr>
      <w:vertAlign w:val="superscript"/>
    </w:rPr>
  </w:style>
  <w:style w:type="paragraph" w:styleId="FootnoteText">
    <w:name w:val="footnote text"/>
    <w:basedOn w:val="Normal"/>
    <w:link w:val="FootnoteTextChar"/>
    <w:uiPriority w:val="99"/>
    <w:semiHidden/>
    <w:unhideWhenUsed/>
    <w:qFormat/>
    <w:rsid w:val="00B34BDA"/>
    <w:pPr>
      <w:jc w:val="left"/>
    </w:pPr>
    <w:rPr>
      <w:sz w:val="18"/>
      <w:szCs w:val="20"/>
    </w:rPr>
  </w:style>
  <w:style w:type="character" w:customStyle="1" w:styleId="FootnoteTextChar">
    <w:name w:val="Footnote Text Char"/>
    <w:basedOn w:val="DefaultParagraphFont"/>
    <w:link w:val="FootnoteText"/>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34BDA"/>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B34BDA"/>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B34BDA"/>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B34BDA"/>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B34BDA"/>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34BD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FootnoteText"/>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34BDA"/>
    <w:rPr>
      <w:b/>
      <w:bCs/>
    </w:rPr>
  </w:style>
  <w:style w:type="character" w:customStyle="1" w:styleId="CommentSubjectChar">
    <w:name w:val="Comment Subject Char"/>
    <w:basedOn w:val="CommentTextChar"/>
    <w:link w:val="CommentSubject"/>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B34BDA"/>
    <w:pPr>
      <w:contextualSpacing/>
    </w:pPr>
  </w:style>
  <w:style w:type="numbering" w:customStyle="1" w:styleId="ListCBD">
    <w:name w:val="ListCBD"/>
    <w:basedOn w:val="NoList"/>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 w:type="character" w:customStyle="1" w:styleId="15">
    <w:name w:val="15"/>
    <w:basedOn w:val="DefaultParagraphFont"/>
    <w:rsid w:val="005F1584"/>
    <w:rPr>
      <w:rFonts w:ascii="Cambria" w:eastAsia="Cambria" w:hAnsi="Cambria" w:cs="Cambria" w:hint="default"/>
      <w:vertAlign w:val="superscript"/>
    </w:rPr>
  </w:style>
  <w:style w:type="character" w:customStyle="1" w:styleId="1">
    <w:name w:val="脚注文本 字符1"/>
    <w:basedOn w:val="DefaultParagraphFont"/>
    <w:uiPriority w:val="99"/>
    <w:semiHidden/>
    <w:rsid w:val="00810DB7"/>
    <w:rPr>
      <w:rFonts w:ascii="Times New Roman" w:eastAsia="SimSun" w:hAnsi="Times New Roman"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1.xml"/><Relationship Id="rId26" Type="http://schemas.openxmlformats.org/officeDocument/2006/relationships/hyperlink" Target="https://cdn-contenu.quebec.ca/cdn-contenu/environnement/biodiversite/plan-nature-2030-plan-action-en.pdf" TargetMode="External"/><Relationship Id="rId39" Type="http://schemas.openxmlformats.org/officeDocument/2006/relationships/hyperlink" Target="https://regions4.org/actions/restoring-mangrove-forests-saint-louis-solution-to-coastal-vulnerability-and-resilience/" TargetMode="External"/><Relationship Id="rId21" Type="http://schemas.openxmlformats.org/officeDocument/2006/relationships/hyperlink" Target="https://regionswithnature.org/actions/" TargetMode="External"/><Relationship Id="rId34" Type="http://schemas.openxmlformats.org/officeDocument/2006/relationships/hyperlink" Target="https://www.sedest.pr.gov.br/Pagina/Creditos-de-Biodiversidade" TargetMode="External"/><Relationship Id="rId42" Type="http://schemas.openxmlformats.org/officeDocument/2006/relationships/hyperlink" Target="https://www.iucnurbannatureindexes.org/en" TargetMode="External"/><Relationship Id="rId47" Type="http://schemas.openxmlformats.org/officeDocument/2006/relationships/hyperlink" Target="https://regions4.org/csd/community-biodiversity-monitoring-yucatan/" TargetMode="Externa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ramsar.org/our-work/activities/wetland-city-accreditation" TargetMode="External"/><Relationship Id="rId11" Type="http://schemas.openxmlformats.org/officeDocument/2006/relationships/endnotes" Target="endnotes.xml"/><Relationship Id="rId24" Type="http://schemas.openxmlformats.org/officeDocument/2006/relationships/hyperlink" Target="https://www.californianature.ca.gov/" TargetMode="External"/><Relationship Id="rId32" Type="http://schemas.openxmlformats.org/officeDocument/2006/relationships/hyperlink" Target="https://regions4.org/actions/restoring-mangrove-forests-saint-louis-solution-to-coastal-vulnerability-and-resilience/" TargetMode="External"/><Relationship Id="rId37" Type="http://schemas.openxmlformats.org/officeDocument/2006/relationships/hyperlink" Target="https://regions4.org/csd/magepan/" TargetMode="External"/><Relationship Id="rId40" Type="http://schemas.openxmlformats.org/officeDocument/2006/relationships/hyperlink" Target="https://citieswithnature.org/tools-and-resources/257" TargetMode="External"/><Relationship Id="rId45" Type="http://schemas.openxmlformats.org/officeDocument/2006/relationships/hyperlink" Target="https://www.gov.scot/publications/environment-strategy-scotland/pages/4/" TargetMode="External"/><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oc/decisions/cop-15/cop-15-dec-12-zh.pdf" TargetMode="External"/><Relationship Id="rId31" Type="http://schemas.openxmlformats.org/officeDocument/2006/relationships/hyperlink" Target="https://prouc.ambiente.rj.gov.br/" TargetMode="External"/><Relationship Id="rId44" Type="http://schemas.openxmlformats.org/officeDocument/2006/relationships/hyperlink" Target="https://citieswithnature.org/berlin-urban-nature-pact/"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regionswithnature.org/actions/" TargetMode="External"/><Relationship Id="rId27" Type="http://schemas.openxmlformats.org/officeDocument/2006/relationships/hyperlink" Target="https://cbc.iclei.org/project/una-resilience/" TargetMode="External"/><Relationship Id="rId30" Type="http://schemas.openxmlformats.org/officeDocument/2006/relationships/hyperlink" Target="https://wetlandcity.org/" TargetMode="External"/><Relationship Id="rId35" Type="http://schemas.openxmlformats.org/officeDocument/2006/relationships/hyperlink" Target="https://www.decadeonrestoration.org/generation-restoration-cities" TargetMode="External"/><Relationship Id="rId43" Type="http://schemas.openxmlformats.org/officeDocument/2006/relationships/hyperlink" Target="https://www.nbsroadmap.org/roadmap" TargetMode="External"/><Relationship Id="rId48" Type="http://schemas.openxmlformats.org/officeDocument/2006/relationships/hyperlink" Target="https://citieswithnature.org/actions/" TargetMode="External"/><Relationship Id="rId8" Type="http://schemas.openxmlformats.org/officeDocument/2006/relationships/settings" Target="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2.xml"/><Relationship Id="rId25" Type="http://schemas.openxmlformats.org/officeDocument/2006/relationships/hyperlink" Target="https://www.environnement.gouv.qc.ca/biodiversite/aires_protegees/consultation/appel-projet-territoire-public-meridional-en.htm" TargetMode="External"/><Relationship Id="rId33" Type="http://schemas.openxmlformats.org/officeDocument/2006/relationships/hyperlink" Target="https://naturachevale.it/wp-content/uploads/2023/10/ese_brochure_BioClima_IT-1.pdf" TargetMode="External"/><Relationship Id="rId38" Type="http://schemas.openxmlformats.org/officeDocument/2006/relationships/hyperlink" Target="https://cbc.iclei.org/project/journeys-for-life/" TargetMode="External"/><Relationship Id="rId46" Type="http://schemas.openxmlformats.org/officeDocument/2006/relationships/hyperlink" Target="https://www.medclimate.org/news-resources/blog-post-title-three-mtl7j" TargetMode="External"/><Relationship Id="rId20" Type="http://schemas.openxmlformats.org/officeDocument/2006/relationships/hyperlink" Target="https://citieswithnature.org/actions/" TargetMode="External"/><Relationship Id="rId41" Type="http://schemas.openxmlformats.org/officeDocument/2006/relationships/hyperlink" Target="https://citieswithnature.org/cbi-introductio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12-zh.pdf" TargetMode="External"/><Relationship Id="rId23" Type="http://schemas.openxmlformats.org/officeDocument/2006/relationships/hyperlink" Target="https://citieswithnature.org/actions/" TargetMode="External"/><Relationship Id="rId28" Type="http://schemas.openxmlformats.org/officeDocument/2006/relationships/hyperlink" Target="https://cbc.iclei.org/project/urban-natural-assets-for-africa-embedding-and-sharing-for-scaled-impact/" TargetMode="External"/><Relationship Id="rId36" Type="http://schemas.openxmlformats.org/officeDocument/2006/relationships/hyperlink" Target="https://iddpnql.ca/en/financement/indigenous-leadership-fund-for-biodiversity-conservation/" TargetMode="External"/><Relationship Id="rId49" Type="http://schemas.openxmlformats.org/officeDocument/2006/relationships/hyperlink" Target="https://regionswithnature.org/action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4/ADD2/REV1" TargetMode="External"/><Relationship Id="rId3" Type="http://schemas.openxmlformats.org/officeDocument/2006/relationships/hyperlink" Target="https://regions4.org/" TargetMode="External"/><Relationship Id="rId7" Type="http://schemas.openxmlformats.org/officeDocument/2006/relationships/hyperlink" Target="https://www.cbd.int/doc/decisions/cop-15/cop-15-dec-12-zh.pdf" TargetMode="External"/><Relationship Id="rId2" Type="http://schemas.openxmlformats.org/officeDocument/2006/relationships/hyperlink" Target="https://iclei.org/" TargetMode="External"/><Relationship Id="rId1" Type="http://schemas.openxmlformats.org/officeDocument/2006/relationships/hyperlink" Target="https://www.cbd.int/doc/c/2942/4740/477a6f87ff8c8307086a80b4/sbi-07-01-zh.pdf" TargetMode="External"/><Relationship Id="rId6" Type="http://schemas.openxmlformats.org/officeDocument/2006/relationships/hyperlink" Target="https://www.cbd.int/doc/decisions/cop-15/cop-15-dec-04-zh.pdf" TargetMode="External"/><Relationship Id="rId5" Type="http://schemas.openxmlformats.org/officeDocument/2006/relationships/hyperlink" Target="https://regionswithnature.org/" TargetMode="External"/><Relationship Id="rId4" Type="http://schemas.openxmlformats.org/officeDocument/2006/relationships/hyperlink" Target="https://citieswithnature.org/" TargetMode="External"/><Relationship Id="rId9" Type="http://schemas.openxmlformats.org/officeDocument/2006/relationships/hyperlink" Target="https://www.cbd.int/doc/decisions/cop-16/cop-16-dec-3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CF2946-3D3F-4369-AD38-C31FBB0C2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sbi-07-template-en(1).dotm</Template>
  <TotalTime>299</TotalTime>
  <Pages>14</Pages>
  <Words>8216</Words>
  <Characters>8546</Characters>
  <Application>Microsoft Office Word</Application>
  <DocSecurity>0</DocSecurity>
  <Lines>294</Lines>
  <Paragraphs>180</Paragraphs>
  <ScaleCrop>false</ScaleCrop>
  <HeadingPairs>
    <vt:vector size="2" baseType="variant">
      <vt:variant>
        <vt:lpstr>Title</vt:lpstr>
      </vt:variant>
      <vt:variant>
        <vt:i4>1</vt:i4>
      </vt:variant>
    </vt:vector>
  </HeadingPairs>
  <TitlesOfParts>
    <vt:vector size="1" baseType="lpstr">
      <vt:lpstr>Review of the role of subnational and local governments in the implementation of the Kunming-Montreal Global Biodiversity Framework</vt:lpstr>
    </vt:vector>
  </TitlesOfParts>
  <Company>SCBD</Company>
  <LinksUpToDate>false</LinksUpToDate>
  <CharactersWithSpaces>16582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role of subnational and local governments in the implementation of the Kunming-Montreal Global Biodiversity Framework</dc:title>
  <dc:subject>CBD/SBI/7/9</dc:subject>
  <dc:creator>SCBD</dc:creator>
  <cp:keywords>Convention on Biological Diversity</cp:keywords>
  <cp:lastModifiedBy>SCBD</cp:lastModifiedBy>
  <cp:revision>188</cp:revision>
  <cp:lastPrinted>2026-06-30T12:03:00Z</cp:lastPrinted>
  <dcterms:created xsi:type="dcterms:W3CDTF">2026-06-26T19:25:00Z</dcterms:created>
  <dcterms:modified xsi:type="dcterms:W3CDTF">2026-07-01T01:38:00Z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