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5454F5" w:rsidRPr="00D03791" w14:paraId="5D0DB6B0" w14:textId="77777777" w:rsidTr="00702CDC">
        <w:trPr>
          <w:trHeight w:val="851"/>
        </w:trPr>
        <w:tc>
          <w:tcPr>
            <w:tcW w:w="800" w:type="dxa"/>
            <w:tcBorders>
              <w:bottom w:val="single" w:sz="12" w:space="0" w:color="auto"/>
            </w:tcBorders>
          </w:tcPr>
          <w:p w14:paraId="161666EC" w14:textId="77777777" w:rsidR="005454F5" w:rsidRPr="00971D2F" w:rsidRDefault="005454F5" w:rsidP="00702CDC">
            <w:pPr>
              <w:rPr>
                <w:snapToGrid w:val="0"/>
                <w:kern w:val="22"/>
              </w:rPr>
            </w:pPr>
            <w:r w:rsidRPr="00971D2F">
              <w:rPr>
                <w:noProof/>
                <w:snapToGrid w:val="0"/>
                <w:kern w:val="22"/>
                <w:lang w:val="fr-CA" w:eastAsia="fr-CA"/>
              </w:rPr>
              <w:drawing>
                <wp:anchor distT="0" distB="0" distL="114300" distR="114300" simplePos="0" relativeHeight="251658241" behindDoc="0" locked="0" layoutInCell="1" allowOverlap="1" wp14:anchorId="238F7870" wp14:editId="520C2B2A">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47730BE" w14:textId="4DD3436C" w:rsidR="005454F5" w:rsidRPr="00971D2F" w:rsidRDefault="00C63CF5" w:rsidP="00702CDC">
            <w:pPr>
              <w:rPr>
                <w:snapToGrid w:val="0"/>
                <w:kern w:val="22"/>
              </w:rPr>
            </w:pPr>
            <w:r w:rsidRPr="00C63CF5">
              <w:rPr>
                <w:noProof/>
                <w:lang w:eastAsia="fr-CA"/>
              </w:rPr>
              <w:drawing>
                <wp:inline distT="0" distB="0" distL="0" distR="0" wp14:anchorId="3CCE56B5" wp14:editId="52E13ABD">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1B95CE08" w14:textId="77777777" w:rsidR="005454F5" w:rsidRPr="00971D2F" w:rsidRDefault="005454F5" w:rsidP="00702CDC">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5454F5" w:rsidRPr="00AC4625" w14:paraId="27B075F8" w14:textId="77777777" w:rsidTr="00702CDC">
        <w:tc>
          <w:tcPr>
            <w:tcW w:w="5941" w:type="dxa"/>
            <w:gridSpan w:val="2"/>
            <w:tcBorders>
              <w:top w:val="single" w:sz="12" w:space="0" w:color="auto"/>
              <w:bottom w:val="single" w:sz="36" w:space="0" w:color="auto"/>
            </w:tcBorders>
            <w:vAlign w:val="center"/>
          </w:tcPr>
          <w:p w14:paraId="72265719" w14:textId="25A49F3E" w:rsidR="005454F5" w:rsidRPr="00AC4625" w:rsidRDefault="00C63CF5" w:rsidP="00702CDC">
            <w:pPr>
              <w:rPr>
                <w:snapToGrid w:val="0"/>
                <w:kern w:val="22"/>
                <w:lang w:val="fr-CA"/>
              </w:rPr>
            </w:pPr>
            <w:r w:rsidRPr="00AC4625">
              <w:rPr>
                <w:bCs/>
                <w:noProof/>
                <w:szCs w:val="22"/>
                <w:lang w:val="fr-CA" w:eastAsia="fr-CA"/>
              </w:rPr>
              <w:drawing>
                <wp:inline distT="0" distB="0" distL="0" distR="0" wp14:anchorId="377DC32C" wp14:editId="6EB54AEB">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3E86021" w14:textId="77777777" w:rsidR="005454F5" w:rsidRPr="00AC4625" w:rsidRDefault="005454F5" w:rsidP="00702CDC">
            <w:pPr>
              <w:ind w:left="1215"/>
              <w:rPr>
                <w:snapToGrid w:val="0"/>
                <w:kern w:val="22"/>
                <w:szCs w:val="22"/>
                <w:lang w:val="fr-CA"/>
              </w:rPr>
            </w:pPr>
            <w:r w:rsidRPr="00AC4625">
              <w:rPr>
                <w:snapToGrid w:val="0"/>
                <w:kern w:val="22"/>
                <w:szCs w:val="22"/>
                <w:lang w:val="fr-CA"/>
              </w:rPr>
              <w:t>Distr.</w:t>
            </w:r>
          </w:p>
          <w:p w14:paraId="44BCAA2E" w14:textId="3EBBDA23" w:rsidR="005454F5" w:rsidRPr="00AC4625" w:rsidRDefault="00AC4625" w:rsidP="00702CDC">
            <w:pPr>
              <w:ind w:left="1215"/>
              <w:rPr>
                <w:snapToGrid w:val="0"/>
                <w:kern w:val="22"/>
                <w:szCs w:val="22"/>
                <w:lang w:val="fr-CA"/>
              </w:rPr>
            </w:pPr>
            <w:r w:rsidRPr="00AC4625">
              <w:rPr>
                <w:snapToGrid w:val="0"/>
                <w:kern w:val="22"/>
                <w:szCs w:val="22"/>
                <w:lang w:val="fr-CA"/>
              </w:rPr>
              <w:t>LIMITÉE</w:t>
            </w:r>
          </w:p>
          <w:p w14:paraId="14D97889" w14:textId="77777777" w:rsidR="005454F5" w:rsidRPr="00AC4625" w:rsidRDefault="005454F5" w:rsidP="00702CDC">
            <w:pPr>
              <w:ind w:left="1215"/>
              <w:rPr>
                <w:snapToGrid w:val="0"/>
                <w:kern w:val="22"/>
                <w:szCs w:val="22"/>
                <w:lang w:val="fr-CA"/>
              </w:rPr>
            </w:pPr>
          </w:p>
          <w:p w14:paraId="75F1E0BB" w14:textId="557B2559" w:rsidR="005454F5" w:rsidRPr="00AC4625" w:rsidRDefault="000357BA" w:rsidP="00702CDC">
            <w:pPr>
              <w:ind w:left="1215"/>
              <w:rPr>
                <w:snapToGrid w:val="0"/>
                <w:kern w:val="22"/>
                <w:szCs w:val="22"/>
                <w:lang w:val="fr-CA"/>
              </w:rPr>
            </w:pPr>
            <w:sdt>
              <w:sdtPr>
                <w:rPr>
                  <w:snapToGrid w:val="0"/>
                  <w:kern w:val="22"/>
                  <w:lang w:val="fr-CA"/>
                </w:rPr>
                <w:alias w:val="Subject"/>
                <w:tag w:val=""/>
                <w:id w:val="2137136483"/>
                <w:placeholder>
                  <w:docPart w:val="0674F9123A60413996FADD87A63F9181"/>
                </w:placeholder>
                <w:dataBinding w:prefixMappings="xmlns:ns0='http://purl.org/dc/elements/1.1/' xmlns:ns1='http://schemas.openxmlformats.org/package/2006/metadata/core-properties' " w:xpath="/ns1:coreProperties[1]/ns0:subject[1]" w:storeItemID="{6C3C8BC8-F283-45AE-878A-BAB7291924A1}"/>
                <w:text/>
              </w:sdtPr>
              <w:sdtEndPr/>
              <w:sdtContent>
                <w:r w:rsidR="005454F5" w:rsidRPr="00AC4625">
                  <w:rPr>
                    <w:snapToGrid w:val="0"/>
                    <w:kern w:val="22"/>
                    <w:lang w:val="fr-CA"/>
                  </w:rPr>
                  <w:t>CBD/SBSTTA/24/L</w:t>
                </w:r>
                <w:r w:rsidR="008809EC" w:rsidRPr="00AC4625">
                  <w:rPr>
                    <w:snapToGrid w:val="0"/>
                    <w:kern w:val="22"/>
                    <w:lang w:val="fr-CA"/>
                  </w:rPr>
                  <w:t>.3</w:t>
                </w:r>
              </w:sdtContent>
            </w:sdt>
          </w:p>
          <w:p w14:paraId="5B475247" w14:textId="5C1AA67F" w:rsidR="005454F5" w:rsidRPr="00AC4625" w:rsidRDefault="005454F5" w:rsidP="00702CDC">
            <w:pPr>
              <w:ind w:left="1215"/>
              <w:rPr>
                <w:snapToGrid w:val="0"/>
                <w:kern w:val="22"/>
                <w:szCs w:val="22"/>
                <w:lang w:val="fr-CA"/>
              </w:rPr>
            </w:pPr>
            <w:r w:rsidRPr="00AC4625">
              <w:rPr>
                <w:snapToGrid w:val="0"/>
                <w:kern w:val="22"/>
                <w:szCs w:val="22"/>
                <w:lang w:val="fr-CA"/>
              </w:rPr>
              <w:t>2</w:t>
            </w:r>
            <w:r w:rsidR="00A34B19" w:rsidRPr="00AC4625">
              <w:rPr>
                <w:snapToGrid w:val="0"/>
                <w:kern w:val="22"/>
                <w:szCs w:val="22"/>
                <w:lang w:val="fr-CA"/>
              </w:rPr>
              <w:t>6</w:t>
            </w:r>
            <w:r w:rsidR="00AC4625" w:rsidRPr="00AC4625">
              <w:rPr>
                <w:snapToGrid w:val="0"/>
                <w:kern w:val="22"/>
                <w:szCs w:val="22"/>
                <w:lang w:val="fr-CA"/>
              </w:rPr>
              <w:t xml:space="preserve"> mai</w:t>
            </w:r>
            <w:r w:rsidRPr="00AC4625">
              <w:rPr>
                <w:snapToGrid w:val="0"/>
                <w:kern w:val="22"/>
                <w:szCs w:val="22"/>
                <w:lang w:val="fr-CA"/>
              </w:rPr>
              <w:t xml:space="preserve"> 2021</w:t>
            </w:r>
          </w:p>
          <w:p w14:paraId="5A2C60CE" w14:textId="77777777" w:rsidR="005454F5" w:rsidRPr="00AC4625" w:rsidRDefault="005454F5" w:rsidP="00702CDC">
            <w:pPr>
              <w:ind w:left="1215"/>
              <w:rPr>
                <w:snapToGrid w:val="0"/>
                <w:kern w:val="22"/>
                <w:szCs w:val="22"/>
                <w:lang w:val="fr-CA"/>
              </w:rPr>
            </w:pPr>
          </w:p>
          <w:p w14:paraId="0C64906E" w14:textId="77777777" w:rsidR="00AC4625" w:rsidRPr="00AC4625" w:rsidRDefault="00AC4625" w:rsidP="00702CDC">
            <w:pPr>
              <w:ind w:left="1215"/>
              <w:rPr>
                <w:snapToGrid w:val="0"/>
                <w:kern w:val="22"/>
                <w:szCs w:val="22"/>
                <w:lang w:val="fr-CA"/>
              </w:rPr>
            </w:pPr>
            <w:r w:rsidRPr="00AC4625">
              <w:rPr>
                <w:snapToGrid w:val="0"/>
                <w:kern w:val="22"/>
                <w:szCs w:val="22"/>
                <w:lang w:val="fr-CA"/>
              </w:rPr>
              <w:t>FRANÇAIS</w:t>
            </w:r>
          </w:p>
          <w:p w14:paraId="738AB811" w14:textId="6395B748" w:rsidR="005454F5" w:rsidRPr="00AC4625" w:rsidRDefault="005454F5" w:rsidP="00702CDC">
            <w:pPr>
              <w:ind w:left="1215"/>
              <w:rPr>
                <w:snapToGrid w:val="0"/>
                <w:kern w:val="22"/>
                <w:szCs w:val="22"/>
                <w:lang w:val="fr-CA"/>
              </w:rPr>
            </w:pPr>
            <w:r w:rsidRPr="00AC4625">
              <w:rPr>
                <w:snapToGrid w:val="0"/>
                <w:kern w:val="22"/>
                <w:szCs w:val="22"/>
                <w:lang w:val="fr-CA"/>
              </w:rPr>
              <w:t>ORIGINAL</w:t>
            </w:r>
            <w:r w:rsidR="00AC4625" w:rsidRPr="00AC4625">
              <w:rPr>
                <w:snapToGrid w:val="0"/>
                <w:kern w:val="22"/>
                <w:szCs w:val="22"/>
                <w:lang w:val="fr-CA"/>
              </w:rPr>
              <w:t xml:space="preserve"> </w:t>
            </w:r>
            <w:r w:rsidRPr="00AC4625">
              <w:rPr>
                <w:snapToGrid w:val="0"/>
                <w:kern w:val="22"/>
                <w:szCs w:val="22"/>
                <w:lang w:val="fr-CA"/>
              </w:rPr>
              <w:t xml:space="preserve">: </w:t>
            </w:r>
            <w:r w:rsidR="00AC4625" w:rsidRPr="00AC4625">
              <w:rPr>
                <w:snapToGrid w:val="0"/>
                <w:kern w:val="22"/>
                <w:szCs w:val="22"/>
                <w:lang w:val="fr-CA"/>
              </w:rPr>
              <w:t>ANGLAIS</w:t>
            </w:r>
          </w:p>
          <w:p w14:paraId="2BC46055" w14:textId="77777777" w:rsidR="005454F5" w:rsidRPr="00AC4625" w:rsidRDefault="005454F5" w:rsidP="00702CDC">
            <w:pPr>
              <w:rPr>
                <w:snapToGrid w:val="0"/>
                <w:kern w:val="22"/>
                <w:lang w:val="fr-CA"/>
              </w:rPr>
            </w:pPr>
          </w:p>
        </w:tc>
      </w:tr>
    </w:tbl>
    <w:p w14:paraId="7CB36FA5" w14:textId="090587C2" w:rsidR="00C63CF5" w:rsidRPr="00AC4625" w:rsidRDefault="00C63CF5" w:rsidP="00C63CF5">
      <w:pPr>
        <w:pStyle w:val="meetingname"/>
        <w:suppressLineNumbers/>
        <w:suppressAutoHyphens/>
        <w:kinsoku w:val="0"/>
        <w:overflowPunct w:val="0"/>
        <w:autoSpaceDE w:val="0"/>
        <w:autoSpaceDN w:val="0"/>
        <w:adjustRightInd w:val="0"/>
        <w:snapToGrid w:val="0"/>
        <w:ind w:right="4784"/>
        <w:jc w:val="left"/>
        <w:rPr>
          <w:snapToGrid w:val="0"/>
          <w:kern w:val="22"/>
          <w:lang w:val="fr-CA"/>
        </w:rPr>
      </w:pPr>
      <w:r w:rsidRPr="00AC4625">
        <w:rPr>
          <w:snapToGrid w:val="0"/>
          <w:kern w:val="22"/>
          <w:lang w:val="fr-CA"/>
        </w:rPr>
        <w:t>ORGANE SUBSIDIAIRE CHARGÉ DE FOURNIR DES AVIS SCIENTIFIQUES, TECHNIQUES ET TECHNOLOGIQUES</w:t>
      </w:r>
    </w:p>
    <w:p w14:paraId="0ACF1AA2" w14:textId="77777777" w:rsidR="00C63CF5" w:rsidRPr="00AC4625" w:rsidRDefault="00C63CF5" w:rsidP="00C63CF5">
      <w:pPr>
        <w:suppressLineNumbers/>
        <w:suppressAutoHyphens/>
        <w:kinsoku w:val="0"/>
        <w:overflowPunct w:val="0"/>
        <w:autoSpaceDE w:val="0"/>
        <w:autoSpaceDN w:val="0"/>
        <w:adjustRightInd w:val="0"/>
        <w:snapToGrid w:val="0"/>
        <w:ind w:left="142" w:right="4784" w:hanging="142"/>
        <w:jc w:val="left"/>
        <w:rPr>
          <w:snapToGrid w:val="0"/>
          <w:kern w:val="22"/>
          <w:szCs w:val="22"/>
          <w:lang w:val="fr-CA" w:eastAsia="nb-NO"/>
        </w:rPr>
      </w:pPr>
      <w:r w:rsidRPr="00AC4625">
        <w:rPr>
          <w:snapToGrid w:val="0"/>
          <w:kern w:val="22"/>
          <w:szCs w:val="22"/>
          <w:lang w:val="fr-CA"/>
        </w:rPr>
        <w:t>Vingt-quatrième réunion</w:t>
      </w:r>
    </w:p>
    <w:p w14:paraId="463D7EE9" w14:textId="77777777" w:rsidR="00C63CF5" w:rsidRPr="00AC4625" w:rsidRDefault="00C63CF5" w:rsidP="00C63CF5">
      <w:pPr>
        <w:suppressLineNumbers/>
        <w:suppressAutoHyphens/>
        <w:kinsoku w:val="0"/>
        <w:overflowPunct w:val="0"/>
        <w:autoSpaceDE w:val="0"/>
        <w:autoSpaceDN w:val="0"/>
        <w:adjustRightInd w:val="0"/>
        <w:snapToGrid w:val="0"/>
        <w:ind w:left="142" w:right="4784" w:hanging="142"/>
        <w:jc w:val="left"/>
        <w:rPr>
          <w:snapToGrid w:val="0"/>
          <w:kern w:val="22"/>
          <w:szCs w:val="22"/>
          <w:lang w:val="fr-CA" w:eastAsia="nb-NO"/>
        </w:rPr>
      </w:pPr>
      <w:r w:rsidRPr="00AC4625">
        <w:rPr>
          <w:snapToGrid w:val="0"/>
          <w:kern w:val="22"/>
          <w:szCs w:val="22"/>
          <w:lang w:val="fr-CA"/>
        </w:rPr>
        <w:t>En ligne, 3 mai – 9 juin 2021</w:t>
      </w:r>
    </w:p>
    <w:p w14:paraId="403A841D" w14:textId="77777777" w:rsidR="00C63CF5" w:rsidRPr="00AC4625" w:rsidRDefault="00C63CF5" w:rsidP="00C63CF5">
      <w:pPr>
        <w:rPr>
          <w:lang w:val="fr-CA"/>
        </w:rPr>
      </w:pPr>
      <w:r w:rsidRPr="00AC4625">
        <w:rPr>
          <w:snapToGrid w:val="0"/>
          <w:kern w:val="22"/>
          <w:szCs w:val="22"/>
          <w:lang w:val="fr-CA"/>
        </w:rPr>
        <w:t xml:space="preserve">Point 3 de l’ordre du jour </w:t>
      </w:r>
    </w:p>
    <w:p w14:paraId="1FEB33B7" w14:textId="61713B0E" w:rsidR="00C63CF5" w:rsidRPr="000C00F2" w:rsidRDefault="000357BA" w:rsidP="00C63CF5">
      <w:pPr>
        <w:spacing w:before="120" w:after="240"/>
        <w:jc w:val="center"/>
        <w:rPr>
          <w:b/>
          <w:bCs/>
          <w:caps/>
          <w:lang w:val="fr-CA"/>
        </w:rPr>
      </w:pPr>
      <w:sdt>
        <w:sdtPr>
          <w:rPr>
            <w:b/>
            <w:bCs/>
            <w:iCs/>
            <w:caps/>
            <w:snapToGrid w:val="0"/>
            <w:kern w:val="22"/>
            <w:szCs w:val="22"/>
            <w:lang w:val="fr-CA"/>
          </w:rPr>
          <w:alias w:val="Title"/>
          <w:tag w:val=""/>
          <w:id w:val="772832786"/>
          <w:placeholder>
            <w:docPart w:val="21091B972AD1495B849FB7E4932AB49E"/>
          </w:placeholder>
          <w:dataBinding w:prefixMappings="xmlns:ns0='http://purl.org/dc/elements/1.1/' xmlns:ns1='http://schemas.openxmlformats.org/package/2006/metadata/core-properties' " w:xpath="/ns1:coreProperties[1]/ns0:title[1]" w:storeItemID="{6C3C8BC8-F283-45AE-878A-BAB7291924A1}"/>
          <w:text/>
        </w:sdtPr>
        <w:sdtEndPr/>
        <w:sdtContent>
          <w:r w:rsidR="00AC4625" w:rsidRPr="003378F7">
            <w:rPr>
              <w:b/>
              <w:bCs/>
              <w:iCs/>
              <w:caps/>
              <w:snapToGrid w:val="0"/>
              <w:kern w:val="22"/>
              <w:szCs w:val="22"/>
              <w:lang w:val="fr-CA"/>
            </w:rPr>
            <w:t>CADRE MONDIAL DE LA BIODIVERSITÉ POUR L’APRÈS-2020 : INFORMATIONS SCIENTIFIQUES ET TECHNIQUES À L’APPUI DE L’EXAMEN DES OBJECTIFS ET CIBLES ACTUALISÉS, AINSI QUE DES INDICATEURS ET BASES DE RÉFÉRENCE CONNEXES</w:t>
          </w:r>
        </w:sdtContent>
      </w:sdt>
      <w:r w:rsidR="00C63CF5" w:rsidRPr="000C00F2">
        <w:rPr>
          <w:b/>
          <w:bCs/>
          <w:caps/>
          <w:lang w:val="fr-CA"/>
        </w:rPr>
        <w:t xml:space="preserve"> </w:t>
      </w:r>
    </w:p>
    <w:p w14:paraId="1D2BAB87" w14:textId="77777777" w:rsidR="00C63CF5" w:rsidRPr="00D078F1" w:rsidRDefault="00C63CF5" w:rsidP="00C63CF5">
      <w:pPr>
        <w:spacing w:before="120" w:after="240"/>
        <w:jc w:val="center"/>
        <w:rPr>
          <w:b/>
          <w:caps/>
          <w:lang w:val="fr-CA"/>
        </w:rPr>
      </w:pPr>
      <w:r>
        <w:rPr>
          <w:b/>
          <w:szCs w:val="22"/>
          <w:lang w:val="fr-CA"/>
        </w:rPr>
        <w:t>Projet de recommandation proposé</w:t>
      </w:r>
      <w:r w:rsidRPr="00D078F1">
        <w:rPr>
          <w:b/>
          <w:szCs w:val="22"/>
          <w:lang w:val="fr-CA"/>
        </w:rPr>
        <w:t xml:space="preserve"> par le président</w:t>
      </w:r>
    </w:p>
    <w:p w14:paraId="2F602ECA" w14:textId="77777777" w:rsidR="00C63CF5" w:rsidRPr="00D078F1" w:rsidRDefault="00C63CF5" w:rsidP="00C63CF5">
      <w:pPr>
        <w:pStyle w:val="Para1"/>
        <w:numPr>
          <w:ilvl w:val="0"/>
          <w:numId w:val="0"/>
        </w:numPr>
        <w:ind w:firstLine="720"/>
        <w:rPr>
          <w:i/>
          <w:iCs/>
          <w:lang w:val="fr-CA"/>
        </w:rPr>
      </w:pPr>
      <w:r w:rsidRPr="00D078F1">
        <w:rPr>
          <w:i/>
          <w:kern w:val="22"/>
          <w:szCs w:val="22"/>
          <w:lang w:val="fr-CA"/>
        </w:rPr>
        <w:t>L’Organe subsidiaire chargé de fournir des avis scientifiques, techniques et technologiques</w:t>
      </w:r>
    </w:p>
    <w:p w14:paraId="5D45631D" w14:textId="34265D72" w:rsidR="00C63CF5" w:rsidRPr="00D078F1" w:rsidRDefault="00C63CF5" w:rsidP="00EA2C1C">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fr-CA"/>
        </w:rPr>
      </w:pPr>
      <w:r w:rsidRPr="00D078F1">
        <w:rPr>
          <w:i/>
          <w:kern w:val="22"/>
          <w:szCs w:val="22"/>
          <w:lang w:val="fr-CA"/>
        </w:rPr>
        <w:t>Recommande</w:t>
      </w:r>
      <w:r w:rsidRPr="00D078F1">
        <w:rPr>
          <w:kern w:val="22"/>
          <w:szCs w:val="22"/>
          <w:lang w:val="fr-CA"/>
        </w:rPr>
        <w:t xml:space="preserve"> que la Conférence des Parties</w:t>
      </w:r>
      <w:r>
        <w:rPr>
          <w:kern w:val="22"/>
          <w:szCs w:val="22"/>
          <w:lang w:val="fr-CA"/>
        </w:rPr>
        <w:t>,</w:t>
      </w:r>
      <w:r w:rsidRPr="00D078F1">
        <w:rPr>
          <w:kern w:val="22"/>
          <w:szCs w:val="22"/>
          <w:lang w:val="fr-CA"/>
        </w:rPr>
        <w:t xml:space="preserve"> à sa quinzième réunion</w:t>
      </w:r>
      <w:r>
        <w:rPr>
          <w:kern w:val="22"/>
          <w:szCs w:val="22"/>
          <w:lang w:val="fr-CA"/>
        </w:rPr>
        <w:t>,</w:t>
      </w:r>
      <w:r w:rsidRPr="00D078F1">
        <w:rPr>
          <w:kern w:val="22"/>
          <w:szCs w:val="22"/>
          <w:lang w:val="fr-CA"/>
        </w:rPr>
        <w:t xml:space="preserve"> adopte une décision qui inclurait les éléments suivants, en tenant compte également des conclusions de la troisième réunion de l'Organe subsidiaire chargé de l'application et de la troisième réunion du Groupe de travail à composition non limitée sur le cadre mondial de la biodiversité pour l'après-2020 :</w:t>
      </w:r>
    </w:p>
    <w:p w14:paraId="49F82F98" w14:textId="77777777" w:rsidR="00C63CF5" w:rsidRPr="00D078F1" w:rsidRDefault="00C63CF5" w:rsidP="00C63CF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fr-CA"/>
        </w:rPr>
      </w:pPr>
      <w:r w:rsidRPr="00D078F1">
        <w:rPr>
          <w:i/>
          <w:kern w:val="22"/>
          <w:szCs w:val="22"/>
          <w:lang w:val="fr-CA"/>
        </w:rPr>
        <w:t>La Conférence des Parties</w:t>
      </w:r>
    </w:p>
    <w:p w14:paraId="5146AED0" w14:textId="7F4467F2" w:rsidR="00C63CF5" w:rsidRPr="00D078F1" w:rsidRDefault="00C63CF5" w:rsidP="00C63CF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1.</w:t>
      </w:r>
      <w:r w:rsidRPr="00D078F1">
        <w:rPr>
          <w:i/>
          <w:kern w:val="22"/>
          <w:szCs w:val="22"/>
          <w:lang w:val="fr-CA"/>
        </w:rPr>
        <w:tab/>
      </w:r>
      <w:r w:rsidR="00EA2C1C">
        <w:rPr>
          <w:kern w:val="22"/>
          <w:szCs w:val="22"/>
          <w:lang w:val="fr-CA"/>
        </w:rPr>
        <w:t>[</w:t>
      </w:r>
      <w:r w:rsidRPr="00D078F1">
        <w:rPr>
          <w:i/>
          <w:kern w:val="22"/>
          <w:szCs w:val="22"/>
          <w:lang w:val="fr-CA"/>
        </w:rPr>
        <w:t>Adopte</w:t>
      </w:r>
      <w:r w:rsidRPr="00D078F1">
        <w:rPr>
          <w:iCs/>
          <w:kern w:val="22"/>
          <w:szCs w:val="22"/>
          <w:lang w:val="fr-CA"/>
        </w:rPr>
        <w:t xml:space="preserve"> le cadre de suivi du cadre mondial de la biodiversité pour l'après-2020 présenté dans la présente décision;</w:t>
      </w:r>
      <w:r w:rsidRPr="00D078F1">
        <w:rPr>
          <w:rStyle w:val="FootnoteReference"/>
          <w:iCs/>
          <w:kern w:val="22"/>
          <w:szCs w:val="22"/>
          <w:lang w:val="fr-CA"/>
        </w:rPr>
        <w:footnoteReference w:id="2"/>
      </w:r>
      <w:r w:rsidR="00EA2C1C">
        <w:rPr>
          <w:iCs/>
          <w:kern w:val="22"/>
          <w:szCs w:val="22"/>
          <w:lang w:val="fr-CA"/>
        </w:rPr>
        <w:t>]</w:t>
      </w:r>
    </w:p>
    <w:p w14:paraId="1FAD3E2D" w14:textId="77777777" w:rsidR="00C63CF5" w:rsidRPr="00D078F1" w:rsidRDefault="00C63CF5" w:rsidP="00C63CF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2.</w:t>
      </w:r>
      <w:r w:rsidRPr="00D078F1">
        <w:rPr>
          <w:i/>
          <w:kern w:val="22"/>
          <w:szCs w:val="22"/>
          <w:lang w:val="fr-CA"/>
        </w:rPr>
        <w:tab/>
        <w:t xml:space="preserve">Décide </w:t>
      </w:r>
      <w:r w:rsidRPr="00D078F1">
        <w:rPr>
          <w:kern w:val="22"/>
          <w:szCs w:val="22"/>
          <w:lang w:val="fr-CA"/>
        </w:rPr>
        <w:t xml:space="preserve">d’utiliser la période [2011-2020], pour laquelle des données existent, comme période de référence, à moins d’indication contraire, pour la remise de rapports et le suivi des progrès sur la mise en œuvre du cadre mondial de la biodiversité pour l'après-2020, [tout en </w:t>
      </w:r>
      <w:r w:rsidRPr="00D078F1">
        <w:rPr>
          <w:i/>
          <w:kern w:val="22"/>
          <w:szCs w:val="22"/>
          <w:lang w:val="fr-CA"/>
        </w:rPr>
        <w:t>prenant note</w:t>
      </w:r>
      <w:r w:rsidRPr="00D078F1">
        <w:rPr>
          <w:kern w:val="22"/>
          <w:szCs w:val="22"/>
          <w:lang w:val="fr-CA"/>
        </w:rPr>
        <w:t xml:space="preserve">][et en </w:t>
      </w:r>
      <w:r w:rsidRPr="00D078F1">
        <w:rPr>
          <w:i/>
          <w:kern w:val="22"/>
          <w:szCs w:val="22"/>
          <w:lang w:val="fr-CA"/>
        </w:rPr>
        <w:t>reconnaissant</w:t>
      </w:r>
      <w:r w:rsidRPr="00D078F1">
        <w:rPr>
          <w:kern w:val="22"/>
          <w:szCs w:val="22"/>
          <w:lang w:val="fr-CA"/>
        </w:rPr>
        <w:t>] que les valeurs de référence, les conditions et les périodes utilisées pour exprime</w:t>
      </w:r>
      <w:r>
        <w:rPr>
          <w:kern w:val="22"/>
          <w:szCs w:val="22"/>
          <w:lang w:val="fr-CA"/>
        </w:rPr>
        <w:t>r [différentes responsabilités]</w:t>
      </w:r>
      <w:r w:rsidRPr="00D078F1">
        <w:rPr>
          <w:kern w:val="22"/>
          <w:szCs w:val="22"/>
          <w:lang w:val="fr-CA"/>
        </w:rPr>
        <w:t xml:space="preserve"> l’état souhaitable ou les niveaux d’ambition des buts et objectifs devraient, si cela convient, tenir compte des [tendances passées,] [de l’appauvrissement passé,] de l’état actuel et des futurs scénarios de la diversité biologique [, dont les informations disponibles sur la période préindustrielle]</w:t>
      </w:r>
      <w:r w:rsidRPr="00D078F1">
        <w:rPr>
          <w:iCs/>
          <w:kern w:val="22"/>
          <w:szCs w:val="22"/>
          <w:lang w:val="fr-CA"/>
        </w:rPr>
        <w:t>;</w:t>
      </w:r>
    </w:p>
    <w:p w14:paraId="0EE4741E" w14:textId="13D8390F" w:rsidR="00C63CF5" w:rsidRPr="00EA2C1C" w:rsidRDefault="00C63CF5" w:rsidP="00EA2C1C">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fr-CA"/>
        </w:rPr>
      </w:pPr>
      <w:r w:rsidRPr="00D078F1">
        <w:rPr>
          <w:kern w:val="22"/>
          <w:szCs w:val="22"/>
          <w:lang w:val="fr-CA"/>
        </w:rPr>
        <w:t>3.</w:t>
      </w:r>
      <w:r w:rsidRPr="00D078F1">
        <w:rPr>
          <w:i/>
          <w:iCs/>
          <w:kern w:val="22"/>
          <w:szCs w:val="22"/>
          <w:lang w:val="fr-CA"/>
        </w:rPr>
        <w:tab/>
      </w:r>
      <w:r w:rsidR="00EA2C1C">
        <w:rPr>
          <w:i/>
          <w:iCs/>
          <w:kern w:val="22"/>
          <w:szCs w:val="22"/>
          <w:lang w:val="fr-CA"/>
        </w:rPr>
        <w:t xml:space="preserve">Décide également </w:t>
      </w:r>
      <w:r w:rsidR="00BE7227">
        <w:rPr>
          <w:iCs/>
          <w:kern w:val="22"/>
          <w:szCs w:val="22"/>
          <w:lang w:val="fr-CA"/>
        </w:rPr>
        <w:t>de réaliser</w:t>
      </w:r>
      <w:r w:rsidR="00EA2C1C">
        <w:rPr>
          <w:iCs/>
          <w:kern w:val="22"/>
          <w:szCs w:val="22"/>
          <w:lang w:val="fr-CA"/>
        </w:rPr>
        <w:t xml:space="preserve"> un examen du c</w:t>
      </w:r>
      <w:r w:rsidR="00BE7227">
        <w:rPr>
          <w:iCs/>
          <w:kern w:val="22"/>
          <w:szCs w:val="22"/>
          <w:lang w:val="fr-CA"/>
        </w:rPr>
        <w:t>a</w:t>
      </w:r>
      <w:r w:rsidR="00EA2C1C">
        <w:rPr>
          <w:iCs/>
          <w:kern w:val="22"/>
          <w:szCs w:val="22"/>
          <w:lang w:val="fr-CA"/>
        </w:rPr>
        <w:t xml:space="preserve">dre de suivi afin de mettre fin </w:t>
      </w:r>
      <w:r w:rsidR="00BE7227">
        <w:rPr>
          <w:iCs/>
          <w:kern w:val="22"/>
          <w:szCs w:val="22"/>
          <w:lang w:val="fr-CA"/>
        </w:rPr>
        <w:t>à son élabo</w:t>
      </w:r>
      <w:r w:rsidR="00EA2C1C">
        <w:rPr>
          <w:iCs/>
          <w:kern w:val="22"/>
          <w:szCs w:val="22"/>
          <w:lang w:val="fr-CA"/>
        </w:rPr>
        <w:t>ration à la seizième réunion, et de mainte</w:t>
      </w:r>
      <w:r w:rsidR="00BE7227">
        <w:rPr>
          <w:iCs/>
          <w:kern w:val="22"/>
          <w:szCs w:val="22"/>
          <w:lang w:val="fr-CA"/>
        </w:rPr>
        <w:t>n</w:t>
      </w:r>
      <w:r w:rsidR="00EA2C1C">
        <w:rPr>
          <w:iCs/>
          <w:kern w:val="22"/>
          <w:szCs w:val="22"/>
          <w:lang w:val="fr-CA"/>
        </w:rPr>
        <w:t>ir le cadre de suivi en examen par la suite, selon qu’il convient;</w:t>
      </w:r>
    </w:p>
    <w:p w14:paraId="6D475F70" w14:textId="4DB79772" w:rsidR="00C63CF5" w:rsidRPr="00D078F1" w:rsidRDefault="00C63CF5" w:rsidP="00C63CF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fr-CA"/>
        </w:rPr>
      </w:pPr>
      <w:r w:rsidRPr="00D078F1">
        <w:rPr>
          <w:kern w:val="22"/>
          <w:lang w:val="fr-CA"/>
        </w:rPr>
        <w:t>4.</w:t>
      </w:r>
      <w:r w:rsidRPr="00D078F1">
        <w:rPr>
          <w:kern w:val="22"/>
          <w:lang w:val="fr-CA"/>
        </w:rPr>
        <w:tab/>
      </w:r>
      <w:r w:rsidR="00BE7227">
        <w:rPr>
          <w:kern w:val="22"/>
          <w:lang w:val="fr-CA"/>
        </w:rPr>
        <w:t>[</w:t>
      </w:r>
      <w:r w:rsidRPr="00D078F1">
        <w:rPr>
          <w:i/>
          <w:iCs/>
          <w:kern w:val="22"/>
          <w:lang w:val="fr-CA"/>
        </w:rPr>
        <w:t xml:space="preserve">Décide également </w:t>
      </w:r>
      <w:r w:rsidRPr="00D078F1">
        <w:rPr>
          <w:iCs/>
          <w:kern w:val="22"/>
          <w:lang w:val="fr-CA"/>
        </w:rPr>
        <w:t xml:space="preserve">que les indicateurs phares seront utilisés dans les </w:t>
      </w:r>
      <w:r w:rsidR="00BE7227">
        <w:rPr>
          <w:iCs/>
          <w:kern w:val="22"/>
          <w:lang w:val="fr-CA"/>
        </w:rPr>
        <w:t>[</w:t>
      </w:r>
      <w:r w:rsidRPr="00D078F1">
        <w:rPr>
          <w:iCs/>
          <w:kern w:val="22"/>
          <w:lang w:val="fr-CA"/>
        </w:rPr>
        <w:t>évaluations mondiales</w:t>
      </w:r>
      <w:r w:rsidR="00BE7227">
        <w:rPr>
          <w:iCs/>
          <w:kern w:val="22"/>
          <w:lang w:val="fr-CA"/>
        </w:rPr>
        <w:t>]</w:t>
      </w:r>
      <w:r w:rsidRPr="00D078F1">
        <w:rPr>
          <w:iCs/>
          <w:kern w:val="22"/>
          <w:lang w:val="fr-CA"/>
        </w:rPr>
        <w:t xml:space="preserve"> afin de suivre les progrès accomplis dans la réalisation des buts et objectifs du cadre mondial de la biodiversité pour l'après-2020, </w:t>
      </w:r>
      <w:r>
        <w:rPr>
          <w:iCs/>
          <w:kern w:val="22"/>
          <w:lang w:val="fr-CA"/>
        </w:rPr>
        <w:t xml:space="preserve">et </w:t>
      </w:r>
      <w:r w:rsidRPr="00D078F1">
        <w:rPr>
          <w:iCs/>
          <w:kern w:val="22"/>
          <w:lang w:val="fr-CA"/>
        </w:rPr>
        <w:t>complétés, s’il y a lieu, par les indicateurs de composantes et complémentaires</w:t>
      </w:r>
      <w:r w:rsidRPr="00D078F1">
        <w:rPr>
          <w:kern w:val="22"/>
          <w:lang w:val="fr-CA"/>
        </w:rPr>
        <w:t>;</w:t>
      </w:r>
      <w:r w:rsidR="00BE7227">
        <w:rPr>
          <w:kern w:val="22"/>
          <w:lang w:val="fr-CA"/>
        </w:rPr>
        <w:t>]</w:t>
      </w:r>
    </w:p>
    <w:p w14:paraId="662542E5" w14:textId="789289E1" w:rsidR="00C63CF5" w:rsidRPr="00BE7227" w:rsidRDefault="00C63CF5" w:rsidP="00C63CF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vanish/>
          <w:kern w:val="22"/>
          <w:szCs w:val="22"/>
          <w:lang w:val="fr-CA"/>
          <w:specVanish/>
        </w:rPr>
      </w:pPr>
      <w:r w:rsidRPr="00D078F1">
        <w:rPr>
          <w:iCs/>
          <w:kern w:val="22"/>
          <w:szCs w:val="22"/>
          <w:lang w:val="fr-CA"/>
        </w:rPr>
        <w:lastRenderedPageBreak/>
        <w:t>5</w:t>
      </w:r>
      <w:r w:rsidRPr="00D078F1">
        <w:rPr>
          <w:i/>
          <w:kern w:val="22"/>
          <w:szCs w:val="22"/>
          <w:lang w:val="fr-CA"/>
        </w:rPr>
        <w:t xml:space="preserve">. </w:t>
      </w:r>
      <w:r w:rsidRPr="00D078F1">
        <w:rPr>
          <w:i/>
          <w:kern w:val="22"/>
          <w:szCs w:val="22"/>
          <w:lang w:val="fr-CA"/>
        </w:rPr>
        <w:tab/>
      </w:r>
      <w:r w:rsidR="00BE7227">
        <w:rPr>
          <w:kern w:val="22"/>
          <w:szCs w:val="22"/>
          <w:lang w:val="fr-CA"/>
        </w:rPr>
        <w:t>[</w:t>
      </w:r>
      <w:r w:rsidRPr="00D078F1">
        <w:rPr>
          <w:i/>
          <w:kern w:val="22"/>
          <w:szCs w:val="22"/>
          <w:lang w:val="fr-CA"/>
        </w:rPr>
        <w:t>Décide en outre</w:t>
      </w:r>
      <w:r w:rsidRPr="00D078F1">
        <w:rPr>
          <w:iCs/>
          <w:kern w:val="22"/>
          <w:szCs w:val="22"/>
          <w:lang w:val="fr-CA"/>
        </w:rPr>
        <w:t xml:space="preserve"> que les indicateurs phares </w:t>
      </w:r>
      <w:r w:rsidR="00BE7227">
        <w:rPr>
          <w:iCs/>
          <w:kern w:val="22"/>
          <w:szCs w:val="22"/>
          <w:lang w:val="fr-CA"/>
        </w:rPr>
        <w:t>[</w:t>
      </w:r>
      <w:r w:rsidRPr="00D078F1">
        <w:rPr>
          <w:iCs/>
          <w:kern w:val="22"/>
          <w:szCs w:val="22"/>
          <w:lang w:val="fr-CA"/>
        </w:rPr>
        <w:t>devraient être</w:t>
      </w:r>
      <w:r w:rsidR="00BE7227">
        <w:rPr>
          <w:iCs/>
          <w:kern w:val="22"/>
          <w:szCs w:val="22"/>
          <w:lang w:val="fr-CA"/>
        </w:rPr>
        <w:t>][seront]</w:t>
      </w:r>
      <w:r w:rsidRPr="00D078F1">
        <w:rPr>
          <w:iCs/>
          <w:kern w:val="22"/>
          <w:szCs w:val="22"/>
          <w:lang w:val="fr-CA"/>
        </w:rPr>
        <w:t xml:space="preserve"> utilisés par </w:t>
      </w:r>
      <w:r w:rsidR="00BE7227">
        <w:rPr>
          <w:iCs/>
          <w:kern w:val="22"/>
          <w:szCs w:val="22"/>
          <w:lang w:val="fr-CA"/>
        </w:rPr>
        <w:t xml:space="preserve">[toutes] </w:t>
      </w:r>
      <w:r w:rsidRPr="00D078F1">
        <w:rPr>
          <w:iCs/>
          <w:kern w:val="22"/>
          <w:szCs w:val="22"/>
          <w:lang w:val="fr-CA"/>
        </w:rPr>
        <w:t>les Parties dans leurs rapports nationaux pour rendre compte de leur</w:t>
      </w:r>
      <w:r>
        <w:rPr>
          <w:iCs/>
          <w:kern w:val="22"/>
          <w:szCs w:val="22"/>
          <w:lang w:val="fr-CA"/>
        </w:rPr>
        <w:t>s efforts pour mettre</w:t>
      </w:r>
      <w:r w:rsidRPr="00D078F1">
        <w:rPr>
          <w:iCs/>
          <w:kern w:val="22"/>
          <w:szCs w:val="22"/>
          <w:lang w:val="fr-CA"/>
        </w:rPr>
        <w:t xml:space="preserve"> en œuvre </w:t>
      </w:r>
      <w:r>
        <w:rPr>
          <w:iCs/>
          <w:kern w:val="22"/>
          <w:szCs w:val="22"/>
          <w:lang w:val="fr-CA"/>
        </w:rPr>
        <w:t>le</w:t>
      </w:r>
      <w:r w:rsidRPr="00D078F1">
        <w:rPr>
          <w:iCs/>
          <w:kern w:val="22"/>
          <w:szCs w:val="22"/>
          <w:lang w:val="fr-CA"/>
        </w:rPr>
        <w:t xml:space="preserve"> cadre mondial de la biodiversité pour l'après-2020, lorsque c’est réalisable sur le plan technique et </w:t>
      </w:r>
      <w:r w:rsidR="00CA5C3D">
        <w:rPr>
          <w:iCs/>
          <w:kern w:val="22"/>
          <w:szCs w:val="22"/>
          <w:lang w:val="fr-CA"/>
        </w:rPr>
        <w:t>[</w:t>
      </w:r>
      <w:r w:rsidRPr="00D078F1">
        <w:rPr>
          <w:iCs/>
          <w:kern w:val="22"/>
          <w:szCs w:val="22"/>
          <w:lang w:val="fr-CA"/>
        </w:rPr>
        <w:t>selon qu’il convient</w:t>
      </w:r>
      <w:r w:rsidR="00CA5C3D">
        <w:rPr>
          <w:iCs/>
          <w:kern w:val="22"/>
          <w:szCs w:val="22"/>
          <w:lang w:val="fr-CA"/>
        </w:rPr>
        <w:t xml:space="preserve">,][si cela s’applique,][conformément à l’article 20][et </w:t>
      </w:r>
      <w:r w:rsidR="00CA5C3D" w:rsidRPr="008872AA">
        <w:rPr>
          <w:i/>
          <w:iCs/>
          <w:kern w:val="22"/>
          <w:szCs w:val="22"/>
          <w:lang w:val="fr-CA"/>
        </w:rPr>
        <w:t>encourage</w:t>
      </w:r>
      <w:r w:rsidR="00CA5C3D">
        <w:rPr>
          <w:iCs/>
          <w:kern w:val="22"/>
          <w:szCs w:val="22"/>
          <w:lang w:val="fr-CA"/>
        </w:rPr>
        <w:t xml:space="preserve"> la création de mécanismes pour renforcer les capacités des pays en développement à combler les lacunes</w:t>
      </w:r>
      <w:r w:rsidR="008872AA">
        <w:rPr>
          <w:iCs/>
          <w:kern w:val="22"/>
          <w:szCs w:val="22"/>
          <w:lang w:val="fr-CA"/>
        </w:rPr>
        <w:t xml:space="preserve"> de suivi et d’établissement de rapports];]</w:t>
      </w:r>
    </w:p>
    <w:p w14:paraId="3D54E9C2" w14:textId="77777777" w:rsidR="00BE7227" w:rsidRDefault="00BE7227" w:rsidP="00C63CF5">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lang w:val="fr-CA"/>
        </w:rPr>
      </w:pPr>
      <w:r>
        <w:rPr>
          <w:iCs/>
          <w:kern w:val="22"/>
          <w:szCs w:val="22"/>
          <w:lang w:val="fr-CA"/>
        </w:rPr>
        <w:t xml:space="preserve"> </w:t>
      </w:r>
    </w:p>
    <w:p w14:paraId="3E844B18" w14:textId="2A670DB2" w:rsidR="00C63CF5" w:rsidRPr="00D078F1" w:rsidRDefault="00C63CF5" w:rsidP="00C63CF5">
      <w:pPr>
        <w:pStyle w:val="Para1"/>
        <w:numPr>
          <w:ilvl w:val="0"/>
          <w:numId w:val="0"/>
        </w:numPr>
        <w:suppressLineNumbers/>
        <w:suppressAutoHyphens/>
        <w:kinsoku w:val="0"/>
        <w:overflowPunct w:val="0"/>
        <w:autoSpaceDE w:val="0"/>
        <w:autoSpaceDN w:val="0"/>
        <w:adjustRightInd w:val="0"/>
        <w:snapToGrid w:val="0"/>
        <w:ind w:left="720" w:firstLine="720"/>
        <w:rPr>
          <w:iCs/>
          <w:color w:val="000000" w:themeColor="text1"/>
          <w:kern w:val="22"/>
          <w:szCs w:val="22"/>
          <w:lang w:val="fr-CA"/>
        </w:rPr>
      </w:pPr>
      <w:r w:rsidRPr="00D078F1">
        <w:rPr>
          <w:iCs/>
          <w:kern w:val="22"/>
          <w:szCs w:val="22"/>
          <w:lang w:val="fr-CA"/>
        </w:rPr>
        <w:t>6.</w:t>
      </w:r>
      <w:r w:rsidRPr="00D078F1">
        <w:rPr>
          <w:i/>
          <w:kern w:val="22"/>
          <w:szCs w:val="22"/>
          <w:lang w:val="fr-CA"/>
        </w:rPr>
        <w:tab/>
      </w:r>
      <w:r w:rsidR="008872AA">
        <w:rPr>
          <w:kern w:val="22"/>
          <w:szCs w:val="22"/>
          <w:lang w:val="fr-CA"/>
        </w:rPr>
        <w:t>[</w:t>
      </w:r>
      <w:r w:rsidRPr="00D078F1">
        <w:rPr>
          <w:i/>
          <w:color w:val="000000" w:themeColor="text1"/>
          <w:kern w:val="22"/>
          <w:szCs w:val="22"/>
          <w:lang w:val="fr-CA"/>
        </w:rPr>
        <w:t xml:space="preserve">Encourage </w:t>
      </w:r>
      <w:r w:rsidRPr="00D078F1">
        <w:rPr>
          <w:color w:val="000000" w:themeColor="text1"/>
          <w:kern w:val="22"/>
          <w:szCs w:val="22"/>
          <w:lang w:val="fr-CA"/>
        </w:rPr>
        <w:t xml:space="preserve">toutes les Parties à utiliser les indicateurs phares dans les processus nationaux de planification, y compris les stratégies et plans d’action nationaux pour la biodiversité </w:t>
      </w:r>
      <w:r w:rsidR="008872AA">
        <w:rPr>
          <w:color w:val="000000" w:themeColor="text1"/>
          <w:kern w:val="22"/>
          <w:szCs w:val="22"/>
          <w:lang w:val="fr-CA"/>
        </w:rPr>
        <w:t xml:space="preserve">[ou les programmes de conservation et d’utilisation durable de la diversité biologique] </w:t>
      </w:r>
      <w:r w:rsidRPr="00D078F1">
        <w:rPr>
          <w:color w:val="000000" w:themeColor="text1"/>
          <w:kern w:val="22"/>
          <w:szCs w:val="22"/>
          <w:lang w:val="fr-CA"/>
        </w:rPr>
        <w:t>et autres processus nationaux de planification</w:t>
      </w:r>
      <w:r w:rsidR="008872AA">
        <w:rPr>
          <w:color w:val="000000" w:themeColor="text1"/>
          <w:kern w:val="22"/>
          <w:szCs w:val="22"/>
          <w:lang w:val="fr-CA"/>
        </w:rPr>
        <w:t xml:space="preserve">[, selon qu’il convient </w:t>
      </w:r>
      <w:r w:rsidR="00DE5E5C">
        <w:rPr>
          <w:color w:val="000000" w:themeColor="text1"/>
          <w:kern w:val="22"/>
          <w:szCs w:val="22"/>
          <w:lang w:val="fr-CA"/>
        </w:rPr>
        <w:t>et</w:t>
      </w:r>
      <w:r w:rsidR="008872AA">
        <w:rPr>
          <w:color w:val="000000" w:themeColor="text1"/>
          <w:kern w:val="22"/>
          <w:szCs w:val="22"/>
          <w:lang w:val="fr-CA"/>
        </w:rPr>
        <w:t xml:space="preserve"> les priorités et </w:t>
      </w:r>
      <w:r w:rsidR="00DE5E5C">
        <w:rPr>
          <w:color w:val="000000" w:themeColor="text1"/>
          <w:kern w:val="22"/>
          <w:szCs w:val="22"/>
          <w:lang w:val="fr-CA"/>
        </w:rPr>
        <w:t>situations</w:t>
      </w:r>
      <w:r w:rsidR="008872AA">
        <w:rPr>
          <w:color w:val="000000" w:themeColor="text1"/>
          <w:kern w:val="22"/>
          <w:szCs w:val="22"/>
          <w:lang w:val="fr-CA"/>
        </w:rPr>
        <w:t xml:space="preserve"> nationales]</w:t>
      </w:r>
      <w:r w:rsidRPr="00D078F1">
        <w:rPr>
          <w:iCs/>
          <w:color w:val="000000" w:themeColor="text1"/>
          <w:kern w:val="22"/>
          <w:szCs w:val="22"/>
          <w:lang w:val="fr-CA"/>
        </w:rPr>
        <w:t>;</w:t>
      </w:r>
    </w:p>
    <w:p w14:paraId="7441B3E1" w14:textId="3357B055" w:rsidR="00C63CF5" w:rsidRPr="00D078F1" w:rsidRDefault="00C63CF5" w:rsidP="00C63CF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lang w:val="fr-CA"/>
        </w:rPr>
      </w:pPr>
      <w:r w:rsidRPr="00D078F1">
        <w:rPr>
          <w:kern w:val="22"/>
          <w:lang w:val="fr-CA"/>
        </w:rPr>
        <w:t>7</w:t>
      </w:r>
      <w:r w:rsidRPr="00D078F1">
        <w:rPr>
          <w:i/>
          <w:color w:val="000000" w:themeColor="text1"/>
          <w:kern w:val="22"/>
          <w:szCs w:val="22"/>
          <w:lang w:val="fr-CA"/>
        </w:rPr>
        <w:t>.</w:t>
      </w:r>
      <w:r w:rsidRPr="00D078F1">
        <w:rPr>
          <w:i/>
          <w:color w:val="000000" w:themeColor="text1"/>
          <w:kern w:val="22"/>
          <w:szCs w:val="22"/>
          <w:lang w:val="fr-CA"/>
        </w:rPr>
        <w:tab/>
      </w:r>
      <w:r w:rsidR="008872AA">
        <w:rPr>
          <w:color w:val="000000" w:themeColor="text1"/>
          <w:kern w:val="22"/>
          <w:szCs w:val="22"/>
          <w:lang w:val="fr-CA"/>
        </w:rPr>
        <w:t>[</w:t>
      </w:r>
      <w:r w:rsidRPr="00D078F1">
        <w:rPr>
          <w:i/>
          <w:color w:val="000000" w:themeColor="text1"/>
          <w:kern w:val="22"/>
          <w:szCs w:val="22"/>
          <w:lang w:val="fr-CA"/>
        </w:rPr>
        <w:t xml:space="preserve">Invite </w:t>
      </w:r>
      <w:r>
        <w:rPr>
          <w:color w:val="000000" w:themeColor="text1"/>
          <w:kern w:val="22"/>
          <w:szCs w:val="22"/>
          <w:lang w:val="fr-CA"/>
        </w:rPr>
        <w:t xml:space="preserve">les Parties à </w:t>
      </w:r>
      <w:r w:rsidR="00DE5E5C">
        <w:rPr>
          <w:color w:val="000000" w:themeColor="text1"/>
          <w:kern w:val="22"/>
          <w:szCs w:val="22"/>
          <w:lang w:val="fr-CA"/>
        </w:rPr>
        <w:t>[</w:t>
      </w:r>
      <w:r w:rsidRPr="00D078F1">
        <w:rPr>
          <w:color w:val="000000" w:themeColor="text1"/>
          <w:kern w:val="22"/>
          <w:szCs w:val="22"/>
          <w:lang w:val="fr-CA"/>
        </w:rPr>
        <w:t xml:space="preserve">adapter et </w:t>
      </w:r>
      <w:r>
        <w:rPr>
          <w:color w:val="000000" w:themeColor="text1"/>
          <w:kern w:val="22"/>
          <w:szCs w:val="22"/>
          <w:lang w:val="fr-CA"/>
        </w:rPr>
        <w:t xml:space="preserve">à </w:t>
      </w:r>
      <w:r w:rsidRPr="00D078F1">
        <w:rPr>
          <w:color w:val="000000" w:themeColor="text1"/>
          <w:kern w:val="22"/>
          <w:szCs w:val="22"/>
          <w:lang w:val="fr-CA"/>
        </w:rPr>
        <w:t>utiliser</w:t>
      </w:r>
      <w:r w:rsidR="00DE5E5C">
        <w:rPr>
          <w:color w:val="000000" w:themeColor="text1"/>
          <w:kern w:val="22"/>
          <w:szCs w:val="22"/>
          <w:lang w:val="fr-CA"/>
        </w:rPr>
        <w:t>]</w:t>
      </w:r>
      <w:r w:rsidRPr="00D078F1">
        <w:rPr>
          <w:color w:val="000000" w:themeColor="text1"/>
          <w:kern w:val="22"/>
          <w:szCs w:val="22"/>
          <w:lang w:val="fr-CA"/>
        </w:rPr>
        <w:t xml:space="preserve"> la liste des indicateurs de composantes et complémentaires dans le cadre de leurs proce</w:t>
      </w:r>
      <w:r w:rsidR="00DE5E5C">
        <w:rPr>
          <w:color w:val="000000" w:themeColor="text1"/>
          <w:kern w:val="22"/>
          <w:szCs w:val="22"/>
          <w:lang w:val="fr-CA"/>
        </w:rPr>
        <w:t xml:space="preserve">ssus nationaux de planification[, selon qu’il convient et leurs priorités et circonstances nationales] </w:t>
      </w:r>
      <w:r w:rsidRPr="00D078F1">
        <w:rPr>
          <w:color w:val="000000" w:themeColor="text1"/>
          <w:kern w:val="22"/>
          <w:szCs w:val="22"/>
          <w:lang w:val="fr-CA"/>
        </w:rPr>
        <w:t>et dans leurs rapports nationaux pour faire rapport de leurs progrès dans la mise en œuvre du cadre mondial de la biodiversité pour l'après-2020 conformément à l’article 26 de la Convention</w:t>
      </w:r>
      <w:r w:rsidR="00DE5E5C">
        <w:rPr>
          <w:color w:val="000000" w:themeColor="text1"/>
          <w:kern w:val="22"/>
          <w:szCs w:val="22"/>
          <w:lang w:val="fr-CA"/>
        </w:rPr>
        <w:t>[, selon qu’il convient et leurs</w:t>
      </w:r>
      <w:r w:rsidRPr="00D078F1">
        <w:rPr>
          <w:color w:val="000000" w:themeColor="text1"/>
          <w:kern w:val="22"/>
          <w:szCs w:val="22"/>
          <w:lang w:val="fr-CA"/>
        </w:rPr>
        <w:t xml:space="preserve"> priorités et situations nationales</w:t>
      </w:r>
      <w:r w:rsidRPr="00D078F1">
        <w:rPr>
          <w:iCs/>
          <w:color w:val="000000" w:themeColor="text1"/>
          <w:kern w:val="22"/>
          <w:szCs w:val="22"/>
          <w:lang w:val="fr-CA"/>
        </w:rPr>
        <w:t>;</w:t>
      </w:r>
      <w:r w:rsidR="00DE5E5C">
        <w:rPr>
          <w:iCs/>
          <w:color w:val="000000" w:themeColor="text1"/>
          <w:kern w:val="22"/>
          <w:szCs w:val="22"/>
          <w:lang w:val="fr-CA"/>
        </w:rPr>
        <w:t>]]</w:t>
      </w:r>
    </w:p>
    <w:p w14:paraId="179EA89D" w14:textId="64C29C0A" w:rsidR="00C63CF5" w:rsidRPr="00D078F1" w:rsidRDefault="00C63CF5" w:rsidP="00C63CF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8.</w:t>
      </w:r>
      <w:r w:rsidRPr="00D078F1">
        <w:rPr>
          <w:i/>
          <w:kern w:val="22"/>
          <w:szCs w:val="22"/>
          <w:lang w:val="fr-CA"/>
        </w:rPr>
        <w:tab/>
      </w:r>
      <w:r w:rsidR="00DE5E5C">
        <w:rPr>
          <w:kern w:val="22"/>
          <w:szCs w:val="22"/>
          <w:lang w:val="fr-CA"/>
        </w:rPr>
        <w:t>[</w:t>
      </w:r>
      <w:r w:rsidRPr="00D078F1">
        <w:rPr>
          <w:i/>
          <w:kern w:val="22"/>
          <w:szCs w:val="22"/>
          <w:lang w:val="fr-CA"/>
        </w:rPr>
        <w:t>Reconnaît</w:t>
      </w:r>
      <w:r w:rsidRPr="00D078F1">
        <w:rPr>
          <w:iCs/>
          <w:kern w:val="22"/>
          <w:szCs w:val="22"/>
          <w:lang w:val="fr-CA"/>
        </w:rPr>
        <w:t xml:space="preserve"> l'intérêt d'aligner</w:t>
      </w:r>
      <w:r w:rsidR="00DE5E5C">
        <w:rPr>
          <w:iCs/>
          <w:kern w:val="22"/>
          <w:szCs w:val="22"/>
          <w:lang w:val="fr-CA"/>
        </w:rPr>
        <w:t>][</w:t>
      </w:r>
      <w:r w:rsidR="00DE5E5C" w:rsidRPr="00DE5E5C">
        <w:rPr>
          <w:i/>
          <w:iCs/>
          <w:kern w:val="22"/>
          <w:szCs w:val="22"/>
          <w:lang w:val="fr-CA"/>
        </w:rPr>
        <w:t>Invite</w:t>
      </w:r>
      <w:r w:rsidR="00DE5E5C">
        <w:rPr>
          <w:iCs/>
          <w:kern w:val="22"/>
          <w:szCs w:val="22"/>
          <w:lang w:val="fr-CA"/>
        </w:rPr>
        <w:t xml:space="preserve"> également les Parties à aligner]</w:t>
      </w:r>
      <w:r w:rsidRPr="00D078F1">
        <w:rPr>
          <w:iCs/>
          <w:kern w:val="22"/>
          <w:szCs w:val="22"/>
          <w:lang w:val="fr-CA"/>
        </w:rPr>
        <w:t xml:space="preserve"> le suivi national sur la norme statistique du Système de comptabilité économique et environnementale des Nations Unies afin d'intégrer la biodiversité dans les systèmes nationaux de statistiques et de renforcer les systèmes </w:t>
      </w:r>
      <w:r>
        <w:rPr>
          <w:iCs/>
          <w:kern w:val="22"/>
          <w:szCs w:val="22"/>
          <w:lang w:val="fr-CA"/>
        </w:rPr>
        <w:t xml:space="preserve">nationaux </w:t>
      </w:r>
      <w:r w:rsidRPr="00D078F1">
        <w:rPr>
          <w:iCs/>
          <w:kern w:val="22"/>
          <w:szCs w:val="22"/>
          <w:lang w:val="fr-CA"/>
        </w:rPr>
        <w:t>de suivi et</w:t>
      </w:r>
      <w:r>
        <w:rPr>
          <w:iCs/>
          <w:kern w:val="22"/>
          <w:szCs w:val="22"/>
          <w:lang w:val="fr-CA"/>
        </w:rPr>
        <w:t xml:space="preserve"> de présentation des rapports</w:t>
      </w:r>
      <w:r w:rsidR="001829FE">
        <w:rPr>
          <w:iCs/>
          <w:kern w:val="22"/>
          <w:szCs w:val="22"/>
          <w:lang w:val="fr-CA"/>
        </w:rPr>
        <w:t>[, selon qu’il convient et leurs priorités et situations nationales;]</w:t>
      </w:r>
      <w:r w:rsidRPr="00D078F1">
        <w:rPr>
          <w:iCs/>
          <w:kern w:val="22"/>
          <w:szCs w:val="22"/>
          <w:lang w:val="fr-CA"/>
        </w:rPr>
        <w:t>;</w:t>
      </w:r>
    </w:p>
    <w:p w14:paraId="3CB75BD6" w14:textId="54A6D5C9" w:rsidR="00C63CF5" w:rsidRPr="00D078F1" w:rsidRDefault="00C63CF5" w:rsidP="00C63CF5">
      <w:pPr>
        <w:pStyle w:val="Para1"/>
        <w:numPr>
          <w:ilvl w:val="0"/>
          <w:numId w:val="0"/>
        </w:numPr>
        <w:suppressLineNumbers/>
        <w:suppressAutoHyphens/>
        <w:kinsoku w:val="0"/>
        <w:overflowPunct w:val="0"/>
        <w:autoSpaceDE w:val="0"/>
        <w:autoSpaceDN w:val="0"/>
        <w:adjustRightInd w:val="0"/>
        <w:snapToGrid w:val="0"/>
        <w:ind w:left="720" w:firstLine="720"/>
        <w:rPr>
          <w:kern w:val="22"/>
          <w:lang w:val="fr-CA"/>
        </w:rPr>
      </w:pPr>
      <w:r w:rsidRPr="00D078F1">
        <w:rPr>
          <w:kern w:val="22"/>
          <w:lang w:val="fr-CA"/>
        </w:rPr>
        <w:t>9</w:t>
      </w:r>
      <w:r w:rsidRPr="00D078F1">
        <w:rPr>
          <w:i/>
          <w:iCs/>
          <w:kern w:val="22"/>
          <w:lang w:val="fr-CA"/>
        </w:rPr>
        <w:t>.</w:t>
      </w:r>
      <w:r w:rsidRPr="00D078F1">
        <w:rPr>
          <w:i/>
          <w:iCs/>
          <w:kern w:val="22"/>
          <w:lang w:val="fr-CA"/>
        </w:rPr>
        <w:tab/>
      </w:r>
      <w:r>
        <w:rPr>
          <w:i/>
          <w:iCs/>
          <w:kern w:val="22"/>
          <w:lang w:val="fr-CA"/>
        </w:rPr>
        <w:t>E</w:t>
      </w:r>
      <w:r w:rsidRPr="00D078F1">
        <w:rPr>
          <w:i/>
          <w:iCs/>
          <w:kern w:val="22"/>
          <w:lang w:val="fr-CA"/>
        </w:rPr>
        <w:t>ncourage</w:t>
      </w:r>
      <w:r w:rsidR="001829FE">
        <w:rPr>
          <w:i/>
          <w:iCs/>
          <w:kern w:val="22"/>
          <w:lang w:val="fr-CA"/>
        </w:rPr>
        <w:t xml:space="preserve"> [Exhorte]</w:t>
      </w:r>
      <w:r w:rsidRPr="00D078F1">
        <w:rPr>
          <w:i/>
          <w:iCs/>
          <w:kern w:val="22"/>
          <w:lang w:val="fr-CA"/>
        </w:rPr>
        <w:t xml:space="preserve"> </w:t>
      </w:r>
      <w:r w:rsidRPr="00D078F1">
        <w:rPr>
          <w:iCs/>
          <w:kern w:val="22"/>
          <w:lang w:val="fr-CA"/>
        </w:rPr>
        <w:t>les Parties</w:t>
      </w:r>
      <w:r w:rsidR="001829FE">
        <w:rPr>
          <w:iCs/>
          <w:kern w:val="22"/>
          <w:lang w:val="fr-CA"/>
        </w:rPr>
        <w:t>[, conformément à l’article 20,]</w:t>
      </w:r>
      <w:r w:rsidRPr="00D078F1">
        <w:rPr>
          <w:iCs/>
          <w:kern w:val="22"/>
          <w:lang w:val="fr-CA"/>
        </w:rPr>
        <w:t xml:space="preserve"> et </w:t>
      </w:r>
      <w:r w:rsidRPr="00D078F1">
        <w:rPr>
          <w:i/>
          <w:iCs/>
          <w:kern w:val="22"/>
          <w:lang w:val="fr-CA"/>
        </w:rPr>
        <w:t>invite</w:t>
      </w:r>
      <w:r w:rsidRPr="00D078F1">
        <w:rPr>
          <w:iCs/>
          <w:kern w:val="22"/>
          <w:lang w:val="fr-CA"/>
        </w:rPr>
        <w:t xml:space="preserve"> les autres gouvernements, le Fonds pour l’environnement mondial, le Partenariat relatif aux indicateurs de la biodiversité, la Plateforme intergouvernementale scientifique et politique sur la biodiversité et les services écosystémiques et au</w:t>
      </w:r>
      <w:r w:rsidR="001829FE">
        <w:rPr>
          <w:iCs/>
          <w:kern w:val="22"/>
          <w:lang w:val="fr-CA"/>
        </w:rPr>
        <w:t>tres organisations compétentes[, ainsi que ceux invités à faire partie du groupe d’experts techniques sur les indicateurs] à</w:t>
      </w:r>
      <w:r w:rsidRPr="00D078F1">
        <w:rPr>
          <w:iCs/>
          <w:kern w:val="22"/>
          <w:lang w:val="fr-CA"/>
        </w:rPr>
        <w:t xml:space="preserve"> soutenir les systèmes nationaux, régionaux et mondiaux de suivi de la diversité biologique</w:t>
      </w:r>
      <w:r w:rsidRPr="00D078F1">
        <w:rPr>
          <w:kern w:val="22"/>
          <w:lang w:val="fr-CA"/>
        </w:rPr>
        <w:t>;</w:t>
      </w:r>
    </w:p>
    <w:p w14:paraId="614B018C" w14:textId="0342473D" w:rsidR="00C63CF5" w:rsidRPr="00D078F1" w:rsidRDefault="00C63CF5" w:rsidP="00C63CF5">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lang w:val="fr-CA"/>
        </w:rPr>
      </w:pPr>
      <w:r w:rsidRPr="00D078F1">
        <w:rPr>
          <w:kern w:val="22"/>
          <w:szCs w:val="22"/>
          <w:lang w:val="fr-CA"/>
        </w:rPr>
        <w:t>10</w:t>
      </w:r>
      <w:r w:rsidRPr="00D078F1">
        <w:rPr>
          <w:i/>
          <w:iCs/>
          <w:kern w:val="22"/>
          <w:szCs w:val="22"/>
          <w:lang w:val="fr-CA"/>
        </w:rPr>
        <w:t>.</w:t>
      </w:r>
      <w:r w:rsidRPr="00D078F1">
        <w:rPr>
          <w:i/>
          <w:iCs/>
          <w:kern w:val="22"/>
          <w:szCs w:val="22"/>
          <w:lang w:val="fr-CA"/>
        </w:rPr>
        <w:tab/>
        <w:t xml:space="preserve">Invite </w:t>
      </w:r>
      <w:r w:rsidRPr="00D078F1">
        <w:rPr>
          <w:iCs/>
          <w:kern w:val="22"/>
          <w:szCs w:val="22"/>
          <w:lang w:val="fr-CA"/>
        </w:rPr>
        <w:t xml:space="preserve">la Commission de la statistique des Nationaux Unies, le Réseau de veille de la diversité biologique du Système mondial d’observation de la Terre, </w:t>
      </w:r>
      <w:r w:rsidR="00850429">
        <w:rPr>
          <w:iCs/>
          <w:kern w:val="22"/>
          <w:szCs w:val="22"/>
          <w:lang w:val="fr-CA"/>
        </w:rPr>
        <w:t xml:space="preserve">la Plateforme intergouvernementale scientifique et politique sur la biodiversité et les services écosystémiques, </w:t>
      </w:r>
      <w:r w:rsidRPr="00D078F1">
        <w:rPr>
          <w:iCs/>
          <w:kern w:val="22"/>
          <w:lang w:val="fr-CA"/>
        </w:rPr>
        <w:t>le Partenariat relatif aux indicateurs de la biodiversité et autres organisations à soutenir l’opérationnalisation du cadre de suivi du cadre mondial de la biodiversité pour l'après-2020</w:t>
      </w:r>
      <w:r w:rsidRPr="00D078F1">
        <w:rPr>
          <w:kern w:val="22"/>
          <w:szCs w:val="22"/>
          <w:lang w:val="fr-CA"/>
        </w:rPr>
        <w:t>;</w:t>
      </w:r>
    </w:p>
    <w:p w14:paraId="20B39946" w14:textId="2158E22E" w:rsidR="00850429" w:rsidRDefault="00C63CF5" w:rsidP="00850429">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11.</w:t>
      </w:r>
      <w:r w:rsidRPr="00D078F1">
        <w:rPr>
          <w:iCs/>
          <w:kern w:val="22"/>
          <w:szCs w:val="22"/>
          <w:lang w:val="fr-CA"/>
        </w:rPr>
        <w:tab/>
      </w:r>
      <w:r w:rsidRPr="00D078F1">
        <w:rPr>
          <w:i/>
          <w:iCs/>
          <w:kern w:val="22"/>
          <w:lang w:val="fr-CA"/>
        </w:rPr>
        <w:t>Décide</w:t>
      </w:r>
      <w:r w:rsidRPr="00D078F1">
        <w:rPr>
          <w:kern w:val="22"/>
          <w:szCs w:val="22"/>
          <w:lang w:val="fr-CA"/>
        </w:rPr>
        <w:t xml:space="preserve"> de créer un groupe spécial d'experts techniques </w:t>
      </w:r>
      <w:r>
        <w:rPr>
          <w:kern w:val="22"/>
          <w:szCs w:val="22"/>
          <w:lang w:val="fr-CA"/>
        </w:rPr>
        <w:t>pour une durée fixe prenant fin</w:t>
      </w:r>
      <w:r w:rsidRPr="00D078F1">
        <w:rPr>
          <w:kern w:val="22"/>
          <w:szCs w:val="22"/>
          <w:lang w:val="fr-CA"/>
        </w:rPr>
        <w:t xml:space="preserve"> à la seizième réunion de la Conférence des Parties</w:t>
      </w:r>
      <w:r>
        <w:rPr>
          <w:kern w:val="22"/>
          <w:szCs w:val="22"/>
          <w:lang w:val="fr-CA"/>
        </w:rPr>
        <w:t>, qui fournirait</w:t>
      </w:r>
      <w:r w:rsidRPr="00D078F1">
        <w:rPr>
          <w:kern w:val="22"/>
          <w:szCs w:val="22"/>
          <w:lang w:val="fr-CA"/>
        </w:rPr>
        <w:t xml:space="preserve"> des avis sur la poursuite de la mise en œuvre du cadre de suivi du cadre mondial de la biodiversité pour l'après-2020, dont </w:t>
      </w:r>
      <w:r>
        <w:rPr>
          <w:kern w:val="22"/>
          <w:szCs w:val="22"/>
          <w:lang w:val="fr-CA"/>
        </w:rPr>
        <w:t>le mandat</w:t>
      </w:r>
      <w:r w:rsidRPr="00D078F1">
        <w:rPr>
          <w:kern w:val="22"/>
          <w:szCs w:val="22"/>
          <w:lang w:val="fr-CA"/>
        </w:rPr>
        <w:t xml:space="preserve"> figure en annexe à la présente décision</w:t>
      </w:r>
      <w:r w:rsidRPr="00D078F1">
        <w:rPr>
          <w:iCs/>
          <w:kern w:val="22"/>
          <w:szCs w:val="22"/>
          <w:lang w:val="fr-CA"/>
        </w:rPr>
        <w:t>;</w:t>
      </w:r>
    </w:p>
    <w:p w14:paraId="27A99F9A" w14:textId="1823433D" w:rsidR="00850429" w:rsidRPr="00EA619A" w:rsidRDefault="00850429" w:rsidP="00850429">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lang w:val="fr-CA"/>
        </w:rPr>
      </w:pPr>
      <w:r>
        <w:rPr>
          <w:iCs/>
          <w:kern w:val="22"/>
          <w:szCs w:val="22"/>
          <w:lang w:val="fr-CA"/>
        </w:rPr>
        <w:t>12.</w:t>
      </w:r>
      <w:r>
        <w:rPr>
          <w:iCs/>
          <w:kern w:val="22"/>
          <w:szCs w:val="22"/>
          <w:lang w:val="fr-CA"/>
        </w:rPr>
        <w:tab/>
      </w:r>
      <w:r w:rsidRPr="00EA619A">
        <w:rPr>
          <w:i/>
          <w:iCs/>
          <w:kern w:val="22"/>
          <w:szCs w:val="22"/>
          <w:lang w:val="fr-CA"/>
        </w:rPr>
        <w:t>Prie</w:t>
      </w:r>
      <w:r w:rsidRPr="00EA619A">
        <w:rPr>
          <w:iCs/>
          <w:kern w:val="22"/>
          <w:szCs w:val="22"/>
          <w:lang w:val="fr-CA"/>
        </w:rPr>
        <w:t xml:space="preserve"> l’Organe subsidiaire chargé de fournir des avis scientifiques, techniques et technologiques d’examiner les conclusions du groupe spécial d’experts techniques et de mener à terme l’examen technique et scienti</w:t>
      </w:r>
      <w:r w:rsidR="00EA619A" w:rsidRPr="00EA619A">
        <w:rPr>
          <w:iCs/>
          <w:kern w:val="22"/>
          <w:szCs w:val="22"/>
          <w:lang w:val="fr-CA"/>
        </w:rPr>
        <w:t>fi</w:t>
      </w:r>
      <w:r w:rsidRPr="00EA619A">
        <w:rPr>
          <w:iCs/>
          <w:kern w:val="22"/>
          <w:szCs w:val="22"/>
          <w:lang w:val="fr-CA"/>
        </w:rPr>
        <w:t xml:space="preserve">que du cadre de suivi, et de présenter </w:t>
      </w:r>
      <w:r w:rsidR="00EA619A">
        <w:rPr>
          <w:iCs/>
          <w:kern w:val="22"/>
          <w:szCs w:val="22"/>
          <w:lang w:val="fr-CA"/>
        </w:rPr>
        <w:t>ces</w:t>
      </w:r>
      <w:r w:rsidRPr="00EA619A">
        <w:rPr>
          <w:iCs/>
          <w:kern w:val="22"/>
          <w:szCs w:val="22"/>
          <w:lang w:val="fr-CA"/>
        </w:rPr>
        <w:t xml:space="preserve"> conclusions pour examen ult</w:t>
      </w:r>
      <w:r w:rsidR="00EA619A" w:rsidRPr="00EA619A">
        <w:rPr>
          <w:iCs/>
          <w:kern w:val="22"/>
          <w:szCs w:val="22"/>
          <w:lang w:val="fr-CA"/>
        </w:rPr>
        <w:t>é</w:t>
      </w:r>
      <w:r w:rsidRPr="00EA619A">
        <w:rPr>
          <w:iCs/>
          <w:kern w:val="22"/>
          <w:szCs w:val="22"/>
          <w:lang w:val="fr-CA"/>
        </w:rPr>
        <w:t xml:space="preserve">rieur </w:t>
      </w:r>
      <w:r w:rsidR="00D26DAD">
        <w:rPr>
          <w:iCs/>
          <w:kern w:val="22"/>
          <w:szCs w:val="22"/>
          <w:lang w:val="fr-CA"/>
        </w:rPr>
        <w:t>par</w:t>
      </w:r>
      <w:r w:rsidRPr="00EA619A">
        <w:rPr>
          <w:iCs/>
          <w:kern w:val="22"/>
          <w:szCs w:val="22"/>
          <w:lang w:val="fr-CA"/>
        </w:rPr>
        <w:t xml:space="preserve"> l’Organe subsidiaire chargé de l'application et </w:t>
      </w:r>
      <w:r w:rsidR="00EA619A" w:rsidRPr="00EA619A">
        <w:rPr>
          <w:iCs/>
          <w:kern w:val="22"/>
          <w:szCs w:val="22"/>
          <w:lang w:val="fr-CA"/>
        </w:rPr>
        <w:t>la seizième réunion de la Conférence des Parties;</w:t>
      </w:r>
    </w:p>
    <w:p w14:paraId="0272C4B3" w14:textId="1D038194" w:rsidR="00C63CF5" w:rsidRPr="00D078F1" w:rsidRDefault="00C63CF5" w:rsidP="00C63CF5">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1</w:t>
      </w:r>
      <w:r w:rsidR="00EA619A">
        <w:rPr>
          <w:iCs/>
          <w:kern w:val="22"/>
          <w:szCs w:val="22"/>
          <w:lang w:val="fr-CA"/>
        </w:rPr>
        <w:t>3</w:t>
      </w:r>
      <w:r w:rsidRPr="00D078F1">
        <w:rPr>
          <w:iCs/>
          <w:kern w:val="22"/>
          <w:szCs w:val="22"/>
          <w:lang w:val="fr-CA"/>
        </w:rPr>
        <w:t>.</w:t>
      </w:r>
      <w:r w:rsidRPr="00D078F1">
        <w:rPr>
          <w:iCs/>
          <w:kern w:val="22"/>
          <w:szCs w:val="22"/>
          <w:lang w:val="fr-CA"/>
        </w:rPr>
        <w:tab/>
      </w:r>
      <w:r w:rsidRPr="00D078F1">
        <w:rPr>
          <w:i/>
          <w:kern w:val="22"/>
          <w:szCs w:val="22"/>
          <w:lang w:val="fr-CA"/>
        </w:rPr>
        <w:t xml:space="preserve">Décide </w:t>
      </w:r>
      <w:r w:rsidRPr="00D078F1">
        <w:rPr>
          <w:kern w:val="22"/>
          <w:szCs w:val="22"/>
          <w:lang w:val="fr-CA"/>
        </w:rPr>
        <w:t xml:space="preserve">d’examiner la nécessité de poursuivre les travaux afin de mettre en œuvre </w:t>
      </w:r>
      <w:r>
        <w:rPr>
          <w:kern w:val="22"/>
          <w:szCs w:val="22"/>
          <w:lang w:val="fr-CA"/>
        </w:rPr>
        <w:t>dans son intégralité</w:t>
      </w:r>
      <w:r w:rsidRPr="00D078F1">
        <w:rPr>
          <w:kern w:val="22"/>
          <w:szCs w:val="22"/>
          <w:lang w:val="fr-CA"/>
        </w:rPr>
        <w:t xml:space="preserve"> et d’examiner l’efficacité du cadre de suivi du cadre mondial de la biodiversité pour l'après-2020 à la seizième réunion de la Conférence des Parties</w:t>
      </w:r>
      <w:r w:rsidRPr="00D078F1">
        <w:rPr>
          <w:iCs/>
          <w:kern w:val="22"/>
          <w:szCs w:val="22"/>
          <w:lang w:val="fr-CA"/>
        </w:rPr>
        <w:t>;</w:t>
      </w:r>
    </w:p>
    <w:p w14:paraId="07F0AB5F" w14:textId="6848A406" w:rsidR="00C63CF5" w:rsidRDefault="00C63CF5" w:rsidP="00C63CF5">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lang w:val="fr-CA"/>
        </w:rPr>
      </w:pPr>
      <w:r w:rsidRPr="00D078F1">
        <w:rPr>
          <w:iCs/>
          <w:kern w:val="22"/>
          <w:szCs w:val="22"/>
          <w:lang w:val="fr-CA"/>
        </w:rPr>
        <w:t>1</w:t>
      </w:r>
      <w:r w:rsidR="00EA619A">
        <w:rPr>
          <w:iCs/>
          <w:kern w:val="22"/>
          <w:szCs w:val="22"/>
          <w:lang w:val="fr-CA"/>
        </w:rPr>
        <w:t>4</w:t>
      </w:r>
      <w:r w:rsidRPr="00D078F1">
        <w:rPr>
          <w:iCs/>
          <w:kern w:val="22"/>
          <w:szCs w:val="22"/>
          <w:lang w:val="fr-CA"/>
        </w:rPr>
        <w:t>.</w:t>
      </w:r>
      <w:r w:rsidRPr="00D078F1">
        <w:rPr>
          <w:iCs/>
          <w:kern w:val="22"/>
          <w:szCs w:val="22"/>
          <w:lang w:val="fr-CA"/>
        </w:rPr>
        <w:tab/>
      </w:r>
      <w:r w:rsidRPr="00D078F1">
        <w:rPr>
          <w:i/>
          <w:iCs/>
          <w:kern w:val="22"/>
          <w:szCs w:val="22"/>
          <w:lang w:val="fr-CA"/>
        </w:rPr>
        <w:t xml:space="preserve">Prie </w:t>
      </w:r>
      <w:r w:rsidRPr="00D078F1">
        <w:rPr>
          <w:iCs/>
          <w:kern w:val="22"/>
          <w:szCs w:val="22"/>
          <w:lang w:val="fr-CA"/>
        </w:rPr>
        <w:t>la Secrétaire exécutive d’organiser</w:t>
      </w:r>
      <w:r w:rsidR="00EA619A">
        <w:rPr>
          <w:iCs/>
          <w:kern w:val="22"/>
          <w:szCs w:val="22"/>
          <w:lang w:val="fr-CA"/>
        </w:rPr>
        <w:t>, en collaboration avec le groupe spécial d’experts techniques et dans les limites des ressources disponibles,</w:t>
      </w:r>
      <w:r w:rsidRPr="00D078F1">
        <w:rPr>
          <w:iCs/>
          <w:kern w:val="22"/>
          <w:szCs w:val="22"/>
          <w:lang w:val="fr-CA"/>
        </w:rPr>
        <w:t xml:space="preserve"> des échanges en ligne avec modérateur </w:t>
      </w:r>
      <w:r w:rsidR="00FE305E">
        <w:rPr>
          <w:iCs/>
          <w:kern w:val="22"/>
          <w:szCs w:val="22"/>
          <w:lang w:val="fr-CA"/>
        </w:rPr>
        <w:t xml:space="preserve">sur le cadre de suivi; </w:t>
      </w:r>
    </w:p>
    <w:p w14:paraId="45C962DB" w14:textId="1BFFDC44" w:rsidR="00FE305E" w:rsidRPr="00D078F1" w:rsidRDefault="00FE305E" w:rsidP="00C63CF5">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lang w:val="fr-CA"/>
        </w:rPr>
      </w:pPr>
      <w:r>
        <w:rPr>
          <w:iCs/>
          <w:kern w:val="22"/>
          <w:szCs w:val="22"/>
          <w:lang w:val="fr-CA"/>
        </w:rPr>
        <w:lastRenderedPageBreak/>
        <w:t>15.</w:t>
      </w:r>
      <w:r>
        <w:rPr>
          <w:iCs/>
          <w:kern w:val="22"/>
          <w:szCs w:val="22"/>
          <w:lang w:val="fr-CA"/>
        </w:rPr>
        <w:tab/>
        <w:t>[</w:t>
      </w:r>
      <w:r w:rsidRPr="004547B3">
        <w:rPr>
          <w:i/>
          <w:iCs/>
          <w:kern w:val="22"/>
          <w:szCs w:val="22"/>
          <w:lang w:val="fr-CA"/>
        </w:rPr>
        <w:t>Demande</w:t>
      </w:r>
      <w:r w:rsidRPr="009C3609">
        <w:rPr>
          <w:iCs/>
          <w:kern w:val="22"/>
          <w:szCs w:val="22"/>
          <w:lang w:val="fr-CA"/>
        </w:rPr>
        <w:t xml:space="preserve"> au Groupe de travail sur l’article 8 j) et les dispositions connexes de poursuivre l’</w:t>
      </w:r>
      <w:r w:rsidR="009C3609" w:rsidRPr="009C3609">
        <w:rPr>
          <w:iCs/>
          <w:kern w:val="22"/>
          <w:szCs w:val="22"/>
          <w:lang w:val="fr-CA"/>
        </w:rPr>
        <w:t>élaborati</w:t>
      </w:r>
      <w:r w:rsidRPr="009C3609">
        <w:rPr>
          <w:iCs/>
          <w:kern w:val="22"/>
          <w:szCs w:val="22"/>
          <w:lang w:val="fr-CA"/>
        </w:rPr>
        <w:t>on et l’opérationnalisation des indicateurs liés aux connaissances traditionnelles et aux peuples autochtones et communautés locales, et de faire rapport sur ces travaux aux Parties</w:t>
      </w:r>
      <w:r w:rsidR="009C3609" w:rsidRPr="009C3609">
        <w:rPr>
          <w:iCs/>
          <w:kern w:val="22"/>
          <w:szCs w:val="22"/>
          <w:lang w:val="fr-CA"/>
        </w:rPr>
        <w:t>,</w:t>
      </w:r>
      <w:r w:rsidRPr="009C3609">
        <w:rPr>
          <w:iCs/>
          <w:kern w:val="22"/>
          <w:szCs w:val="22"/>
          <w:lang w:val="fr-CA"/>
        </w:rPr>
        <w:t xml:space="preserve"> et</w:t>
      </w:r>
      <w:r w:rsidR="009C3609" w:rsidRPr="009C3609">
        <w:rPr>
          <w:iCs/>
          <w:kern w:val="22"/>
          <w:szCs w:val="22"/>
          <w:lang w:val="fr-CA"/>
        </w:rPr>
        <w:t xml:space="preserve"> au Secrétariat de mettre ces informations sur les progrès et les conclusions à la disponibilité au groupe spécial d’experts techniques [et autres groupes de travail concernés</w:t>
      </w:r>
      <w:r w:rsidR="009C3609">
        <w:rPr>
          <w:iCs/>
          <w:kern w:val="22"/>
          <w:szCs w:val="22"/>
          <w:lang w:val="fr-CA"/>
        </w:rPr>
        <w:t>];]</w:t>
      </w:r>
    </w:p>
    <w:p w14:paraId="36EB12AA" w14:textId="0CE256AE" w:rsidR="00C63CF5" w:rsidRPr="00D078F1" w:rsidRDefault="00EA619A" w:rsidP="00C63CF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szCs w:val="22"/>
          <w:lang w:val="fr-CA"/>
        </w:rPr>
      </w:pPr>
      <w:r>
        <w:rPr>
          <w:kern w:val="22"/>
          <w:lang w:val="fr-CA"/>
        </w:rPr>
        <w:t>1</w:t>
      </w:r>
      <w:r w:rsidR="004547B3">
        <w:rPr>
          <w:kern w:val="22"/>
          <w:lang w:val="fr-CA"/>
        </w:rPr>
        <w:t>6</w:t>
      </w:r>
      <w:r w:rsidR="00C63CF5" w:rsidRPr="00D078F1">
        <w:rPr>
          <w:kern w:val="22"/>
          <w:lang w:val="fr-CA"/>
        </w:rPr>
        <w:t>.</w:t>
      </w:r>
      <w:r w:rsidR="00C63CF5" w:rsidRPr="00D078F1">
        <w:rPr>
          <w:i/>
          <w:iCs/>
          <w:kern w:val="22"/>
          <w:lang w:val="fr-CA"/>
        </w:rPr>
        <w:tab/>
        <w:t>Prie</w:t>
      </w:r>
      <w:r w:rsidR="00C63CF5" w:rsidRPr="00D078F1">
        <w:rPr>
          <w:kern w:val="22"/>
          <w:lang w:val="fr-CA"/>
        </w:rPr>
        <w:t xml:space="preserve"> la Secrétaire exécutive, en collaboration avec les partenaires concernés</w:t>
      </w:r>
      <w:r w:rsidR="009C3609">
        <w:rPr>
          <w:kern w:val="22"/>
          <w:lang w:val="fr-CA"/>
        </w:rPr>
        <w:t xml:space="preserve"> [et dans les limites des ressources disponibles]</w:t>
      </w:r>
      <w:r w:rsidR="00C63CF5" w:rsidRPr="00D078F1">
        <w:rPr>
          <w:kern w:val="22"/>
          <w:lang w:val="fr-CA"/>
        </w:rPr>
        <w:t> :</w:t>
      </w:r>
    </w:p>
    <w:p w14:paraId="7337C23C" w14:textId="1413ABB7" w:rsidR="00C63CF5" w:rsidRPr="00D078F1" w:rsidRDefault="00B21F22" w:rsidP="00B21F22">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fr-CA"/>
        </w:rPr>
      </w:pPr>
      <w:r>
        <w:rPr>
          <w:snapToGrid w:val="0"/>
          <w:kern w:val="22"/>
          <w:szCs w:val="22"/>
          <w:lang w:val="fr-CA"/>
        </w:rPr>
        <w:t>De [rendre disponible][faciliter</w:t>
      </w:r>
      <w:r w:rsidR="00C63CF5" w:rsidRPr="00D078F1">
        <w:rPr>
          <w:snapToGrid w:val="0"/>
          <w:kern w:val="22"/>
          <w:szCs w:val="22"/>
          <w:lang w:val="fr-CA"/>
        </w:rPr>
        <w:t xml:space="preserve"> </w:t>
      </w:r>
      <w:r>
        <w:rPr>
          <w:snapToGrid w:val="0"/>
          <w:kern w:val="22"/>
          <w:szCs w:val="22"/>
          <w:lang w:val="fr-CA"/>
        </w:rPr>
        <w:t xml:space="preserve">l’élaboration d’] </w:t>
      </w:r>
      <w:r w:rsidR="00C63CF5" w:rsidRPr="00D078F1">
        <w:rPr>
          <w:snapToGrid w:val="0"/>
          <w:kern w:val="22"/>
          <w:szCs w:val="22"/>
          <w:lang w:val="fr-CA"/>
        </w:rPr>
        <w:t xml:space="preserve">une orientation </w:t>
      </w:r>
      <w:r>
        <w:rPr>
          <w:snapToGrid w:val="0"/>
          <w:kern w:val="22"/>
          <w:szCs w:val="22"/>
          <w:lang w:val="fr-CA"/>
        </w:rPr>
        <w:t xml:space="preserve">sur [la création][le  renforcement] </w:t>
      </w:r>
      <w:r w:rsidR="00C63CF5" w:rsidRPr="00D078F1">
        <w:rPr>
          <w:snapToGrid w:val="0"/>
          <w:kern w:val="22"/>
          <w:szCs w:val="22"/>
          <w:lang w:val="fr-CA"/>
        </w:rPr>
        <w:t>des capacités de soutien aux Parties</w:t>
      </w:r>
      <w:r>
        <w:rPr>
          <w:snapToGrid w:val="0"/>
          <w:kern w:val="22"/>
          <w:szCs w:val="22"/>
          <w:lang w:val="fr-CA"/>
        </w:rPr>
        <w:t xml:space="preserve"> pour la mise en œuvre du cadre de suivi</w:t>
      </w:r>
      <w:r w:rsidR="00C63CF5" w:rsidRPr="00D078F1">
        <w:rPr>
          <w:snapToGrid w:val="0"/>
          <w:kern w:val="22"/>
          <w:szCs w:val="22"/>
          <w:lang w:val="fr-CA"/>
        </w:rPr>
        <w:t xml:space="preserve">, en tenant compte des besoins spéciaux, de la situation et des priorités des pays en développement, </w:t>
      </w:r>
      <w:r w:rsidR="00E43C65">
        <w:rPr>
          <w:snapToGrid w:val="0"/>
          <w:kern w:val="22"/>
          <w:szCs w:val="22"/>
          <w:lang w:val="fr-CA"/>
        </w:rPr>
        <w:t>[</w:t>
      </w:r>
      <w:r w:rsidR="00C63CF5" w:rsidRPr="00D078F1">
        <w:rPr>
          <w:snapToGrid w:val="0"/>
          <w:kern w:val="22"/>
          <w:szCs w:val="22"/>
          <w:lang w:val="fr-CA"/>
        </w:rPr>
        <w:t>plus particulièrement les pays les moins avancés, les petits États insulaires et les pays à économie en transition</w:t>
      </w:r>
      <w:r w:rsidR="00E43C65">
        <w:rPr>
          <w:snapToGrid w:val="0"/>
          <w:kern w:val="22"/>
          <w:szCs w:val="22"/>
          <w:lang w:val="fr-CA"/>
        </w:rPr>
        <w:t>,</w:t>
      </w:r>
      <w:r>
        <w:rPr>
          <w:snapToGrid w:val="0"/>
          <w:kern w:val="22"/>
          <w:szCs w:val="22"/>
          <w:lang w:val="fr-CA"/>
        </w:rPr>
        <w:t>]</w:t>
      </w:r>
      <w:r w:rsidR="00C63CF5" w:rsidRPr="00D078F1">
        <w:rPr>
          <w:snapToGrid w:val="0"/>
          <w:kern w:val="22"/>
          <w:szCs w:val="22"/>
          <w:lang w:val="fr-CA"/>
        </w:rPr>
        <w:t xml:space="preserve"> </w:t>
      </w:r>
      <w:r w:rsidR="007454CE">
        <w:rPr>
          <w:snapToGrid w:val="0"/>
          <w:kern w:val="22"/>
          <w:szCs w:val="22"/>
          <w:lang w:val="fr-CA"/>
        </w:rPr>
        <w:t xml:space="preserve">de </w:t>
      </w:r>
      <w:r w:rsidR="00E43C65">
        <w:rPr>
          <w:snapToGrid w:val="0"/>
          <w:kern w:val="22"/>
          <w:szCs w:val="22"/>
          <w:lang w:val="fr-CA"/>
        </w:rPr>
        <w:t xml:space="preserve">la compilation et </w:t>
      </w:r>
      <w:r w:rsidR="007454CE">
        <w:rPr>
          <w:snapToGrid w:val="0"/>
          <w:kern w:val="22"/>
          <w:szCs w:val="22"/>
          <w:lang w:val="fr-CA"/>
        </w:rPr>
        <w:t xml:space="preserve">de </w:t>
      </w:r>
      <w:r w:rsidR="00E43C65">
        <w:rPr>
          <w:snapToGrid w:val="0"/>
          <w:kern w:val="22"/>
          <w:szCs w:val="22"/>
          <w:lang w:val="fr-CA"/>
        </w:rPr>
        <w:t>l’utilisation</w:t>
      </w:r>
      <w:r w:rsidR="00C63CF5" w:rsidRPr="00D078F1">
        <w:rPr>
          <w:snapToGrid w:val="0"/>
          <w:kern w:val="22"/>
          <w:szCs w:val="22"/>
          <w:lang w:val="fr-CA"/>
        </w:rPr>
        <w:t xml:space="preserve"> </w:t>
      </w:r>
      <w:r w:rsidR="00E43C65">
        <w:rPr>
          <w:snapToGrid w:val="0"/>
          <w:kern w:val="22"/>
          <w:szCs w:val="22"/>
          <w:lang w:val="fr-CA"/>
        </w:rPr>
        <w:t>d</w:t>
      </w:r>
      <w:r w:rsidR="00C63CF5" w:rsidRPr="00D078F1">
        <w:rPr>
          <w:snapToGrid w:val="0"/>
          <w:kern w:val="22"/>
          <w:szCs w:val="22"/>
          <w:lang w:val="fr-CA"/>
        </w:rPr>
        <w:t xml:space="preserve">es indicateurs phares, ainsi que les indicateurs de composantes et complémentaires, lorsque c’est pertinent, y compris </w:t>
      </w:r>
      <w:r w:rsidR="00C63CF5">
        <w:rPr>
          <w:snapToGrid w:val="0"/>
          <w:kern w:val="22"/>
          <w:szCs w:val="22"/>
          <w:lang w:val="fr-CA"/>
        </w:rPr>
        <w:t xml:space="preserve">dans </w:t>
      </w:r>
      <w:r w:rsidR="00C63CF5" w:rsidRPr="00D078F1">
        <w:rPr>
          <w:snapToGrid w:val="0"/>
          <w:kern w:val="22"/>
          <w:szCs w:val="22"/>
          <w:lang w:val="fr-CA"/>
        </w:rPr>
        <w:t>leurs rapports nationaux, leurs stratégies et plans d’action nationaux pour la biodiversité et autres processus nationaux de planification;</w:t>
      </w:r>
    </w:p>
    <w:p w14:paraId="3D237B72" w14:textId="77777777" w:rsidR="00C63CF5" w:rsidRPr="00D078F1" w:rsidRDefault="00C63CF5" w:rsidP="00C63CF5">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lang w:val="fr-CA"/>
        </w:rPr>
      </w:pPr>
      <w:r w:rsidRPr="00D078F1">
        <w:rPr>
          <w:snapToGrid w:val="0"/>
          <w:kern w:val="22"/>
          <w:szCs w:val="22"/>
          <w:lang w:val="fr-CA"/>
        </w:rPr>
        <w:t>De faciliter l’utilisation des outils pertinents, dont l’outil de communication des données DaRT</w:t>
      </w:r>
      <w:r>
        <w:rPr>
          <w:snapToGrid w:val="0"/>
          <w:kern w:val="22"/>
          <w:szCs w:val="22"/>
          <w:lang w:val="fr-CA"/>
        </w:rPr>
        <w:t>, afin de faciliter l’</w:t>
      </w:r>
      <w:r w:rsidRPr="00D078F1">
        <w:rPr>
          <w:snapToGrid w:val="0"/>
          <w:kern w:val="22"/>
          <w:szCs w:val="22"/>
          <w:lang w:val="fr-CA"/>
        </w:rPr>
        <w:t xml:space="preserve">établissement des rapports nationaux et la </w:t>
      </w:r>
      <w:r>
        <w:rPr>
          <w:snapToGrid w:val="0"/>
          <w:kern w:val="22"/>
          <w:szCs w:val="22"/>
          <w:lang w:val="fr-CA"/>
        </w:rPr>
        <w:t>communication</w:t>
      </w:r>
      <w:r w:rsidRPr="00D078F1">
        <w:rPr>
          <w:snapToGrid w:val="0"/>
          <w:kern w:val="22"/>
          <w:szCs w:val="22"/>
          <w:lang w:val="fr-CA"/>
        </w:rPr>
        <w:t xml:space="preserve"> de données entre les accords multilatéraux sur l'environnement.</w:t>
      </w:r>
    </w:p>
    <w:p w14:paraId="1543A3CD" w14:textId="51AF37FD" w:rsidR="00C63CF5" w:rsidRPr="00D078F1" w:rsidRDefault="007454CE" w:rsidP="00C63CF5">
      <w:pPr>
        <w:spacing w:before="120" w:after="120"/>
        <w:jc w:val="center"/>
        <w:rPr>
          <w:bCs/>
          <w:i/>
          <w:iCs/>
          <w:snapToGrid w:val="0"/>
          <w:lang w:val="fr-CA"/>
        </w:rPr>
      </w:pPr>
      <w:r>
        <w:rPr>
          <w:bCs/>
          <w:i/>
          <w:iCs/>
          <w:snapToGrid w:val="0"/>
          <w:lang w:val="fr-CA"/>
        </w:rPr>
        <w:t>[</w:t>
      </w:r>
      <w:r w:rsidR="00C63CF5" w:rsidRPr="00D078F1">
        <w:rPr>
          <w:bCs/>
          <w:i/>
          <w:iCs/>
          <w:snapToGrid w:val="0"/>
          <w:lang w:val="fr-CA"/>
        </w:rPr>
        <w:t>Annexe</w:t>
      </w:r>
    </w:p>
    <w:p w14:paraId="5EEFABB7" w14:textId="77777777" w:rsidR="00C63CF5" w:rsidRPr="00D078F1" w:rsidRDefault="00C63CF5" w:rsidP="00C63CF5">
      <w:pPr>
        <w:pStyle w:val="Heading1"/>
        <w:suppressLineNumbers/>
        <w:tabs>
          <w:tab w:val="clear" w:pos="720"/>
        </w:tabs>
        <w:suppressAutoHyphens/>
        <w:kinsoku w:val="0"/>
        <w:overflowPunct w:val="0"/>
        <w:autoSpaceDE w:val="0"/>
        <w:autoSpaceDN w:val="0"/>
        <w:adjustRightInd w:val="0"/>
        <w:snapToGrid w:val="0"/>
        <w:rPr>
          <w:snapToGrid w:val="0"/>
          <w:kern w:val="22"/>
          <w:lang w:val="fr-CA"/>
        </w:rPr>
      </w:pPr>
      <w:r w:rsidRPr="00D078F1">
        <w:rPr>
          <w:snapToGrid w:val="0"/>
          <w:kern w:val="22"/>
          <w:lang w:val="fr-CA"/>
        </w:rPr>
        <w:t>Mandat d'un groupe d'experts techniques sur les indicateurs pour le cadre mondial de la biodiversité pour l'après-2020</w:t>
      </w:r>
    </w:p>
    <w:p w14:paraId="2B9B66D2" w14:textId="77777777" w:rsidR="00C63CF5" w:rsidRPr="00D078F1" w:rsidRDefault="00C63CF5" w:rsidP="00C63CF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 xml:space="preserve">Le Groupe aura pour </w:t>
      </w:r>
      <w:r>
        <w:rPr>
          <w:snapToGrid w:val="0"/>
          <w:kern w:val="22"/>
          <w:szCs w:val="22"/>
          <w:lang w:val="fr-CA"/>
        </w:rPr>
        <w:t>mandat</w:t>
      </w:r>
      <w:r w:rsidRPr="00D078F1">
        <w:rPr>
          <w:snapToGrid w:val="0"/>
          <w:kern w:val="22"/>
          <w:szCs w:val="22"/>
          <w:lang w:val="fr-CA"/>
        </w:rPr>
        <w:t xml:space="preserve"> :</w:t>
      </w:r>
    </w:p>
    <w:p w14:paraId="03C449E1" w14:textId="0C1E6469" w:rsidR="00C63CF5" w:rsidRPr="00D078F1" w:rsidRDefault="00C63CF5" w:rsidP="007454CE">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D078F1">
        <w:rPr>
          <w:snapToGrid w:val="0"/>
          <w:kern w:val="22"/>
          <w:szCs w:val="22"/>
          <w:lang w:val="fr-CA"/>
        </w:rPr>
        <w:t>D'identifier les métadonnées détaillées [et les informations], com</w:t>
      </w:r>
      <w:r>
        <w:rPr>
          <w:snapToGrid w:val="0"/>
          <w:kern w:val="22"/>
          <w:szCs w:val="22"/>
          <w:lang w:val="fr-CA"/>
        </w:rPr>
        <w:t>prenant [selon qu’il convient, l</w:t>
      </w:r>
      <w:r w:rsidRPr="00D078F1">
        <w:rPr>
          <w:snapToGrid w:val="0"/>
          <w:kern w:val="22"/>
          <w:szCs w:val="22"/>
          <w:lang w:val="fr-CA"/>
        </w:rPr>
        <w:t>es périodes de réfé</w:t>
      </w:r>
      <w:r>
        <w:rPr>
          <w:snapToGrid w:val="0"/>
          <w:kern w:val="22"/>
          <w:szCs w:val="22"/>
          <w:lang w:val="fr-CA"/>
        </w:rPr>
        <w:t>rence et] l</w:t>
      </w:r>
      <w:r w:rsidRPr="00D078F1">
        <w:rPr>
          <w:snapToGrid w:val="0"/>
          <w:kern w:val="22"/>
          <w:szCs w:val="22"/>
          <w:lang w:val="fr-CA"/>
        </w:rPr>
        <w:t xml:space="preserve">es valeurs de référence mondiales, en priorisant d’abord les indicateurs phares (selon les critères précisés </w:t>
      </w:r>
      <w:r>
        <w:rPr>
          <w:snapToGrid w:val="0"/>
          <w:kern w:val="22"/>
          <w:szCs w:val="22"/>
          <w:lang w:val="fr-CA"/>
        </w:rPr>
        <w:t>dans l’annexe au document CBD/-</w:t>
      </w:r>
      <w:r w:rsidRPr="00D078F1">
        <w:rPr>
          <w:snapToGrid w:val="0"/>
          <w:kern w:val="22"/>
          <w:szCs w:val="22"/>
          <w:lang w:val="fr-CA"/>
        </w:rPr>
        <w:t xml:space="preserve">)[et ensuite les indicateurs de composantes et complémentaires] du cadre de suivi du cadre mondial de la biodiversité pour l'après-2020, en tenant compte des méthodologies et des normes existantes qui ont été élaborées, y compris les indicateurs de suivi des objectifs de développement durable, du cadre pour le développement des statistiques de l'environnement et </w:t>
      </w:r>
      <w:r>
        <w:rPr>
          <w:snapToGrid w:val="0"/>
          <w:kern w:val="22"/>
          <w:szCs w:val="22"/>
          <w:lang w:val="fr-CA"/>
        </w:rPr>
        <w:t>du</w:t>
      </w:r>
      <w:r w:rsidRPr="00D078F1">
        <w:rPr>
          <w:snapToGrid w:val="0"/>
          <w:kern w:val="22"/>
          <w:szCs w:val="22"/>
          <w:lang w:val="fr-CA"/>
        </w:rPr>
        <w:t xml:space="preserve"> Système de comptabilité environnementale </w:t>
      </w:r>
      <w:r>
        <w:rPr>
          <w:snapToGrid w:val="0"/>
          <w:kern w:val="22"/>
          <w:szCs w:val="22"/>
          <w:lang w:val="fr-CA"/>
        </w:rPr>
        <w:t xml:space="preserve">et économique </w:t>
      </w:r>
      <w:r w:rsidRPr="00D078F1">
        <w:rPr>
          <w:snapToGrid w:val="0"/>
          <w:kern w:val="22"/>
          <w:szCs w:val="22"/>
          <w:lang w:val="fr-CA"/>
        </w:rPr>
        <w:t>développé sous l'égide de la Commission de statistique des Nations Unies;</w:t>
      </w:r>
    </w:p>
    <w:p w14:paraId="1C52EA13" w14:textId="77777777" w:rsidR="00C63CF5" w:rsidRPr="00D078F1" w:rsidRDefault="00C63CF5" w:rsidP="00C63CF5">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lang w:val="fr-CA"/>
        </w:rPr>
      </w:pPr>
      <w:r w:rsidRPr="00D078F1">
        <w:rPr>
          <w:snapToGrid w:val="0"/>
          <w:kern w:val="22"/>
          <w:szCs w:val="22"/>
          <w:lang w:val="fr-CA"/>
        </w:rPr>
        <w:t>De fournir des avis techniques et d’élaborer une orientation sur les moyens de combler les lacunes dans le cadre de suivi, en priorisant les indicateurs phares, et sur la mise en œuvre des indicateurs du cadre de suivi du cadre mondial de la biodiversité pour l'après-2020, y compris des avis sur l’utilisation de définitions harmonisées et convenues d</w:t>
      </w:r>
      <w:r>
        <w:rPr>
          <w:snapToGrid w:val="0"/>
          <w:kern w:val="22"/>
          <w:szCs w:val="22"/>
          <w:lang w:val="fr-CA"/>
        </w:rPr>
        <w:t>es indicateurs, l</w:t>
      </w:r>
      <w:r w:rsidRPr="00D078F1">
        <w:rPr>
          <w:snapToGrid w:val="0"/>
          <w:kern w:val="22"/>
          <w:szCs w:val="22"/>
          <w:lang w:val="fr-CA"/>
        </w:rPr>
        <w:t xml:space="preserve">es meilleures pratiques et la </w:t>
      </w:r>
      <w:r>
        <w:rPr>
          <w:snapToGrid w:val="0"/>
          <w:kern w:val="22"/>
          <w:szCs w:val="22"/>
          <w:lang w:val="fr-CA"/>
        </w:rPr>
        <w:t>communication</w:t>
      </w:r>
      <w:r w:rsidRPr="00D078F1">
        <w:rPr>
          <w:snapToGrid w:val="0"/>
          <w:kern w:val="22"/>
          <w:szCs w:val="22"/>
          <w:lang w:val="fr-CA"/>
        </w:rPr>
        <w:t xml:space="preserve"> des données nationales, et des avis techniques et scientifiques sur l’amélioration des indicateurs ou l’ajout de nouveaux indicateurs au cadre de suivi du cadre mondial de la biodiversité pour l'après-2020, dont des indicateurs d’intérêt pour les parties prenante</w:t>
      </w:r>
      <w:r>
        <w:rPr>
          <w:snapToGrid w:val="0"/>
          <w:kern w:val="22"/>
          <w:szCs w:val="22"/>
          <w:lang w:val="fr-CA"/>
        </w:rPr>
        <w:t>s</w:t>
      </w:r>
      <w:r w:rsidRPr="00D078F1">
        <w:rPr>
          <w:snapToGrid w:val="0"/>
          <w:color w:val="000000" w:themeColor="text1"/>
          <w:kern w:val="22"/>
          <w:szCs w:val="22"/>
          <w:lang w:val="fr-CA"/>
        </w:rPr>
        <w:t>;</w:t>
      </w:r>
    </w:p>
    <w:p w14:paraId="33EA8A42" w14:textId="77777777" w:rsidR="00C63CF5" w:rsidRPr="00D078F1" w:rsidRDefault="00C63CF5" w:rsidP="00C63CF5">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lang w:val="fr-CA"/>
        </w:rPr>
      </w:pPr>
      <w:r w:rsidRPr="00D078F1">
        <w:rPr>
          <w:snapToGrid w:val="0"/>
          <w:color w:val="000000" w:themeColor="text1"/>
          <w:kern w:val="22"/>
          <w:szCs w:val="22"/>
          <w:lang w:val="fr-CA"/>
        </w:rPr>
        <w:t xml:space="preserve">De fournir des avis techniques sur les questions restantes et non résolues portant </w:t>
      </w:r>
      <w:r>
        <w:rPr>
          <w:snapToGrid w:val="0"/>
          <w:color w:val="000000" w:themeColor="text1"/>
          <w:kern w:val="22"/>
          <w:szCs w:val="22"/>
          <w:lang w:val="fr-CA"/>
        </w:rPr>
        <w:t>sur</w:t>
      </w:r>
      <w:r w:rsidRPr="00D078F1">
        <w:rPr>
          <w:snapToGrid w:val="0"/>
          <w:color w:val="000000" w:themeColor="text1"/>
          <w:kern w:val="22"/>
          <w:szCs w:val="22"/>
          <w:lang w:val="fr-CA"/>
        </w:rPr>
        <w:t xml:space="preserve"> le cadre de suivi de l’après-2020, comme précisé par la Conférence des Parties à sa quinzième réunion, et de prioriser les travaux sur les éléments suivants jusqu’à la seizième réunion de la Conférence des Parties :</w:t>
      </w:r>
      <w:r w:rsidRPr="00D078F1">
        <w:rPr>
          <w:snapToGrid w:val="0"/>
          <w:color w:val="000000" w:themeColor="text1"/>
          <w:kern w:val="22"/>
          <w:szCs w:val="22"/>
          <w:lang w:val="fr-CA"/>
        </w:rPr>
        <w:tab/>
      </w:r>
    </w:p>
    <w:p w14:paraId="47C6D806" w14:textId="5372DABC" w:rsidR="00C63CF5" w:rsidRPr="00D078F1" w:rsidRDefault="00C63CF5" w:rsidP="007454CE">
      <w:pPr>
        <w:pStyle w:val="ListParagraph"/>
        <w:numPr>
          <w:ilvl w:val="2"/>
          <w:numId w:val="28"/>
        </w:numPr>
        <w:suppressLineNumbers/>
        <w:suppressAutoHyphens/>
        <w:kinsoku w:val="0"/>
        <w:overflowPunct w:val="0"/>
        <w:autoSpaceDE w:val="0"/>
        <w:autoSpaceDN w:val="0"/>
        <w:adjustRightInd w:val="0"/>
        <w:snapToGrid w:val="0"/>
        <w:spacing w:before="120" w:after="120"/>
        <w:ind w:left="720" w:firstLine="0"/>
        <w:contextualSpacing w:val="0"/>
        <w:rPr>
          <w:snapToGrid w:val="0"/>
          <w:color w:val="000000" w:themeColor="text1"/>
          <w:kern w:val="22"/>
          <w:szCs w:val="22"/>
          <w:lang w:val="fr-CA"/>
        </w:rPr>
      </w:pPr>
      <w:r w:rsidRPr="00D078F1">
        <w:rPr>
          <w:snapToGrid w:val="0"/>
          <w:color w:val="000000" w:themeColor="text1"/>
          <w:kern w:val="22"/>
          <w:szCs w:val="22"/>
          <w:lang w:val="fr-CA"/>
        </w:rPr>
        <w:t>Mener une évaluation complète des indicateurs phares, de composantes et complémentaires;</w:t>
      </w:r>
    </w:p>
    <w:p w14:paraId="325A340C" w14:textId="77777777" w:rsidR="00C63CF5" w:rsidRPr="00D078F1" w:rsidRDefault="00C63CF5" w:rsidP="00C63CF5">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lang w:val="fr-CA"/>
        </w:rPr>
      </w:pPr>
      <w:r w:rsidRPr="00D078F1">
        <w:rPr>
          <w:snapToGrid w:val="0"/>
          <w:color w:val="000000" w:themeColor="text1"/>
          <w:kern w:val="22"/>
          <w:szCs w:val="22"/>
          <w:lang w:val="fr-CA"/>
        </w:rPr>
        <w:t>Examiner les méthodes pour mettre en œuvre les indicateurs dans la planification nationale et l’établissement de rapports nationaux;</w:t>
      </w:r>
    </w:p>
    <w:p w14:paraId="498B9058" w14:textId="77777777" w:rsidR="00C63CF5" w:rsidRPr="00D078F1" w:rsidRDefault="00C63CF5" w:rsidP="00C63CF5">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lang w:val="fr-CA"/>
        </w:rPr>
      </w:pPr>
      <w:r w:rsidRPr="00D078F1">
        <w:rPr>
          <w:snapToGrid w:val="0"/>
          <w:color w:val="000000" w:themeColor="text1"/>
          <w:kern w:val="22"/>
          <w:szCs w:val="22"/>
          <w:lang w:val="fr-CA"/>
        </w:rPr>
        <w:t>(liste à déterminer selon les progrès accomplis avant la quinzième réunion de la Conférence des Parties);</w:t>
      </w:r>
    </w:p>
    <w:p w14:paraId="0A2D4D99" w14:textId="77777777" w:rsidR="00C63CF5" w:rsidRPr="00D078F1" w:rsidRDefault="00C63CF5" w:rsidP="00C63CF5">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fr-CA"/>
        </w:rPr>
      </w:pPr>
      <w:r w:rsidRPr="00D078F1">
        <w:rPr>
          <w:snapToGrid w:val="0"/>
          <w:kern w:val="22"/>
          <w:szCs w:val="22"/>
          <w:lang w:val="fr-CA"/>
        </w:rPr>
        <w:lastRenderedPageBreak/>
        <w:t>De fournir une orientation aux Parties sur les moyens de combler les lacunes en matière de données temporelles et spatiales, notamment par l'utilisation de mégadonnées, y compris les sciences participatives, les systèmes de suivi et d’information communautaires, la télédétection, la modélisation et l’analyse statistique, et d'autres formes de données et de systèmes de connaissances, en reconnaissant les difficultés particulières auxquelles font face les pays en développement en matière de développement et d’accès à des outils d’information</w:t>
      </w:r>
      <w:r w:rsidRPr="00D078F1">
        <w:rPr>
          <w:snapToGrid w:val="0"/>
          <w:color w:val="000000" w:themeColor="text1"/>
          <w:kern w:val="22"/>
          <w:szCs w:val="22"/>
          <w:lang w:val="fr-CA"/>
        </w:rPr>
        <w:t>;</w:t>
      </w:r>
    </w:p>
    <w:p w14:paraId="0706A0F4" w14:textId="77777777" w:rsidR="00C63CF5" w:rsidRPr="00D078F1" w:rsidRDefault="00C63CF5" w:rsidP="00C63CF5">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CA"/>
        </w:rPr>
      </w:pPr>
      <w:r>
        <w:rPr>
          <w:snapToGrid w:val="0"/>
          <w:kern w:val="22"/>
          <w:szCs w:val="22"/>
          <w:lang w:val="fr-CA"/>
        </w:rPr>
        <w:t>D</w:t>
      </w:r>
      <w:r w:rsidRPr="00D078F1">
        <w:rPr>
          <w:snapToGrid w:val="0"/>
          <w:kern w:val="22"/>
          <w:szCs w:val="22"/>
          <w:lang w:val="fr-CA"/>
        </w:rPr>
        <w:t>e fournir des avis sur les capacités, lacunes et besoins existants en matière de renforcement des capacités, de transfert de technologie et de besoins de financement en ce qui a trait au suivi du cadre mondial pour la biodiversité, en consultation avec le Groupe consultatif informel sur la coopération technique et scientifique.</w:t>
      </w:r>
    </w:p>
    <w:p w14:paraId="2459773A" w14:textId="77777777" w:rsidR="00C63CF5" w:rsidRPr="00D078F1" w:rsidRDefault="00C63CF5" w:rsidP="00C63CF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Le groupe tiendra compte :</w:t>
      </w:r>
    </w:p>
    <w:p w14:paraId="173FA398" w14:textId="72DC6C98" w:rsidR="00C63CF5" w:rsidRPr="00D078F1" w:rsidRDefault="00C63CF5" w:rsidP="007454CE">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D078F1">
        <w:rPr>
          <w:snapToGrid w:val="0"/>
          <w:kern w:val="22"/>
          <w:szCs w:val="22"/>
          <w:lang w:val="fr-CA"/>
        </w:rPr>
        <w:t>Des travaux antérieurs et de l’expérience acquise au titre de la convention et des autres programmes de travail pertinents portant sur les indicateurs et le suivi;</w:t>
      </w:r>
    </w:p>
    <w:p w14:paraId="7F73C88B" w14:textId="77777777" w:rsidR="00C63CF5" w:rsidRPr="00D078F1" w:rsidRDefault="00C63CF5" w:rsidP="00C63CF5">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D078F1">
        <w:rPr>
          <w:snapToGrid w:val="0"/>
          <w:color w:val="000000" w:themeColor="text1"/>
          <w:kern w:val="22"/>
          <w:szCs w:val="22"/>
          <w:lang w:val="fr-CA"/>
        </w:rPr>
        <w:t>Des normes de statistique et de développement au titre du forum intergouvernemental de la Commission de la statistique des Nations Unies;</w:t>
      </w:r>
    </w:p>
    <w:p w14:paraId="17E183E5" w14:textId="77777777" w:rsidR="00C63CF5" w:rsidRPr="00D078F1" w:rsidRDefault="00C63CF5" w:rsidP="00C63CF5">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D078F1">
        <w:rPr>
          <w:snapToGrid w:val="0"/>
          <w:color w:val="000000" w:themeColor="text1"/>
          <w:kern w:val="22"/>
          <w:szCs w:val="22"/>
          <w:lang w:val="fr-CA"/>
        </w:rPr>
        <w:t>Des travaux antérieurs et de l’expérience acquise dans le cadre d’autres cadres de suivi mondiaux, régionaux et nationaux pertinents, accords multilatéraux sur l'environnement et systèmes de connaissances;</w:t>
      </w:r>
    </w:p>
    <w:p w14:paraId="418DA45C" w14:textId="77777777" w:rsidR="00C63CF5" w:rsidRPr="00D078F1" w:rsidRDefault="00C63CF5" w:rsidP="00C63CF5">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CA"/>
        </w:rPr>
      </w:pPr>
      <w:r w:rsidRPr="00D078F1">
        <w:rPr>
          <w:snapToGrid w:val="0"/>
          <w:kern w:val="22"/>
          <w:szCs w:val="22"/>
          <w:lang w:val="fr-CA"/>
        </w:rPr>
        <w:t>Des développements récents et des informations sur les questions liées aux indicateur</w:t>
      </w:r>
      <w:r>
        <w:rPr>
          <w:snapToGrid w:val="0"/>
          <w:kern w:val="22"/>
          <w:szCs w:val="22"/>
          <w:lang w:val="fr-CA"/>
        </w:rPr>
        <w:t xml:space="preserve">s, </w:t>
      </w:r>
      <w:r w:rsidRPr="00D078F1">
        <w:rPr>
          <w:snapToGrid w:val="0"/>
          <w:kern w:val="22"/>
          <w:szCs w:val="22"/>
          <w:lang w:val="fr-CA"/>
        </w:rPr>
        <w:t xml:space="preserve"> leurs métadonnées</w:t>
      </w:r>
      <w:r>
        <w:rPr>
          <w:snapToGrid w:val="0"/>
          <w:kern w:val="22"/>
          <w:szCs w:val="22"/>
          <w:lang w:val="fr-CA"/>
        </w:rPr>
        <w:t xml:space="preserve"> et valeurs de référence</w:t>
      </w:r>
      <w:r w:rsidRPr="00D078F1">
        <w:rPr>
          <w:snapToGrid w:val="0"/>
          <w:kern w:val="22"/>
          <w:szCs w:val="22"/>
          <w:lang w:val="fr-CA"/>
        </w:rPr>
        <w:t>.</w:t>
      </w:r>
    </w:p>
    <w:p w14:paraId="71E731CA" w14:textId="77777777" w:rsidR="00C63CF5" w:rsidRPr="00D078F1" w:rsidRDefault="00C63CF5" w:rsidP="00C63CF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Le groupe sera composé de 30 experts techniques nommés par les Parties, dont des experts en statistiques et des experts en sciences sociales et naturelles pertinentes, et jusqu'à 15 représentants nommés par les organisations observatrices et autres organisations. La Secrétaire exécutive, en consultation avec le Bureau de l'Organe subsidiaire chargé de fournir des avis scientifiques, techniques et technologiques, sélectionnera les experts parmi les candidatures présentées par les Parties et les organisations en tenant dûment compte de la représentation des différents domaines de compétence technique, tout en reconnaissant le besoin de connaissances d</w:t>
      </w:r>
      <w:r>
        <w:rPr>
          <w:snapToGrid w:val="0"/>
          <w:kern w:val="22"/>
          <w:szCs w:val="22"/>
          <w:lang w:val="fr-CA"/>
        </w:rPr>
        <w:t>’</w:t>
      </w:r>
      <w:r w:rsidRPr="00D078F1">
        <w:rPr>
          <w:snapToGrid w:val="0"/>
          <w:kern w:val="22"/>
          <w:szCs w:val="22"/>
          <w:lang w:val="fr-CA"/>
        </w:rPr>
        <w:t xml:space="preserve">experts </w:t>
      </w:r>
      <w:r>
        <w:rPr>
          <w:snapToGrid w:val="0"/>
          <w:kern w:val="22"/>
          <w:szCs w:val="22"/>
          <w:lang w:val="fr-CA"/>
        </w:rPr>
        <w:t>en</w:t>
      </w:r>
      <w:r w:rsidRPr="00D078F1">
        <w:rPr>
          <w:snapToGrid w:val="0"/>
          <w:kern w:val="22"/>
          <w:szCs w:val="22"/>
          <w:lang w:val="fr-CA"/>
        </w:rPr>
        <w:t xml:space="preserve"> biodiversité</w:t>
      </w:r>
      <w:r>
        <w:rPr>
          <w:snapToGrid w:val="0"/>
          <w:kern w:val="22"/>
          <w:szCs w:val="22"/>
          <w:lang w:val="fr-CA"/>
        </w:rPr>
        <w:t xml:space="preserve"> et</w:t>
      </w:r>
      <w:r w:rsidRPr="00D078F1">
        <w:rPr>
          <w:snapToGrid w:val="0"/>
          <w:kern w:val="22"/>
          <w:szCs w:val="22"/>
          <w:lang w:val="fr-CA"/>
        </w:rPr>
        <w:t xml:space="preserve"> en se dotant d’une expertise sur les écosystèmes d’eau douce, marins et côtiers</w:t>
      </w:r>
      <w:r>
        <w:rPr>
          <w:snapToGrid w:val="0"/>
          <w:kern w:val="22"/>
          <w:szCs w:val="22"/>
          <w:lang w:val="fr-CA"/>
        </w:rPr>
        <w:t>,</w:t>
      </w:r>
      <w:r w:rsidRPr="00D078F1">
        <w:rPr>
          <w:snapToGrid w:val="0"/>
          <w:kern w:val="22"/>
          <w:szCs w:val="22"/>
          <w:lang w:val="fr-CA"/>
        </w:rPr>
        <w:t xml:space="preserve"> et en tenant compte également de la représentation géographique et de la représentation des peuples autochtones et </w:t>
      </w:r>
      <w:r>
        <w:rPr>
          <w:snapToGrid w:val="0"/>
          <w:kern w:val="22"/>
          <w:szCs w:val="22"/>
          <w:lang w:val="fr-CA"/>
        </w:rPr>
        <w:t>d</w:t>
      </w:r>
      <w:r w:rsidRPr="00D078F1">
        <w:rPr>
          <w:snapToGrid w:val="0"/>
          <w:kern w:val="22"/>
          <w:szCs w:val="22"/>
          <w:lang w:val="fr-CA"/>
        </w:rPr>
        <w:t xml:space="preserve">es communautés locales, des principales parties prenantes et des groupes de détenteurs de droits, de l'équilibre entre les hommes et les femmes et des conditions particulières des pays en développement et des États archipels, en particulier des pays les moins avancés, des petits États insulaires en développement et des pays à économie en transition. </w:t>
      </w:r>
    </w:p>
    <w:p w14:paraId="4D6E0074" w14:textId="77777777" w:rsidR="00C63CF5" w:rsidRPr="00D078F1" w:rsidRDefault="00C63CF5" w:rsidP="00C63CF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Le groupe désignera deux coprésidents parmi les experts sélectionnés.</w:t>
      </w:r>
    </w:p>
    <w:p w14:paraId="1014358A" w14:textId="77777777" w:rsidR="00C63CF5" w:rsidRPr="00D078F1" w:rsidRDefault="00C63CF5" w:rsidP="00C63CF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Le président de l'Organe subsidiaire chargé de fournir des avis scientifiques, techniques et technologiques sera invité à participer au groupe en tant que membre</w:t>
      </w:r>
      <w:r>
        <w:rPr>
          <w:snapToGrid w:val="0"/>
          <w:kern w:val="22"/>
          <w:szCs w:val="22"/>
          <w:lang w:val="fr-CA"/>
        </w:rPr>
        <w:t xml:space="preserve"> d’office</w:t>
      </w:r>
      <w:r w:rsidRPr="00D078F1">
        <w:rPr>
          <w:snapToGrid w:val="0"/>
          <w:kern w:val="22"/>
          <w:szCs w:val="22"/>
          <w:lang w:val="fr-CA"/>
        </w:rPr>
        <w:t>.</w:t>
      </w:r>
    </w:p>
    <w:p w14:paraId="7256A8FA" w14:textId="77777777" w:rsidR="00C63CF5" w:rsidRPr="00D078F1" w:rsidRDefault="00C63CF5" w:rsidP="00C63CF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Le groupe peut également inviter, selon qu'il convient, d'autres experts des gouvernements nationaux, [des gouvernements infranationaux et locaux,] des Nations Unies et d’autres organisations internationales, de la société civile, des jeunes, des groupes de femm</w:t>
      </w:r>
      <w:r>
        <w:rPr>
          <w:snapToGrid w:val="0"/>
          <w:kern w:val="22"/>
          <w:szCs w:val="22"/>
          <w:lang w:val="fr-CA"/>
        </w:rPr>
        <w:t>es, des peuples autochtones et d</w:t>
      </w:r>
      <w:r w:rsidRPr="00D078F1">
        <w:rPr>
          <w:snapToGrid w:val="0"/>
          <w:kern w:val="22"/>
          <w:szCs w:val="22"/>
          <w:lang w:val="fr-CA"/>
        </w:rPr>
        <w:t>es communautés locales, y compris des représentant</w:t>
      </w:r>
      <w:r>
        <w:rPr>
          <w:snapToGrid w:val="0"/>
          <w:kern w:val="22"/>
          <w:szCs w:val="22"/>
          <w:lang w:val="fr-CA"/>
        </w:rPr>
        <w:t xml:space="preserve">s du Groupe de travail spécial </w:t>
      </w:r>
      <w:r w:rsidRPr="00D078F1">
        <w:rPr>
          <w:snapToGrid w:val="0"/>
          <w:kern w:val="22"/>
          <w:szCs w:val="22"/>
          <w:lang w:val="fr-CA"/>
        </w:rPr>
        <w:t>à composition non limité</w:t>
      </w:r>
      <w:r>
        <w:rPr>
          <w:snapToGrid w:val="0"/>
          <w:kern w:val="22"/>
          <w:szCs w:val="22"/>
          <w:lang w:val="fr-CA"/>
        </w:rPr>
        <w:t>e</w:t>
      </w:r>
      <w:r w:rsidRPr="00D078F1">
        <w:rPr>
          <w:snapToGrid w:val="0"/>
          <w:kern w:val="22"/>
          <w:szCs w:val="22"/>
          <w:lang w:val="fr-CA"/>
        </w:rPr>
        <w:t xml:space="preserve"> sur l’article 8 j) et les dispositions connexes, des milieux universitaires et du secteur privé à apporter leur expertise et leur expérience </w:t>
      </w:r>
      <w:r>
        <w:rPr>
          <w:snapToGrid w:val="0"/>
          <w:kern w:val="22"/>
          <w:szCs w:val="22"/>
          <w:lang w:val="fr-CA"/>
        </w:rPr>
        <w:t>aux</w:t>
      </w:r>
      <w:r w:rsidRPr="00D078F1">
        <w:rPr>
          <w:snapToGrid w:val="0"/>
          <w:kern w:val="22"/>
          <w:szCs w:val="22"/>
          <w:lang w:val="fr-CA"/>
        </w:rPr>
        <w:t xml:space="preserve"> questions spécifiques liées au mandat du groupe.</w:t>
      </w:r>
    </w:p>
    <w:p w14:paraId="019D615B" w14:textId="77777777" w:rsidR="00C63CF5" w:rsidRPr="00D078F1" w:rsidRDefault="00C63CF5" w:rsidP="00C63CF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CA"/>
        </w:rPr>
      </w:pPr>
      <w:r w:rsidRPr="00D078F1">
        <w:rPr>
          <w:snapToGrid w:val="0"/>
          <w:kern w:val="22"/>
          <w:szCs w:val="22"/>
          <w:lang w:val="fr-CA"/>
        </w:rPr>
        <w:t>Le groupe mènera ses travaux principalement par voie électronique et se réunira aussi en personne [selon l</w:t>
      </w:r>
      <w:r>
        <w:rPr>
          <w:snapToGrid w:val="0"/>
          <w:kern w:val="22"/>
          <w:szCs w:val="22"/>
          <w:lang w:val="fr-CA"/>
        </w:rPr>
        <w:t>a disponibilité des ressources]</w:t>
      </w:r>
      <w:r w:rsidRPr="00D078F1">
        <w:rPr>
          <w:snapToGrid w:val="0"/>
          <w:kern w:val="22"/>
          <w:szCs w:val="22"/>
          <w:lang w:val="fr-CA"/>
        </w:rPr>
        <w:t xml:space="preserve"> </w:t>
      </w:r>
      <w:r>
        <w:rPr>
          <w:snapToGrid w:val="0"/>
          <w:kern w:val="22"/>
          <w:szCs w:val="22"/>
          <w:lang w:val="fr-CA"/>
        </w:rPr>
        <w:t xml:space="preserve">à </w:t>
      </w:r>
      <w:r w:rsidRPr="00D078F1">
        <w:rPr>
          <w:snapToGrid w:val="0"/>
          <w:kern w:val="22"/>
          <w:szCs w:val="22"/>
          <w:lang w:val="fr-CA"/>
        </w:rPr>
        <w:t>au moins deux reprises pendant la période intersessions.</w:t>
      </w:r>
    </w:p>
    <w:p w14:paraId="3CC25A3E" w14:textId="77777777" w:rsidR="000357BA" w:rsidRPr="000357BA" w:rsidRDefault="00C63CF5" w:rsidP="008A067A">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rPr>
      </w:pPr>
      <w:r w:rsidRPr="000357BA">
        <w:rPr>
          <w:snapToGrid w:val="0"/>
          <w:color w:val="000000" w:themeColor="text1"/>
          <w:kern w:val="22"/>
          <w:szCs w:val="22"/>
          <w:lang w:val="fr-CA"/>
        </w:rPr>
        <w:t xml:space="preserve">Le Groupe spécial d’experts techniques devrait être constitué et entreprendre ses travaux immédiatement après l’approbation par la Conférence des Parties à sa quinzième réunion et faire rapport de </w:t>
      </w:r>
      <w:r w:rsidRPr="000357BA">
        <w:rPr>
          <w:snapToGrid w:val="0"/>
          <w:color w:val="000000" w:themeColor="text1"/>
          <w:kern w:val="22"/>
          <w:szCs w:val="22"/>
          <w:lang w:val="fr-CA"/>
        </w:rPr>
        <w:lastRenderedPageBreak/>
        <w:t>ses travaux à l’Organe subsidiaire chargé de fournir des avis scientifiques, techniques et technologiques à une réunion qui aura lieu avant la seizième réunion de la Conférence des Parties.</w:t>
      </w:r>
      <w:r w:rsidR="000357BA" w:rsidRPr="000357BA">
        <w:rPr>
          <w:snapToGrid w:val="0"/>
          <w:color w:val="000000" w:themeColor="text1"/>
          <w:kern w:val="22"/>
          <w:szCs w:val="22"/>
          <w:lang w:val="fr-CA"/>
        </w:rPr>
        <w:t xml:space="preserve">  </w:t>
      </w:r>
    </w:p>
    <w:p w14:paraId="068B4F2C" w14:textId="7456B09D" w:rsidR="000C00F2" w:rsidRPr="000357BA" w:rsidRDefault="000C00F2" w:rsidP="000357B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pPr>
      <w:bookmarkStart w:id="0" w:name="_GoBack"/>
      <w:bookmarkEnd w:id="0"/>
      <w:r w:rsidRPr="000357BA">
        <w:rPr>
          <w:snapToGrid w:val="0"/>
          <w:color w:val="000000" w:themeColor="text1"/>
          <w:kern w:val="22"/>
          <w:szCs w:val="22"/>
        </w:rPr>
        <w:t>]</w:t>
      </w:r>
    </w:p>
    <w:p w14:paraId="2FD5C9C1" w14:textId="77777777" w:rsidR="00C63CF5" w:rsidRPr="00D078F1" w:rsidRDefault="00C63CF5" w:rsidP="00C63CF5">
      <w:pPr>
        <w:jc w:val="center"/>
        <w:rPr>
          <w:lang w:val="fr-CA"/>
        </w:rPr>
      </w:pPr>
      <w:r w:rsidRPr="00D078F1">
        <w:rPr>
          <w:lang w:val="fr-CA"/>
        </w:rPr>
        <w:t>__________</w:t>
      </w:r>
    </w:p>
    <w:p w14:paraId="37A9CBD1" w14:textId="77777777" w:rsidR="00C63CF5" w:rsidRPr="00D078F1" w:rsidRDefault="00C63CF5" w:rsidP="00C63CF5">
      <w:pPr>
        <w:rPr>
          <w:lang w:val="fr-CA"/>
        </w:rPr>
      </w:pPr>
    </w:p>
    <w:p w14:paraId="00BD5053" w14:textId="77777777" w:rsidR="00B3369F" w:rsidRPr="00C9161D" w:rsidRDefault="00B3369F" w:rsidP="00C63CF5">
      <w:pPr>
        <w:pStyle w:val="meetingname"/>
        <w:ind w:right="4784"/>
        <w:jc w:val="left"/>
      </w:pPr>
    </w:p>
    <w:sectPr w:rsidR="00B3369F" w:rsidRPr="00C9161D"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6B3A" w14:textId="77777777" w:rsidR="006C2948" w:rsidRDefault="006C2948" w:rsidP="00CF1848">
      <w:r>
        <w:separator/>
      </w:r>
    </w:p>
  </w:endnote>
  <w:endnote w:type="continuationSeparator" w:id="0">
    <w:p w14:paraId="7AF1B6C8" w14:textId="77777777" w:rsidR="006C2948" w:rsidRDefault="006C2948" w:rsidP="00CF1848">
      <w:r>
        <w:continuationSeparator/>
      </w:r>
    </w:p>
  </w:endnote>
  <w:endnote w:type="continuationNotice" w:id="1">
    <w:p w14:paraId="1EB75392" w14:textId="77777777" w:rsidR="006C2948" w:rsidRDefault="006C2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41D4" w14:textId="77777777" w:rsidR="006C2948" w:rsidRDefault="006C2948" w:rsidP="00CF1848">
      <w:r>
        <w:separator/>
      </w:r>
    </w:p>
  </w:footnote>
  <w:footnote w:type="continuationSeparator" w:id="0">
    <w:p w14:paraId="7FE45D05" w14:textId="77777777" w:rsidR="006C2948" w:rsidRDefault="006C2948" w:rsidP="00CF1848">
      <w:r>
        <w:continuationSeparator/>
      </w:r>
    </w:p>
  </w:footnote>
  <w:footnote w:type="continuationNotice" w:id="1">
    <w:p w14:paraId="5F00FC75" w14:textId="77777777" w:rsidR="006C2948" w:rsidRDefault="006C2948"/>
  </w:footnote>
  <w:footnote w:id="2">
    <w:p w14:paraId="3014FCC3" w14:textId="77777777" w:rsidR="00C63CF5" w:rsidRPr="00B64906" w:rsidRDefault="00C63CF5" w:rsidP="00C63CF5">
      <w:pPr>
        <w:pStyle w:val="FootnoteText"/>
        <w:suppressLineNumbers/>
        <w:suppressAutoHyphens/>
        <w:kinsoku w:val="0"/>
        <w:overflowPunct w:val="0"/>
        <w:autoSpaceDE w:val="0"/>
        <w:autoSpaceDN w:val="0"/>
        <w:ind w:firstLine="0"/>
        <w:jc w:val="left"/>
        <w:rPr>
          <w:kern w:val="18"/>
          <w:szCs w:val="18"/>
          <w:lang w:val="fr-CA"/>
        </w:rPr>
      </w:pPr>
      <w:r w:rsidRPr="00B64906">
        <w:rPr>
          <w:rStyle w:val="FootnoteReference"/>
          <w:kern w:val="18"/>
          <w:sz w:val="18"/>
          <w:szCs w:val="18"/>
        </w:rPr>
        <w:footnoteRef/>
      </w:r>
      <w:r w:rsidRPr="00B64906">
        <w:rPr>
          <w:kern w:val="18"/>
          <w:szCs w:val="18"/>
          <w:lang w:val="fr-CA"/>
        </w:rPr>
        <w:t xml:space="preserve"> L’annexe sera élaborée à la lumière d’échanges supplémentaires, dont les négociations qui auront lieu au cours de la troisième réunion du Groupe de travail sur le cadre mondial de la biodiversité pour l'après-2020, et mise au point par la Conférence des Parties à sa quinzième réunion.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75142F77" w:rsidR="00CF2709" w:rsidRPr="00854819" w:rsidRDefault="008809EC" w:rsidP="00854819">
        <w:pPr>
          <w:pStyle w:val="Header"/>
          <w:tabs>
            <w:tab w:val="clear" w:pos="4320"/>
            <w:tab w:val="clear" w:pos="8640"/>
          </w:tabs>
          <w:kinsoku w:val="0"/>
          <w:overflowPunct w:val="0"/>
          <w:autoSpaceDE w:val="0"/>
          <w:autoSpaceDN w:val="0"/>
          <w:jc w:val="left"/>
          <w:rPr>
            <w:noProof/>
            <w:kern w:val="22"/>
          </w:rPr>
        </w:pPr>
        <w:r w:rsidRPr="00854819">
          <w:rPr>
            <w:noProof/>
            <w:kern w:val="22"/>
          </w:rPr>
          <w:t>CBD/SBSTTA/24/L.3</w:t>
        </w:r>
      </w:p>
    </w:sdtContent>
  </w:sdt>
  <w:p w14:paraId="3EA48BBD" w14:textId="77777777" w:rsidR="00CF2709" w:rsidRPr="00854819" w:rsidRDefault="00CF2709" w:rsidP="00854819">
    <w:pPr>
      <w:pStyle w:val="Header"/>
      <w:tabs>
        <w:tab w:val="clear" w:pos="4320"/>
        <w:tab w:val="clear" w:pos="8640"/>
      </w:tabs>
      <w:kinsoku w:val="0"/>
      <w:overflowPunct w:val="0"/>
      <w:autoSpaceDE w:val="0"/>
      <w:autoSpaceDN w:val="0"/>
      <w:jc w:val="left"/>
      <w:rPr>
        <w:noProof/>
        <w:kern w:val="22"/>
      </w:rPr>
    </w:pPr>
    <w:r w:rsidRPr="00854819">
      <w:rPr>
        <w:noProof/>
        <w:kern w:val="22"/>
      </w:rPr>
      <w:t xml:space="preserve">Page </w:t>
    </w:r>
    <w:r w:rsidRPr="00854819">
      <w:rPr>
        <w:noProof/>
        <w:kern w:val="22"/>
      </w:rPr>
      <w:fldChar w:fldCharType="begin"/>
    </w:r>
    <w:r w:rsidRPr="00854819">
      <w:rPr>
        <w:noProof/>
        <w:kern w:val="22"/>
      </w:rPr>
      <w:instrText xml:space="preserve"> PAGE   \* MERGEFORMAT </w:instrText>
    </w:r>
    <w:r w:rsidRPr="00854819">
      <w:rPr>
        <w:noProof/>
        <w:kern w:val="22"/>
      </w:rPr>
      <w:fldChar w:fldCharType="separate"/>
    </w:r>
    <w:r w:rsidR="004547B3">
      <w:rPr>
        <w:noProof/>
        <w:kern w:val="22"/>
      </w:rPr>
      <w:t>2</w:t>
    </w:r>
    <w:r w:rsidRPr="00854819">
      <w:rPr>
        <w:noProof/>
        <w:kern w:val="22"/>
      </w:rPr>
      <w:fldChar w:fldCharType="end"/>
    </w:r>
  </w:p>
  <w:p w14:paraId="4991B278" w14:textId="77777777" w:rsidR="00CF2709" w:rsidRPr="00854819" w:rsidRDefault="00CF2709" w:rsidP="00854819">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3E05FA22" w:rsidR="00CF2709" w:rsidRPr="00854819" w:rsidRDefault="008809EC" w:rsidP="00854819">
        <w:pPr>
          <w:pStyle w:val="Header"/>
          <w:kinsoku w:val="0"/>
          <w:overflowPunct w:val="0"/>
          <w:autoSpaceDE w:val="0"/>
          <w:autoSpaceDN w:val="0"/>
          <w:jc w:val="right"/>
          <w:rPr>
            <w:noProof/>
            <w:kern w:val="22"/>
          </w:rPr>
        </w:pPr>
        <w:r w:rsidRPr="00854819">
          <w:rPr>
            <w:noProof/>
            <w:kern w:val="22"/>
          </w:rPr>
          <w:t>CBD/SBSTTA/24/L.3</w:t>
        </w:r>
      </w:p>
    </w:sdtContent>
  </w:sdt>
  <w:p w14:paraId="213AB81C" w14:textId="77777777" w:rsidR="00CF2709" w:rsidRPr="00854819" w:rsidRDefault="00CF2709" w:rsidP="00854819">
    <w:pPr>
      <w:pStyle w:val="Header"/>
      <w:kinsoku w:val="0"/>
      <w:overflowPunct w:val="0"/>
      <w:autoSpaceDE w:val="0"/>
      <w:autoSpaceDN w:val="0"/>
      <w:jc w:val="right"/>
      <w:rPr>
        <w:noProof/>
        <w:kern w:val="22"/>
      </w:rPr>
    </w:pPr>
    <w:r w:rsidRPr="00854819">
      <w:rPr>
        <w:noProof/>
        <w:kern w:val="22"/>
      </w:rPr>
      <w:t xml:space="preserve">Page </w:t>
    </w:r>
    <w:r w:rsidRPr="00854819">
      <w:rPr>
        <w:noProof/>
        <w:kern w:val="22"/>
      </w:rPr>
      <w:fldChar w:fldCharType="begin"/>
    </w:r>
    <w:r w:rsidRPr="00854819">
      <w:rPr>
        <w:noProof/>
        <w:kern w:val="22"/>
      </w:rPr>
      <w:instrText xml:space="preserve"> PAGE   \* MERGEFORMAT </w:instrText>
    </w:r>
    <w:r w:rsidRPr="00854819">
      <w:rPr>
        <w:noProof/>
        <w:kern w:val="22"/>
      </w:rPr>
      <w:fldChar w:fldCharType="separate"/>
    </w:r>
    <w:r w:rsidR="004547B3">
      <w:rPr>
        <w:noProof/>
        <w:kern w:val="22"/>
      </w:rPr>
      <w:t>3</w:t>
    </w:r>
    <w:r w:rsidRPr="00854819">
      <w:rPr>
        <w:noProof/>
        <w:kern w:val="22"/>
      </w:rPr>
      <w:fldChar w:fldCharType="end"/>
    </w:r>
  </w:p>
  <w:p w14:paraId="64B5CF41" w14:textId="77777777" w:rsidR="00CF2709" w:rsidRPr="00854819" w:rsidRDefault="00CF2709" w:rsidP="00854819">
    <w:pPr>
      <w:pStyle w:val="Header"/>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17EB"/>
    <w:multiLevelType w:val="hybridMultilevel"/>
    <w:tmpl w:val="1A7C83F4"/>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A0E02D1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E3346B"/>
    <w:multiLevelType w:val="hybridMultilevel"/>
    <w:tmpl w:val="F07A0A42"/>
    <w:lvl w:ilvl="0" w:tplc="B63CAE44">
      <w:start w:val="1"/>
      <w:numFmt w:val="decimal"/>
      <w:lvlText w:val="%1."/>
      <w:lvlJc w:val="left"/>
      <w:pPr>
        <w:ind w:left="720" w:hanging="360"/>
      </w:pPr>
      <w:rPr>
        <w:rFonts w:asciiTheme="minorHAnsi" w:eastAsiaTheme="minorHAnsi" w:hAnsiTheme="minorHAnsi" w:cstheme="minorBidi"/>
        <w:i w:val="0"/>
        <w:iCs/>
      </w:rPr>
    </w:lvl>
    <w:lvl w:ilvl="1" w:tplc="09A667E0">
      <w:start w:val="1"/>
      <w:numFmt w:val="lowerLetter"/>
      <w:lvlText w:val="%2)"/>
      <w:lvlJc w:val="left"/>
      <w:pPr>
        <w:ind w:left="1440" w:hanging="360"/>
      </w:pPr>
      <w:rPr>
        <w:rFonts w:ascii="Times New Roman" w:eastAsia="Times New Roman" w:hAnsi="Times New Roman" w:cs="Times New Roman"/>
      </w:rPr>
    </w:lvl>
    <w:lvl w:ilvl="2" w:tplc="04AC72EC">
      <w:start w:val="1"/>
      <w:numFmt w:val="lowerRoman"/>
      <w:lvlText w:val="%3)"/>
      <w:lvlJc w:val="lef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1F72CD"/>
    <w:multiLevelType w:val="hybridMultilevel"/>
    <w:tmpl w:val="24C882D0"/>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5" w15:restartNumberingAfterBreak="0">
    <w:nsid w:val="13653EA3"/>
    <w:multiLevelType w:val="hybridMultilevel"/>
    <w:tmpl w:val="C1A0C6EA"/>
    <w:lvl w:ilvl="0" w:tplc="2CAABB1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09F2063"/>
    <w:multiLevelType w:val="hybridMultilevel"/>
    <w:tmpl w:val="317234C8"/>
    <w:lvl w:ilvl="0" w:tplc="8C96E9AC">
      <w:start w:val="12"/>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0"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2" w15:restartNumberingAfterBreak="0">
    <w:nsid w:val="43177A44"/>
    <w:multiLevelType w:val="hybridMultilevel"/>
    <w:tmpl w:val="67606AE0"/>
    <w:lvl w:ilvl="0" w:tplc="E59C2D90">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C08D9"/>
    <w:multiLevelType w:val="hybridMultilevel"/>
    <w:tmpl w:val="09FC76D8"/>
    <w:lvl w:ilvl="0" w:tplc="C26887AA">
      <w:start w:val="1"/>
      <w:numFmt w:val="lowerLetter"/>
      <w:lvlText w:val="%1)"/>
      <w:lvlJc w:val="left"/>
      <w:pPr>
        <w:ind w:left="144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5"/>
  </w:num>
  <w:num w:numId="5">
    <w:abstractNumId w:val="14"/>
  </w:num>
  <w:num w:numId="6">
    <w:abstractNumId w:val="0"/>
  </w:num>
  <w:num w:numId="7">
    <w:abstractNumId w:val="6"/>
  </w:num>
  <w:num w:numId="8">
    <w:abstractNumId w:val="13"/>
    <w:lvlOverride w:ilvl="0">
      <w:startOverride w:val="1"/>
    </w:lvlOverride>
  </w:num>
  <w:num w:numId="9">
    <w:abstractNumId w:val="19"/>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8"/>
  </w:num>
  <w:num w:numId="15">
    <w:abstractNumId w:val="16"/>
  </w:num>
  <w:num w:numId="16">
    <w:abstractNumId w:val="1"/>
  </w:num>
  <w:num w:numId="17">
    <w:abstractNumId w:val="20"/>
  </w:num>
  <w:num w:numId="18">
    <w:abstractNumId w:val="21"/>
  </w:num>
  <w:num w:numId="19">
    <w:abstractNumId w:val="8"/>
  </w:num>
  <w:num w:numId="20">
    <w:abstractNumId w:val="19"/>
  </w:num>
  <w:num w:numId="21">
    <w:abstractNumId w:val="10"/>
  </w:num>
  <w:num w:numId="22">
    <w:abstractNumId w:val="15"/>
  </w:num>
  <w:num w:numId="23">
    <w:abstractNumId w:val="14"/>
  </w:num>
  <w:num w:numId="24">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num>
  <w:num w:numId="32">
    <w:abstractNumId w:val="17"/>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DEA"/>
    <w:rsid w:val="00024C0B"/>
    <w:rsid w:val="000357BA"/>
    <w:rsid w:val="00041952"/>
    <w:rsid w:val="00042FB2"/>
    <w:rsid w:val="00045E08"/>
    <w:rsid w:val="00065062"/>
    <w:rsid w:val="000816A4"/>
    <w:rsid w:val="0008381C"/>
    <w:rsid w:val="00093512"/>
    <w:rsid w:val="000A32A1"/>
    <w:rsid w:val="000C00F2"/>
    <w:rsid w:val="000D4003"/>
    <w:rsid w:val="000E673A"/>
    <w:rsid w:val="000F74F5"/>
    <w:rsid w:val="00105372"/>
    <w:rsid w:val="00131E7A"/>
    <w:rsid w:val="001513F6"/>
    <w:rsid w:val="001530A9"/>
    <w:rsid w:val="00156E4F"/>
    <w:rsid w:val="00172AF6"/>
    <w:rsid w:val="00172F87"/>
    <w:rsid w:val="00176CEE"/>
    <w:rsid w:val="001829FE"/>
    <w:rsid w:val="001860D6"/>
    <w:rsid w:val="00192441"/>
    <w:rsid w:val="0019281C"/>
    <w:rsid w:val="001A76EB"/>
    <w:rsid w:val="001B12FF"/>
    <w:rsid w:val="001B6F0C"/>
    <w:rsid w:val="001C14B1"/>
    <w:rsid w:val="001C7FB2"/>
    <w:rsid w:val="00231094"/>
    <w:rsid w:val="0025061C"/>
    <w:rsid w:val="00257B0D"/>
    <w:rsid w:val="0026611D"/>
    <w:rsid w:val="002800CC"/>
    <w:rsid w:val="00282752"/>
    <w:rsid w:val="00285D9A"/>
    <w:rsid w:val="002B1EA1"/>
    <w:rsid w:val="002C1869"/>
    <w:rsid w:val="002C470F"/>
    <w:rsid w:val="002D68B5"/>
    <w:rsid w:val="003032E5"/>
    <w:rsid w:val="0030366F"/>
    <w:rsid w:val="003069A9"/>
    <w:rsid w:val="00313B58"/>
    <w:rsid w:val="00323092"/>
    <w:rsid w:val="003539DD"/>
    <w:rsid w:val="00370996"/>
    <w:rsid w:val="00372F74"/>
    <w:rsid w:val="0039098C"/>
    <w:rsid w:val="003909FB"/>
    <w:rsid w:val="003A299F"/>
    <w:rsid w:val="003C5220"/>
    <w:rsid w:val="003D0745"/>
    <w:rsid w:val="003E0ABE"/>
    <w:rsid w:val="003E63DD"/>
    <w:rsid w:val="003F7224"/>
    <w:rsid w:val="00405146"/>
    <w:rsid w:val="004074C8"/>
    <w:rsid w:val="00422D0B"/>
    <w:rsid w:val="0042412C"/>
    <w:rsid w:val="00427D21"/>
    <w:rsid w:val="004460DA"/>
    <w:rsid w:val="00446DB3"/>
    <w:rsid w:val="004547B3"/>
    <w:rsid w:val="00454EFC"/>
    <w:rsid w:val="004644C2"/>
    <w:rsid w:val="00467F9C"/>
    <w:rsid w:val="00470FD3"/>
    <w:rsid w:val="00474896"/>
    <w:rsid w:val="00480D34"/>
    <w:rsid w:val="00496C40"/>
    <w:rsid w:val="004C4842"/>
    <w:rsid w:val="004D1AB8"/>
    <w:rsid w:val="004F4648"/>
    <w:rsid w:val="00505D2F"/>
    <w:rsid w:val="00510E76"/>
    <w:rsid w:val="00522946"/>
    <w:rsid w:val="005255D1"/>
    <w:rsid w:val="00534681"/>
    <w:rsid w:val="00544CDF"/>
    <w:rsid w:val="005450E7"/>
    <w:rsid w:val="005454F5"/>
    <w:rsid w:val="0054596B"/>
    <w:rsid w:val="005517D8"/>
    <w:rsid w:val="00552074"/>
    <w:rsid w:val="00583D5A"/>
    <w:rsid w:val="00596016"/>
    <w:rsid w:val="00596756"/>
    <w:rsid w:val="005A6778"/>
    <w:rsid w:val="005A6F34"/>
    <w:rsid w:val="005A7469"/>
    <w:rsid w:val="005B49AC"/>
    <w:rsid w:val="005C628D"/>
    <w:rsid w:val="006122BA"/>
    <w:rsid w:val="00626142"/>
    <w:rsid w:val="00631F3F"/>
    <w:rsid w:val="0063430B"/>
    <w:rsid w:val="006410E4"/>
    <w:rsid w:val="00644EBA"/>
    <w:rsid w:val="00672E07"/>
    <w:rsid w:val="006814BE"/>
    <w:rsid w:val="00695BB3"/>
    <w:rsid w:val="00697626"/>
    <w:rsid w:val="006B2290"/>
    <w:rsid w:val="006C2948"/>
    <w:rsid w:val="006C5FAF"/>
    <w:rsid w:val="006C65C2"/>
    <w:rsid w:val="006C6B9E"/>
    <w:rsid w:val="00702CDC"/>
    <w:rsid w:val="00707F04"/>
    <w:rsid w:val="00717D88"/>
    <w:rsid w:val="007317EC"/>
    <w:rsid w:val="007448E4"/>
    <w:rsid w:val="007454CE"/>
    <w:rsid w:val="007460DC"/>
    <w:rsid w:val="00746993"/>
    <w:rsid w:val="00746FD8"/>
    <w:rsid w:val="00750005"/>
    <w:rsid w:val="00762287"/>
    <w:rsid w:val="007646E5"/>
    <w:rsid w:val="00791ACA"/>
    <w:rsid w:val="007942D3"/>
    <w:rsid w:val="00794B13"/>
    <w:rsid w:val="0079660F"/>
    <w:rsid w:val="007A5D0C"/>
    <w:rsid w:val="007B4773"/>
    <w:rsid w:val="007B6C09"/>
    <w:rsid w:val="007C3F96"/>
    <w:rsid w:val="007E09DA"/>
    <w:rsid w:val="007E78AC"/>
    <w:rsid w:val="007F3CDB"/>
    <w:rsid w:val="008006E3"/>
    <w:rsid w:val="008008F1"/>
    <w:rsid w:val="00805C49"/>
    <w:rsid w:val="00814D88"/>
    <w:rsid w:val="008178B6"/>
    <w:rsid w:val="008217B1"/>
    <w:rsid w:val="00847990"/>
    <w:rsid w:val="00850429"/>
    <w:rsid w:val="00854819"/>
    <w:rsid w:val="0085585D"/>
    <w:rsid w:val="00860E7A"/>
    <w:rsid w:val="00863B0B"/>
    <w:rsid w:val="00863FC4"/>
    <w:rsid w:val="00865B74"/>
    <w:rsid w:val="00865F97"/>
    <w:rsid w:val="0087678D"/>
    <w:rsid w:val="00876E57"/>
    <w:rsid w:val="008809EC"/>
    <w:rsid w:val="008872AA"/>
    <w:rsid w:val="008C4EE6"/>
    <w:rsid w:val="008D0C3D"/>
    <w:rsid w:val="008D2022"/>
    <w:rsid w:val="008D372F"/>
    <w:rsid w:val="008E50B5"/>
    <w:rsid w:val="00911F4A"/>
    <w:rsid w:val="00930BA1"/>
    <w:rsid w:val="0093169E"/>
    <w:rsid w:val="009342EA"/>
    <w:rsid w:val="00935F34"/>
    <w:rsid w:val="00937BD1"/>
    <w:rsid w:val="00940CFB"/>
    <w:rsid w:val="0094157A"/>
    <w:rsid w:val="00941DB3"/>
    <w:rsid w:val="009505C9"/>
    <w:rsid w:val="0095670B"/>
    <w:rsid w:val="00961533"/>
    <w:rsid w:val="0098428A"/>
    <w:rsid w:val="009A6720"/>
    <w:rsid w:val="009C1CB2"/>
    <w:rsid w:val="009C200D"/>
    <w:rsid w:val="009C3609"/>
    <w:rsid w:val="009D111D"/>
    <w:rsid w:val="009E4B44"/>
    <w:rsid w:val="009F16B5"/>
    <w:rsid w:val="00A01704"/>
    <w:rsid w:val="00A01889"/>
    <w:rsid w:val="00A04FD1"/>
    <w:rsid w:val="00A11BBE"/>
    <w:rsid w:val="00A34B19"/>
    <w:rsid w:val="00A362CE"/>
    <w:rsid w:val="00A40A18"/>
    <w:rsid w:val="00A45E9A"/>
    <w:rsid w:val="00A77E50"/>
    <w:rsid w:val="00A86CA2"/>
    <w:rsid w:val="00AB180D"/>
    <w:rsid w:val="00AB22DC"/>
    <w:rsid w:val="00AC4625"/>
    <w:rsid w:val="00AD5E8B"/>
    <w:rsid w:val="00AE2900"/>
    <w:rsid w:val="00AE30D7"/>
    <w:rsid w:val="00AF2061"/>
    <w:rsid w:val="00AF4642"/>
    <w:rsid w:val="00B127C8"/>
    <w:rsid w:val="00B21F22"/>
    <w:rsid w:val="00B3369F"/>
    <w:rsid w:val="00B462D1"/>
    <w:rsid w:val="00B5483A"/>
    <w:rsid w:val="00B55E3C"/>
    <w:rsid w:val="00B7186E"/>
    <w:rsid w:val="00BA5AD6"/>
    <w:rsid w:val="00BA6F25"/>
    <w:rsid w:val="00BC1085"/>
    <w:rsid w:val="00BC7B8D"/>
    <w:rsid w:val="00BE068B"/>
    <w:rsid w:val="00BE2B7A"/>
    <w:rsid w:val="00BE5916"/>
    <w:rsid w:val="00BE7227"/>
    <w:rsid w:val="00BF309B"/>
    <w:rsid w:val="00BF584E"/>
    <w:rsid w:val="00BF7F41"/>
    <w:rsid w:val="00C07861"/>
    <w:rsid w:val="00C20258"/>
    <w:rsid w:val="00C55300"/>
    <w:rsid w:val="00C63CF5"/>
    <w:rsid w:val="00C66324"/>
    <w:rsid w:val="00C9161D"/>
    <w:rsid w:val="00CA5C3D"/>
    <w:rsid w:val="00CA7CD7"/>
    <w:rsid w:val="00CC2DE7"/>
    <w:rsid w:val="00CC3082"/>
    <w:rsid w:val="00CD4CA3"/>
    <w:rsid w:val="00CE6B2D"/>
    <w:rsid w:val="00CF1848"/>
    <w:rsid w:val="00CF2709"/>
    <w:rsid w:val="00D12044"/>
    <w:rsid w:val="00D133C5"/>
    <w:rsid w:val="00D22C2B"/>
    <w:rsid w:val="00D26DAD"/>
    <w:rsid w:val="00D32A6F"/>
    <w:rsid w:val="00D42698"/>
    <w:rsid w:val="00D435DF"/>
    <w:rsid w:val="00D52B86"/>
    <w:rsid w:val="00D57A44"/>
    <w:rsid w:val="00D75A47"/>
    <w:rsid w:val="00D761F2"/>
    <w:rsid w:val="00D76A18"/>
    <w:rsid w:val="00DA6081"/>
    <w:rsid w:val="00DB5C46"/>
    <w:rsid w:val="00DB6474"/>
    <w:rsid w:val="00DD118C"/>
    <w:rsid w:val="00DE412E"/>
    <w:rsid w:val="00DE42FD"/>
    <w:rsid w:val="00DE5E5C"/>
    <w:rsid w:val="00DF288B"/>
    <w:rsid w:val="00E050C2"/>
    <w:rsid w:val="00E24E16"/>
    <w:rsid w:val="00E24FCB"/>
    <w:rsid w:val="00E36116"/>
    <w:rsid w:val="00E43C65"/>
    <w:rsid w:val="00E566D4"/>
    <w:rsid w:val="00E66235"/>
    <w:rsid w:val="00E66A34"/>
    <w:rsid w:val="00E83C24"/>
    <w:rsid w:val="00E9318D"/>
    <w:rsid w:val="00EA2C1C"/>
    <w:rsid w:val="00EA619A"/>
    <w:rsid w:val="00EB2298"/>
    <w:rsid w:val="00EB7CF0"/>
    <w:rsid w:val="00EC3C85"/>
    <w:rsid w:val="00EC6E2B"/>
    <w:rsid w:val="00ED7262"/>
    <w:rsid w:val="00EF69DF"/>
    <w:rsid w:val="00F042F4"/>
    <w:rsid w:val="00F05372"/>
    <w:rsid w:val="00F17803"/>
    <w:rsid w:val="00F25770"/>
    <w:rsid w:val="00F311DF"/>
    <w:rsid w:val="00F33230"/>
    <w:rsid w:val="00F510FE"/>
    <w:rsid w:val="00F530DF"/>
    <w:rsid w:val="00F542BA"/>
    <w:rsid w:val="00F6016E"/>
    <w:rsid w:val="00F8566B"/>
    <w:rsid w:val="00F93F11"/>
    <w:rsid w:val="00F94774"/>
    <w:rsid w:val="00FA34DB"/>
    <w:rsid w:val="00FC53DB"/>
    <w:rsid w:val="00FC789F"/>
    <w:rsid w:val="00FD14F4"/>
    <w:rsid w:val="00FE25A9"/>
    <w:rsid w:val="00FE305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F32EDAB7-7FA6-426B-A48B-368EF735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79660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D133C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133C5"/>
    <w:rPr>
      <w:rFonts w:ascii="Times New Roman" w:eastAsia="Times New Roman" w:hAnsi="Times New Roman" w:cs="Times New Roman"/>
      <w:b/>
      <w:bCs/>
      <w:sz w:val="20"/>
      <w:szCs w:val="20"/>
      <w:lang w:val="en-GB"/>
    </w:rPr>
  </w:style>
  <w:style w:type="paragraph" w:styleId="Revision">
    <w:name w:val="Revision"/>
    <w:hidden/>
    <w:uiPriority w:val="99"/>
    <w:semiHidden/>
    <w:rsid w:val="00D133C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241">
      <w:bodyDiv w:val="1"/>
      <w:marLeft w:val="0"/>
      <w:marRight w:val="0"/>
      <w:marTop w:val="0"/>
      <w:marBottom w:val="0"/>
      <w:divBdr>
        <w:top w:val="none" w:sz="0" w:space="0" w:color="auto"/>
        <w:left w:val="none" w:sz="0" w:space="0" w:color="auto"/>
        <w:bottom w:val="none" w:sz="0" w:space="0" w:color="auto"/>
        <w:right w:val="none" w:sz="0" w:space="0" w:color="auto"/>
      </w:divBdr>
    </w:div>
    <w:div w:id="333264327">
      <w:bodyDiv w:val="1"/>
      <w:marLeft w:val="0"/>
      <w:marRight w:val="0"/>
      <w:marTop w:val="0"/>
      <w:marBottom w:val="0"/>
      <w:divBdr>
        <w:top w:val="none" w:sz="0" w:space="0" w:color="auto"/>
        <w:left w:val="none" w:sz="0" w:space="0" w:color="auto"/>
        <w:bottom w:val="none" w:sz="0" w:space="0" w:color="auto"/>
        <w:right w:val="none" w:sz="0" w:space="0" w:color="auto"/>
      </w:divBdr>
    </w:div>
    <w:div w:id="383263909">
      <w:bodyDiv w:val="1"/>
      <w:marLeft w:val="0"/>
      <w:marRight w:val="0"/>
      <w:marTop w:val="0"/>
      <w:marBottom w:val="0"/>
      <w:divBdr>
        <w:top w:val="none" w:sz="0" w:space="0" w:color="auto"/>
        <w:left w:val="none" w:sz="0" w:space="0" w:color="auto"/>
        <w:bottom w:val="none" w:sz="0" w:space="0" w:color="auto"/>
        <w:right w:val="none" w:sz="0" w:space="0" w:color="auto"/>
      </w:divBdr>
    </w:div>
    <w:div w:id="533615704">
      <w:bodyDiv w:val="1"/>
      <w:marLeft w:val="0"/>
      <w:marRight w:val="0"/>
      <w:marTop w:val="0"/>
      <w:marBottom w:val="0"/>
      <w:divBdr>
        <w:top w:val="none" w:sz="0" w:space="0" w:color="auto"/>
        <w:left w:val="none" w:sz="0" w:space="0" w:color="auto"/>
        <w:bottom w:val="none" w:sz="0" w:space="0" w:color="auto"/>
        <w:right w:val="none" w:sz="0" w:space="0" w:color="auto"/>
      </w:divBdr>
    </w:div>
    <w:div w:id="56603727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80681932">
      <w:bodyDiv w:val="1"/>
      <w:marLeft w:val="0"/>
      <w:marRight w:val="0"/>
      <w:marTop w:val="0"/>
      <w:marBottom w:val="0"/>
      <w:divBdr>
        <w:top w:val="none" w:sz="0" w:space="0" w:color="auto"/>
        <w:left w:val="none" w:sz="0" w:space="0" w:color="auto"/>
        <w:bottom w:val="none" w:sz="0" w:space="0" w:color="auto"/>
        <w:right w:val="none" w:sz="0" w:space="0" w:color="auto"/>
      </w:divBdr>
    </w:div>
    <w:div w:id="960578755">
      <w:bodyDiv w:val="1"/>
      <w:marLeft w:val="0"/>
      <w:marRight w:val="0"/>
      <w:marTop w:val="0"/>
      <w:marBottom w:val="0"/>
      <w:divBdr>
        <w:top w:val="none" w:sz="0" w:space="0" w:color="auto"/>
        <w:left w:val="none" w:sz="0" w:space="0" w:color="auto"/>
        <w:bottom w:val="none" w:sz="0" w:space="0" w:color="auto"/>
        <w:right w:val="none" w:sz="0" w:space="0" w:color="auto"/>
      </w:divBdr>
      <w:divsChild>
        <w:div w:id="2093311612">
          <w:marLeft w:val="0"/>
          <w:marRight w:val="0"/>
          <w:marTop w:val="0"/>
          <w:marBottom w:val="0"/>
          <w:divBdr>
            <w:top w:val="none" w:sz="0" w:space="0" w:color="auto"/>
            <w:left w:val="none" w:sz="0" w:space="0" w:color="auto"/>
            <w:bottom w:val="none" w:sz="0" w:space="0" w:color="auto"/>
            <w:right w:val="none" w:sz="0" w:space="0" w:color="auto"/>
          </w:divBdr>
        </w:div>
      </w:divsChild>
    </w:div>
    <w:div w:id="966281249">
      <w:bodyDiv w:val="1"/>
      <w:marLeft w:val="0"/>
      <w:marRight w:val="0"/>
      <w:marTop w:val="0"/>
      <w:marBottom w:val="0"/>
      <w:divBdr>
        <w:top w:val="none" w:sz="0" w:space="0" w:color="auto"/>
        <w:left w:val="none" w:sz="0" w:space="0" w:color="auto"/>
        <w:bottom w:val="none" w:sz="0" w:space="0" w:color="auto"/>
        <w:right w:val="none" w:sz="0" w:space="0" w:color="auto"/>
      </w:divBdr>
    </w:div>
    <w:div w:id="1268737718">
      <w:bodyDiv w:val="1"/>
      <w:marLeft w:val="0"/>
      <w:marRight w:val="0"/>
      <w:marTop w:val="0"/>
      <w:marBottom w:val="0"/>
      <w:divBdr>
        <w:top w:val="none" w:sz="0" w:space="0" w:color="auto"/>
        <w:left w:val="none" w:sz="0" w:space="0" w:color="auto"/>
        <w:bottom w:val="none" w:sz="0" w:space="0" w:color="auto"/>
        <w:right w:val="none" w:sz="0" w:space="0" w:color="auto"/>
      </w:divBdr>
    </w:div>
    <w:div w:id="1619295325">
      <w:bodyDiv w:val="1"/>
      <w:marLeft w:val="0"/>
      <w:marRight w:val="0"/>
      <w:marTop w:val="0"/>
      <w:marBottom w:val="0"/>
      <w:divBdr>
        <w:top w:val="none" w:sz="0" w:space="0" w:color="auto"/>
        <w:left w:val="none" w:sz="0" w:space="0" w:color="auto"/>
        <w:bottom w:val="none" w:sz="0" w:space="0" w:color="auto"/>
        <w:right w:val="none" w:sz="0" w:space="0" w:color="auto"/>
      </w:divBdr>
    </w:div>
    <w:div w:id="1716003009">
      <w:bodyDiv w:val="1"/>
      <w:marLeft w:val="0"/>
      <w:marRight w:val="0"/>
      <w:marTop w:val="0"/>
      <w:marBottom w:val="0"/>
      <w:divBdr>
        <w:top w:val="none" w:sz="0" w:space="0" w:color="auto"/>
        <w:left w:val="none" w:sz="0" w:space="0" w:color="auto"/>
        <w:bottom w:val="none" w:sz="0" w:space="0" w:color="auto"/>
        <w:right w:val="none" w:sz="0" w:space="0" w:color="auto"/>
      </w:divBdr>
    </w:div>
    <w:div w:id="1814564982">
      <w:bodyDiv w:val="1"/>
      <w:marLeft w:val="0"/>
      <w:marRight w:val="0"/>
      <w:marTop w:val="0"/>
      <w:marBottom w:val="0"/>
      <w:divBdr>
        <w:top w:val="none" w:sz="0" w:space="0" w:color="auto"/>
        <w:left w:val="none" w:sz="0" w:space="0" w:color="auto"/>
        <w:bottom w:val="none" w:sz="0" w:space="0" w:color="auto"/>
        <w:right w:val="none" w:sz="0" w:space="0" w:color="auto"/>
      </w:divBdr>
    </w:div>
    <w:div w:id="1816873436">
      <w:bodyDiv w:val="1"/>
      <w:marLeft w:val="0"/>
      <w:marRight w:val="0"/>
      <w:marTop w:val="0"/>
      <w:marBottom w:val="0"/>
      <w:divBdr>
        <w:top w:val="none" w:sz="0" w:space="0" w:color="auto"/>
        <w:left w:val="none" w:sz="0" w:space="0" w:color="auto"/>
        <w:bottom w:val="none" w:sz="0" w:space="0" w:color="auto"/>
        <w:right w:val="none" w:sz="0" w:space="0" w:color="auto"/>
      </w:divBdr>
    </w:div>
    <w:div w:id="1832601459">
      <w:bodyDiv w:val="1"/>
      <w:marLeft w:val="0"/>
      <w:marRight w:val="0"/>
      <w:marTop w:val="0"/>
      <w:marBottom w:val="0"/>
      <w:divBdr>
        <w:top w:val="none" w:sz="0" w:space="0" w:color="auto"/>
        <w:left w:val="none" w:sz="0" w:space="0" w:color="auto"/>
        <w:bottom w:val="none" w:sz="0" w:space="0" w:color="auto"/>
        <w:right w:val="none" w:sz="0" w:space="0" w:color="auto"/>
      </w:divBdr>
      <w:divsChild>
        <w:div w:id="138113678">
          <w:marLeft w:val="0"/>
          <w:marRight w:val="0"/>
          <w:marTop w:val="0"/>
          <w:marBottom w:val="0"/>
          <w:divBdr>
            <w:top w:val="none" w:sz="0" w:space="0" w:color="auto"/>
            <w:left w:val="none" w:sz="0" w:space="0" w:color="auto"/>
            <w:bottom w:val="none" w:sz="0" w:space="0" w:color="auto"/>
            <w:right w:val="none" w:sz="0" w:space="0" w:color="auto"/>
          </w:divBdr>
          <w:divsChild>
            <w:div w:id="768963766">
              <w:marLeft w:val="0"/>
              <w:marRight w:val="0"/>
              <w:marTop w:val="0"/>
              <w:marBottom w:val="0"/>
              <w:divBdr>
                <w:top w:val="none" w:sz="0" w:space="0" w:color="auto"/>
                <w:left w:val="none" w:sz="0" w:space="0" w:color="auto"/>
                <w:bottom w:val="none" w:sz="0" w:space="0" w:color="auto"/>
                <w:right w:val="none" w:sz="0" w:space="0" w:color="auto"/>
              </w:divBdr>
              <w:divsChild>
                <w:div w:id="1394964148">
                  <w:marLeft w:val="-15"/>
                  <w:marRight w:val="-15"/>
                  <w:marTop w:val="0"/>
                  <w:marBottom w:val="0"/>
                  <w:divBdr>
                    <w:top w:val="none" w:sz="0" w:space="0" w:color="auto"/>
                    <w:left w:val="none" w:sz="0" w:space="0" w:color="auto"/>
                    <w:bottom w:val="none" w:sz="0" w:space="0" w:color="auto"/>
                    <w:right w:val="none" w:sz="0" w:space="0" w:color="auto"/>
                  </w:divBdr>
                </w:div>
                <w:div w:id="1916477553">
                  <w:marLeft w:val="0"/>
                  <w:marRight w:val="0"/>
                  <w:marTop w:val="0"/>
                  <w:marBottom w:val="0"/>
                  <w:divBdr>
                    <w:top w:val="none" w:sz="0" w:space="0" w:color="auto"/>
                    <w:left w:val="none" w:sz="0" w:space="0" w:color="auto"/>
                    <w:bottom w:val="none" w:sz="0" w:space="0" w:color="auto"/>
                    <w:right w:val="none" w:sz="0" w:space="0" w:color="auto"/>
                  </w:divBdr>
                  <w:divsChild>
                    <w:div w:id="460538851">
                      <w:marLeft w:val="0"/>
                      <w:marRight w:val="0"/>
                      <w:marTop w:val="0"/>
                      <w:marBottom w:val="0"/>
                      <w:divBdr>
                        <w:top w:val="single" w:sz="24" w:space="0" w:color="0F0F0F"/>
                        <w:left w:val="single" w:sz="24" w:space="0" w:color="0F0F0F"/>
                        <w:bottom w:val="single" w:sz="24" w:space="0" w:color="0F0F0F"/>
                        <w:right w:val="single" w:sz="24" w:space="0" w:color="0F0F0F"/>
                      </w:divBdr>
                      <w:divsChild>
                        <w:div w:id="16266936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136220248">
          <w:marLeft w:val="0"/>
          <w:marRight w:val="0"/>
          <w:marTop w:val="0"/>
          <w:marBottom w:val="0"/>
          <w:divBdr>
            <w:top w:val="none" w:sz="0" w:space="0" w:color="auto"/>
            <w:left w:val="none" w:sz="0" w:space="0" w:color="auto"/>
            <w:bottom w:val="none" w:sz="0" w:space="0" w:color="auto"/>
            <w:right w:val="none" w:sz="0" w:space="0" w:color="auto"/>
          </w:divBdr>
          <w:divsChild>
            <w:div w:id="2112620543">
              <w:marLeft w:val="0"/>
              <w:marRight w:val="0"/>
              <w:marTop w:val="0"/>
              <w:marBottom w:val="0"/>
              <w:divBdr>
                <w:top w:val="none" w:sz="0" w:space="0" w:color="auto"/>
                <w:left w:val="none" w:sz="0" w:space="0" w:color="auto"/>
                <w:bottom w:val="none" w:sz="0" w:space="0" w:color="auto"/>
                <w:right w:val="none" w:sz="0" w:space="0" w:color="auto"/>
              </w:divBdr>
              <w:divsChild>
                <w:div w:id="1906138455">
                  <w:marLeft w:val="0"/>
                  <w:marRight w:val="0"/>
                  <w:marTop w:val="0"/>
                  <w:marBottom w:val="0"/>
                  <w:divBdr>
                    <w:top w:val="none" w:sz="0" w:space="0" w:color="auto"/>
                    <w:left w:val="none" w:sz="0" w:space="0" w:color="auto"/>
                    <w:bottom w:val="none" w:sz="0" w:space="0" w:color="auto"/>
                    <w:right w:val="none" w:sz="0" w:space="0" w:color="auto"/>
                  </w:divBdr>
                  <w:divsChild>
                    <w:div w:id="1919166119">
                      <w:marLeft w:val="0"/>
                      <w:marRight w:val="0"/>
                      <w:marTop w:val="0"/>
                      <w:marBottom w:val="0"/>
                      <w:divBdr>
                        <w:top w:val="none" w:sz="0" w:space="0" w:color="auto"/>
                        <w:left w:val="none" w:sz="0" w:space="0" w:color="auto"/>
                        <w:bottom w:val="none" w:sz="0" w:space="0" w:color="auto"/>
                        <w:right w:val="none" w:sz="0" w:space="0" w:color="auto"/>
                      </w:divBdr>
                      <w:divsChild>
                        <w:div w:id="766773238">
                          <w:marLeft w:val="0"/>
                          <w:marRight w:val="0"/>
                          <w:marTop w:val="0"/>
                          <w:marBottom w:val="0"/>
                          <w:divBdr>
                            <w:top w:val="none" w:sz="0" w:space="0" w:color="auto"/>
                            <w:left w:val="none" w:sz="0" w:space="0" w:color="auto"/>
                            <w:bottom w:val="none" w:sz="0" w:space="0" w:color="auto"/>
                            <w:right w:val="none" w:sz="0" w:space="0" w:color="auto"/>
                          </w:divBdr>
                          <w:divsChild>
                            <w:div w:id="704602166">
                              <w:marLeft w:val="0"/>
                              <w:marRight w:val="0"/>
                              <w:marTop w:val="0"/>
                              <w:marBottom w:val="0"/>
                              <w:divBdr>
                                <w:top w:val="none" w:sz="0" w:space="0" w:color="auto"/>
                                <w:left w:val="none" w:sz="0" w:space="0" w:color="auto"/>
                                <w:bottom w:val="none" w:sz="0" w:space="0" w:color="auto"/>
                                <w:right w:val="none" w:sz="0" w:space="0" w:color="auto"/>
                              </w:divBdr>
                              <w:divsChild>
                                <w:div w:id="3864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402459">
      <w:bodyDiv w:val="1"/>
      <w:marLeft w:val="0"/>
      <w:marRight w:val="0"/>
      <w:marTop w:val="0"/>
      <w:marBottom w:val="0"/>
      <w:divBdr>
        <w:top w:val="none" w:sz="0" w:space="0" w:color="auto"/>
        <w:left w:val="none" w:sz="0" w:space="0" w:color="auto"/>
        <w:bottom w:val="none" w:sz="0" w:space="0" w:color="auto"/>
        <w:right w:val="none" w:sz="0" w:space="0" w:color="auto"/>
      </w:divBdr>
    </w:div>
    <w:div w:id="2126149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674F9123A60413996FADD87A63F9181"/>
        <w:category>
          <w:name w:val="General"/>
          <w:gallery w:val="placeholder"/>
        </w:category>
        <w:types>
          <w:type w:val="bbPlcHdr"/>
        </w:types>
        <w:behaviors>
          <w:behavior w:val="content"/>
        </w:behaviors>
        <w:guid w:val="{D456E555-F122-4EA2-9332-3D8F83A9E83A}"/>
      </w:docPartPr>
      <w:docPartBody>
        <w:p w:rsidR="0021299F" w:rsidRDefault="00AF1781" w:rsidP="00AF1781">
          <w:pPr>
            <w:pStyle w:val="0674F9123A60413996FADD87A63F9181"/>
          </w:pPr>
          <w:r w:rsidRPr="007E02EB">
            <w:rPr>
              <w:rStyle w:val="PlaceholderText"/>
            </w:rPr>
            <w:t>[Subject]</w:t>
          </w:r>
        </w:p>
      </w:docPartBody>
    </w:docPart>
    <w:docPart>
      <w:docPartPr>
        <w:name w:val="21091B972AD1495B849FB7E4932AB49E"/>
        <w:category>
          <w:name w:val="Général"/>
          <w:gallery w:val="placeholder"/>
        </w:category>
        <w:types>
          <w:type w:val="bbPlcHdr"/>
        </w:types>
        <w:behaviors>
          <w:behavior w:val="content"/>
        </w:behaviors>
        <w:guid w:val="{C5F372A5-88B8-45BB-8EED-61DEADE9A7C9}"/>
      </w:docPartPr>
      <w:docPartBody>
        <w:p w:rsidR="002D7762" w:rsidRDefault="00DD6EB2" w:rsidP="00DD6EB2">
          <w:pPr>
            <w:pStyle w:val="21091B972AD1495B849FB7E4932AB49E"/>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3DB7"/>
    <w:rsid w:val="0021299F"/>
    <w:rsid w:val="00216B93"/>
    <w:rsid w:val="00243CAF"/>
    <w:rsid w:val="002671F8"/>
    <w:rsid w:val="002B7438"/>
    <w:rsid w:val="002C6AF5"/>
    <w:rsid w:val="002D7762"/>
    <w:rsid w:val="003B0BDA"/>
    <w:rsid w:val="00465407"/>
    <w:rsid w:val="00500A2B"/>
    <w:rsid w:val="005279DF"/>
    <w:rsid w:val="0058288D"/>
    <w:rsid w:val="00646680"/>
    <w:rsid w:val="006522F5"/>
    <w:rsid w:val="006801B3"/>
    <w:rsid w:val="006B4353"/>
    <w:rsid w:val="00720F63"/>
    <w:rsid w:val="0077793B"/>
    <w:rsid w:val="007F1B76"/>
    <w:rsid w:val="00810A55"/>
    <w:rsid w:val="008C6619"/>
    <w:rsid w:val="008D420E"/>
    <w:rsid w:val="0098642F"/>
    <w:rsid w:val="00A72057"/>
    <w:rsid w:val="00A90884"/>
    <w:rsid w:val="00AF1781"/>
    <w:rsid w:val="00C82269"/>
    <w:rsid w:val="00CA113F"/>
    <w:rsid w:val="00CE6602"/>
    <w:rsid w:val="00DC0429"/>
    <w:rsid w:val="00DD6EB2"/>
    <w:rsid w:val="00E87AA9"/>
    <w:rsid w:val="00F34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D6EB2"/>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525E06225F38401FA9651DEF3C9AF48F">
    <w:name w:val="525E06225F38401FA9651DEF3C9AF48F"/>
    <w:rsid w:val="00AF1781"/>
    <w:pPr>
      <w:spacing w:after="160" w:line="259" w:lineRule="auto"/>
    </w:pPr>
    <w:rPr>
      <w:lang w:val="en-CA" w:eastAsia="en-CA"/>
    </w:rPr>
  </w:style>
  <w:style w:type="paragraph" w:customStyle="1" w:styleId="0674F9123A60413996FADD87A63F9181">
    <w:name w:val="0674F9123A60413996FADD87A63F9181"/>
    <w:rsid w:val="00AF1781"/>
    <w:pPr>
      <w:spacing w:after="160" w:line="259" w:lineRule="auto"/>
    </w:pPr>
    <w:rPr>
      <w:lang w:val="en-CA" w:eastAsia="en-CA"/>
    </w:rPr>
  </w:style>
  <w:style w:type="paragraph" w:customStyle="1" w:styleId="21091B972AD1495B849FB7E4932AB49E">
    <w:name w:val="21091B972AD1495B849FB7E4932AB49E"/>
    <w:rsid w:val="00DD6EB2"/>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4ADF53-5A11-4AAB-B042-9B488A9C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2151</Words>
  <Characters>12263</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Post-2020 global biodiversity framework: scientific and technical information to support the review of the updated goals and targets, and related indicators and baselines</vt: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MONDIAL DE LA BIODIVERSITÉ POUR L’APRÈS-2020 : INFORMATIONS SCIENTIFIQUES ET TECHNIQUES À L’APPUI DE L’EXAMEN DES OBJECTIFS ET CIBLES ACTUALISÉS, AINSI QUE DES INDICATEURS ET BASES DE RÉFÉRENCE CONNEXES</dc:title>
  <dc:subject>CBD/SBSTTA/24/L.3</dc:subject>
  <dc:creator>SBSTTA-24</dc:creator>
  <cp:keywords>Convention on Biological Diversity, Subsidiary Body on Scientific, Technical and Technological Advice, twenty-fourth meeting, Online, 3 May-13 June 2021</cp:keywords>
  <cp:lastModifiedBy>Xue He Yan</cp:lastModifiedBy>
  <cp:revision>6</cp:revision>
  <cp:lastPrinted>2021-05-14T17:41:00Z</cp:lastPrinted>
  <dcterms:created xsi:type="dcterms:W3CDTF">2021-05-27T15:27:00Z</dcterms:created>
  <dcterms:modified xsi:type="dcterms:W3CDTF">2021-05-27T17:32:00Z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