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11"/>
        <w:gridCol w:w="4120"/>
      </w:tblGrid>
      <w:tr w:rsidR="00F010AC" w:rsidRPr="00C54CFE" w14:paraId="09836DEE" w14:textId="77777777" w:rsidTr="00F010AC">
        <w:trPr>
          <w:trHeight w:val="709"/>
        </w:trPr>
        <w:tc>
          <w:tcPr>
            <w:tcW w:w="976" w:type="dxa"/>
            <w:tcBorders>
              <w:bottom w:val="single" w:sz="12" w:space="0" w:color="auto"/>
            </w:tcBorders>
          </w:tcPr>
          <w:p w14:paraId="1C900204" w14:textId="77777777" w:rsidR="00F010AC" w:rsidRPr="00C54CFE" w:rsidRDefault="00F010AC" w:rsidP="0060757E">
            <w:pPr>
              <w:rPr>
                <w:kern w:val="22"/>
              </w:rPr>
            </w:pPr>
            <w:bookmarkStart w:id="0" w:name="_Hlk2766040"/>
            <w:r w:rsidRPr="00C54CFE">
              <w:rPr>
                <w:noProof/>
                <w:kern w:val="22"/>
                <w:lang w:eastAsia="en-GB"/>
              </w:rPr>
              <w:drawing>
                <wp:inline distT="0" distB="0" distL="0" distR="0" wp14:anchorId="681617B2" wp14:editId="3298022C">
                  <wp:extent cx="476494" cy="403200"/>
                  <wp:effectExtent l="0" t="0" r="6350" b="3810"/>
                  <wp:docPr id="5" name="Picture 5"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BAA056E" w14:textId="77777777" w:rsidR="00F010AC" w:rsidRPr="00C54CFE" w:rsidRDefault="00F010AC" w:rsidP="0060757E">
            <w:pPr>
              <w:rPr>
                <w:kern w:val="22"/>
              </w:rPr>
            </w:pPr>
            <w:r w:rsidRPr="00C54CFE">
              <w:rPr>
                <w:noProof/>
                <w:kern w:val="22"/>
                <w:lang w:eastAsia="en-GB"/>
              </w:rPr>
              <w:drawing>
                <wp:inline distT="0" distB="0" distL="0" distR="0" wp14:anchorId="0C982B27" wp14:editId="44BC307D">
                  <wp:extent cx="343700" cy="403200"/>
                  <wp:effectExtent l="0" t="0" r="12065" b="3810"/>
                  <wp:docPr id="6" name="Picture 6"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49F2CB9" w14:textId="77777777" w:rsidR="00F010AC" w:rsidRPr="00C54CFE" w:rsidRDefault="00F010AC" w:rsidP="0060757E">
            <w:pPr>
              <w:jc w:val="right"/>
              <w:rPr>
                <w:rFonts w:ascii="Arial" w:hAnsi="Arial" w:cs="Arial"/>
                <w:b/>
                <w:kern w:val="22"/>
                <w:sz w:val="32"/>
                <w:szCs w:val="32"/>
              </w:rPr>
            </w:pPr>
            <w:r w:rsidRPr="00C54CFE">
              <w:rPr>
                <w:rFonts w:ascii="Arial" w:hAnsi="Arial" w:cs="Arial"/>
                <w:b/>
                <w:kern w:val="22"/>
                <w:sz w:val="32"/>
                <w:szCs w:val="32"/>
              </w:rPr>
              <w:t>CBD</w:t>
            </w:r>
          </w:p>
        </w:tc>
      </w:tr>
      <w:tr w:rsidR="00F010AC" w:rsidRPr="00C54CFE" w14:paraId="6F032E5A" w14:textId="77777777" w:rsidTr="00F010AC">
        <w:tc>
          <w:tcPr>
            <w:tcW w:w="6117" w:type="dxa"/>
            <w:gridSpan w:val="2"/>
            <w:tcBorders>
              <w:top w:val="single" w:sz="12" w:space="0" w:color="auto"/>
              <w:bottom w:val="single" w:sz="36" w:space="0" w:color="auto"/>
            </w:tcBorders>
            <w:vAlign w:val="center"/>
          </w:tcPr>
          <w:p w14:paraId="121D0A32" w14:textId="77777777" w:rsidR="00F010AC" w:rsidRPr="00C54CFE" w:rsidRDefault="00F010AC" w:rsidP="0060757E">
            <w:pPr>
              <w:rPr>
                <w:kern w:val="22"/>
              </w:rPr>
            </w:pPr>
            <w:r w:rsidRPr="00C54CFE">
              <w:rPr>
                <w:noProof/>
                <w:kern w:val="22"/>
                <w:lang w:eastAsia="en-GB"/>
              </w:rPr>
              <w:drawing>
                <wp:inline distT="0" distB="0" distL="0" distR="0" wp14:anchorId="029D0388" wp14:editId="5C9D1CE5">
                  <wp:extent cx="2887853" cy="1080000"/>
                  <wp:effectExtent l="0" t="0" r="8255" b="12700"/>
                  <wp:docPr id="7" name="Picture 7"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F1CE59E" w14:textId="77777777" w:rsidR="00F010AC" w:rsidRPr="00F20DB5" w:rsidRDefault="00F010AC" w:rsidP="00853785">
            <w:pPr>
              <w:ind w:left="1178"/>
              <w:jc w:val="left"/>
              <w:rPr>
                <w:kern w:val="22"/>
                <w:szCs w:val="22"/>
              </w:rPr>
            </w:pPr>
            <w:r w:rsidRPr="00F20DB5">
              <w:rPr>
                <w:kern w:val="22"/>
                <w:szCs w:val="22"/>
              </w:rPr>
              <w:t>Distr.</w:t>
            </w:r>
          </w:p>
          <w:p w14:paraId="12A1ED37" w14:textId="254357CB" w:rsidR="00F010AC" w:rsidRPr="00F20DB5" w:rsidRDefault="00F010AC" w:rsidP="00853785">
            <w:pPr>
              <w:ind w:left="1178"/>
              <w:jc w:val="left"/>
              <w:rPr>
                <w:kern w:val="22"/>
                <w:szCs w:val="22"/>
              </w:rPr>
            </w:pPr>
            <w:r w:rsidRPr="00853785">
              <w:rPr>
                <w:kern w:val="22"/>
                <w:szCs w:val="22"/>
              </w:rPr>
              <w:t>GENERAL</w:t>
            </w:r>
          </w:p>
          <w:p w14:paraId="6916128C" w14:textId="77777777" w:rsidR="00F010AC" w:rsidRPr="00F20DB5" w:rsidRDefault="00F010AC" w:rsidP="00853785">
            <w:pPr>
              <w:ind w:left="1178"/>
              <w:jc w:val="left"/>
              <w:rPr>
                <w:kern w:val="22"/>
                <w:szCs w:val="22"/>
              </w:rPr>
            </w:pPr>
          </w:p>
          <w:p w14:paraId="0ED26E36" w14:textId="6D3AFC6F" w:rsidR="00F010AC" w:rsidRPr="00F20DB5" w:rsidRDefault="00245D9A" w:rsidP="00853785">
            <w:pPr>
              <w:ind w:left="1178"/>
              <w:jc w:val="left"/>
              <w:rPr>
                <w:kern w:val="22"/>
                <w:szCs w:val="22"/>
              </w:rPr>
            </w:pPr>
            <w:sdt>
              <w:sdtPr>
                <w:rPr>
                  <w:kern w:val="22"/>
                  <w:szCs w:val="22"/>
                </w:rPr>
                <w:alias w:val="Subject"/>
                <w:tag w:val=""/>
                <w:id w:val="2137136483"/>
                <w:placeholder>
                  <w:docPart w:val="34C8DD865EA24214977866712BE124B5"/>
                </w:placeholder>
                <w:dataBinding w:prefixMappings="xmlns:ns0='http://purl.org/dc/elements/1.1/' xmlns:ns1='http://schemas.openxmlformats.org/package/2006/metadata/core-properties' " w:xpath="/ns1:coreProperties[1]/ns0:subject[1]" w:storeItemID="{6C3C8BC8-F283-45AE-878A-BAB7291924A1}"/>
                <w:text/>
              </w:sdtPr>
              <w:sdtEndPr/>
              <w:sdtContent>
                <w:r w:rsidR="00F010AC" w:rsidRPr="00F20DB5">
                  <w:rPr>
                    <w:kern w:val="22"/>
                    <w:szCs w:val="22"/>
                  </w:rPr>
                  <w:t>CBD/POST2020/</w:t>
                </w:r>
                <w:proofErr w:type="spellStart"/>
                <w:r w:rsidR="00F010AC" w:rsidRPr="00F20DB5">
                  <w:rPr>
                    <w:kern w:val="22"/>
                    <w:szCs w:val="22"/>
                  </w:rPr>
                  <w:t>WS</w:t>
                </w:r>
                <w:proofErr w:type="spellEnd"/>
                <w:r w:rsidR="00F010AC" w:rsidRPr="00F20DB5">
                  <w:rPr>
                    <w:kern w:val="22"/>
                    <w:szCs w:val="22"/>
                  </w:rPr>
                  <w:t>/2019/7/2</w:t>
                </w:r>
              </w:sdtContent>
            </w:sdt>
          </w:p>
          <w:p w14:paraId="39DACFEE" w14:textId="444AAB25" w:rsidR="00F010AC" w:rsidRPr="00F20DB5" w:rsidRDefault="00F010AC" w:rsidP="00853785">
            <w:pPr>
              <w:ind w:left="1178"/>
              <w:jc w:val="left"/>
              <w:rPr>
                <w:kern w:val="22"/>
                <w:szCs w:val="22"/>
              </w:rPr>
            </w:pPr>
            <w:r w:rsidRPr="00F20DB5">
              <w:rPr>
                <w:kern w:val="22"/>
                <w:szCs w:val="22"/>
                <w:lang w:val="en-US"/>
              </w:rPr>
              <w:t>11 July 2019</w:t>
            </w:r>
          </w:p>
          <w:p w14:paraId="1A67ADC9" w14:textId="77777777" w:rsidR="00F010AC" w:rsidRPr="00F20DB5" w:rsidRDefault="00F010AC" w:rsidP="00853785">
            <w:pPr>
              <w:ind w:left="1178"/>
              <w:jc w:val="left"/>
              <w:rPr>
                <w:kern w:val="22"/>
                <w:szCs w:val="22"/>
              </w:rPr>
            </w:pPr>
          </w:p>
          <w:p w14:paraId="1682C712" w14:textId="77777777" w:rsidR="00F010AC" w:rsidRPr="00F20DB5" w:rsidRDefault="00F010AC" w:rsidP="00853785">
            <w:pPr>
              <w:ind w:left="1178"/>
              <w:jc w:val="left"/>
              <w:rPr>
                <w:kern w:val="22"/>
                <w:szCs w:val="22"/>
              </w:rPr>
            </w:pPr>
            <w:r w:rsidRPr="00F20DB5">
              <w:rPr>
                <w:kern w:val="22"/>
                <w:szCs w:val="22"/>
              </w:rPr>
              <w:t>ENGLISH ONLY</w:t>
            </w:r>
          </w:p>
          <w:p w14:paraId="321BC938" w14:textId="77777777" w:rsidR="00F010AC" w:rsidRPr="00F20DB5" w:rsidRDefault="00F010AC" w:rsidP="00853785">
            <w:pPr>
              <w:jc w:val="left"/>
              <w:rPr>
                <w:kern w:val="22"/>
              </w:rPr>
            </w:pPr>
          </w:p>
        </w:tc>
      </w:tr>
    </w:tbl>
    <w:p w14:paraId="03AC6BBC" w14:textId="5B0DA1B3" w:rsidR="00362642" w:rsidRPr="00143174" w:rsidRDefault="0057433C" w:rsidP="00EA046B">
      <w:pPr>
        <w:pStyle w:val="Cornernotation"/>
        <w:kinsoku w:val="0"/>
        <w:overflowPunct w:val="0"/>
        <w:autoSpaceDE w:val="0"/>
        <w:autoSpaceDN w:val="0"/>
        <w:ind w:left="227" w:right="4784" w:hanging="227"/>
        <w:rPr>
          <w:caps/>
          <w:kern w:val="22"/>
          <w:lang w:eastAsia="ko-KR"/>
        </w:rPr>
      </w:pPr>
      <w:r>
        <w:rPr>
          <w:caps/>
          <w:kern w:val="22"/>
          <w:lang w:eastAsia="ko-KR"/>
        </w:rPr>
        <w:t>GLOBAL</w:t>
      </w:r>
      <w:r w:rsidR="00362642" w:rsidRPr="00143174">
        <w:rPr>
          <w:caps/>
          <w:kern w:val="22"/>
          <w:lang w:eastAsia="ko-KR"/>
        </w:rPr>
        <w:t xml:space="preserve"> </w:t>
      </w:r>
      <w:r w:rsidR="00EA046B" w:rsidRPr="00143174">
        <w:rPr>
          <w:caps/>
          <w:kern w:val="22"/>
          <w:lang w:eastAsia="ko-KR"/>
        </w:rPr>
        <w:t xml:space="preserve">CONSULTATION </w:t>
      </w:r>
      <w:r w:rsidR="004A3CE3">
        <w:rPr>
          <w:caps/>
          <w:kern w:val="22"/>
          <w:lang w:eastAsia="ko-KR"/>
        </w:rPr>
        <w:t>WORKSHOP ON THE POST-2020 GLOBAL BIODIVERSITY FRAMEWORK, BIOSAFETY AND the CARTAGENA PROTOCOL</w:t>
      </w:r>
    </w:p>
    <w:p w14:paraId="08ADCE83" w14:textId="77777777" w:rsidR="00C9161D" w:rsidRPr="00143174" w:rsidRDefault="0057433C" w:rsidP="00362642">
      <w:pPr>
        <w:pStyle w:val="Cornernotation"/>
        <w:kinsoku w:val="0"/>
        <w:overflowPunct w:val="0"/>
        <w:autoSpaceDE w:val="0"/>
        <w:autoSpaceDN w:val="0"/>
        <w:ind w:left="227" w:right="4217" w:hanging="227"/>
        <w:rPr>
          <w:kern w:val="22"/>
          <w:lang w:eastAsia="ko-KR"/>
        </w:rPr>
      </w:pPr>
      <w:bookmarkStart w:id="1" w:name="_Hlk2766324"/>
      <w:bookmarkEnd w:id="0"/>
      <w:r>
        <w:rPr>
          <w:kern w:val="22"/>
          <w:lang w:eastAsia="ko-KR"/>
        </w:rPr>
        <w:t>Nairobi</w:t>
      </w:r>
      <w:r w:rsidR="00362642" w:rsidRPr="00143174">
        <w:rPr>
          <w:kern w:val="22"/>
          <w:lang w:eastAsia="ko-KR"/>
        </w:rPr>
        <w:t xml:space="preserve">, </w:t>
      </w:r>
      <w:r w:rsidR="009E5ACA">
        <w:rPr>
          <w:rFonts w:eastAsia="Batang"/>
          <w:color w:val="000000"/>
          <w:kern w:val="22"/>
          <w:lang w:eastAsia="ko-KR"/>
        </w:rPr>
        <w:t>2</w:t>
      </w:r>
      <w:r>
        <w:rPr>
          <w:rFonts w:eastAsia="Batang"/>
          <w:color w:val="000000"/>
          <w:kern w:val="22"/>
          <w:lang w:eastAsia="ko-KR"/>
        </w:rPr>
        <w:t>5 August</w:t>
      </w:r>
      <w:r w:rsidR="00362642" w:rsidRPr="00143174">
        <w:rPr>
          <w:rFonts w:eastAsia="Batang"/>
          <w:color w:val="000000"/>
          <w:kern w:val="22"/>
          <w:lang w:eastAsia="ko-KR"/>
        </w:rPr>
        <w:t xml:space="preserve"> 2019</w:t>
      </w:r>
    </w:p>
    <w:bookmarkEnd w:id="1"/>
    <w:p w14:paraId="0ED82872" w14:textId="43019206" w:rsidR="00176CEE" w:rsidRPr="00E3086B" w:rsidRDefault="00F01F42" w:rsidP="000822E1">
      <w:pPr>
        <w:kinsoku w:val="0"/>
        <w:overflowPunct w:val="0"/>
        <w:autoSpaceDE w:val="0"/>
        <w:autoSpaceDN w:val="0"/>
        <w:spacing w:before="240" w:after="120"/>
        <w:jc w:val="center"/>
        <w:rPr>
          <w:rFonts w:ascii="Times New Roman Bold" w:hAnsi="Times New Roman Bold" w:cs="Times New Roman Bold"/>
          <w:b/>
          <w:bCs/>
          <w:caps/>
          <w:snapToGrid w:val="0"/>
          <w:kern w:val="22"/>
        </w:rPr>
      </w:pPr>
      <w:sdt>
        <w:sdtPr>
          <w:rPr>
            <w:rFonts w:ascii="Times New Roman Bold" w:hAnsi="Times New Roman Bold" w:cs="Times New Roman Bold"/>
            <w:b/>
            <w:bCs/>
            <w:caps/>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E3086B">
            <w:rPr>
              <w:rFonts w:ascii="Times New Roman Bold" w:hAnsi="Times New Roman Bold" w:cs="Times New Roman Bold"/>
              <w:b/>
              <w:bCs/>
              <w:caps/>
              <w:snapToGrid w:val="0"/>
              <w:kern w:val="22"/>
            </w:rPr>
            <w:t>B</w:t>
          </w:r>
          <w:r w:rsidRPr="00E3086B">
            <w:rPr>
              <w:rFonts w:ascii="Times New Roman Bold" w:hAnsi="Times New Roman Bold" w:cs="Times New Roman Bold"/>
              <w:b/>
              <w:bCs/>
              <w:caps/>
              <w:snapToGrid w:val="0"/>
              <w:kern w:val="22"/>
            </w:rPr>
            <w:t>iosafety within the post-2020 global biodiversity framework</w:t>
          </w:r>
        </w:sdtContent>
      </w:sdt>
    </w:p>
    <w:p w14:paraId="1730B574" w14:textId="48D51FC2" w:rsidR="00990CF3" w:rsidRPr="00990CF3" w:rsidRDefault="00990CF3" w:rsidP="00990CF3">
      <w:pPr>
        <w:jc w:val="center"/>
        <w:rPr>
          <w:i/>
        </w:rPr>
      </w:pPr>
      <w:r w:rsidRPr="00990CF3">
        <w:rPr>
          <w:i/>
        </w:rPr>
        <w:t>Note by the Executive Secretary</w:t>
      </w:r>
    </w:p>
    <w:p w14:paraId="50098C91" w14:textId="1A1AF4DE" w:rsidR="000822E1" w:rsidRPr="00143174" w:rsidRDefault="000822E1" w:rsidP="00853785">
      <w:pPr>
        <w:keepNext/>
        <w:kinsoku w:val="0"/>
        <w:overflowPunct w:val="0"/>
        <w:autoSpaceDE w:val="0"/>
        <w:autoSpaceDN w:val="0"/>
        <w:spacing w:before="120" w:after="120"/>
        <w:jc w:val="center"/>
        <w:rPr>
          <w:b/>
          <w:caps/>
          <w:kern w:val="22"/>
        </w:rPr>
      </w:pPr>
      <w:r w:rsidRPr="000822E1">
        <w:rPr>
          <w:rFonts w:ascii="Times New Roman Bold" w:hAnsi="Times New Roman Bold" w:cs="Times New Roman Bold"/>
          <w:b/>
          <w:bCs/>
          <w:caps/>
          <w:snapToGrid w:val="0"/>
          <w:kern w:val="22"/>
        </w:rPr>
        <w:t>INTRODUCTION</w:t>
      </w:r>
    </w:p>
    <w:p w14:paraId="5A43CB32" w14:textId="65EEA546" w:rsidR="00C5715A" w:rsidRPr="00B51921" w:rsidRDefault="00C5715A" w:rsidP="00853785">
      <w:pPr>
        <w:pStyle w:val="Para1"/>
        <w:tabs>
          <w:tab w:val="clear" w:pos="360"/>
        </w:tabs>
        <w:kinsoku w:val="0"/>
        <w:overflowPunct w:val="0"/>
        <w:autoSpaceDE w:val="0"/>
        <w:autoSpaceDN w:val="0"/>
        <w:adjustRightInd w:val="0"/>
        <w:snapToGrid w:val="0"/>
        <w:rPr>
          <w:snapToGrid/>
          <w:kern w:val="22"/>
          <w:szCs w:val="22"/>
        </w:rPr>
      </w:pPr>
      <w:r w:rsidRPr="00B51921">
        <w:rPr>
          <w:snapToGrid/>
          <w:kern w:val="22"/>
          <w:szCs w:val="22"/>
        </w:rPr>
        <w:t xml:space="preserve">In its decision </w:t>
      </w:r>
      <w:hyperlink r:id="rId12" w:history="1">
        <w:r w:rsidRPr="00B51921">
          <w:rPr>
            <w:rStyle w:val="Hyperlink"/>
            <w:snapToGrid/>
            <w:kern w:val="22"/>
            <w:sz w:val="22"/>
            <w:szCs w:val="22"/>
          </w:rPr>
          <w:t>14/34</w:t>
        </w:r>
      </w:hyperlink>
      <w:r w:rsidRPr="00B51921">
        <w:rPr>
          <w:snapToGrid/>
          <w:kern w:val="22"/>
          <w:szCs w:val="22"/>
        </w:rPr>
        <w:t>, the Conference of the Parties decided on a process for the development of a post</w:t>
      </w:r>
      <w:r w:rsidR="00567A09" w:rsidRPr="00B51921">
        <w:rPr>
          <w:snapToGrid/>
          <w:kern w:val="22"/>
          <w:szCs w:val="22"/>
        </w:rPr>
        <w:noBreakHyphen/>
      </w:r>
      <w:r w:rsidRPr="00B51921">
        <w:rPr>
          <w:snapToGrid/>
          <w:kern w:val="22"/>
          <w:szCs w:val="22"/>
        </w:rPr>
        <w:t xml:space="preserve">2020 global biodiversity framework. </w:t>
      </w:r>
      <w:r w:rsidR="000B55CD" w:rsidRPr="00B51921">
        <w:rPr>
          <w:snapToGrid/>
          <w:kern w:val="22"/>
          <w:szCs w:val="22"/>
        </w:rPr>
        <w:t xml:space="preserve">It </w:t>
      </w:r>
      <w:r w:rsidR="00483E20" w:rsidRPr="00B51921">
        <w:rPr>
          <w:snapToGrid/>
          <w:kern w:val="22"/>
          <w:szCs w:val="22"/>
        </w:rPr>
        <w:t>noted</w:t>
      </w:r>
      <w:r w:rsidR="000B55CD" w:rsidRPr="00B51921">
        <w:rPr>
          <w:snapToGrid/>
          <w:kern w:val="22"/>
          <w:szCs w:val="22"/>
        </w:rPr>
        <w:t xml:space="preserve"> that the effectiveness of the process for the development of the post-2020 global biodiversity framework depend</w:t>
      </w:r>
      <w:r w:rsidR="006A1C22" w:rsidRPr="00B51921">
        <w:rPr>
          <w:snapToGrid/>
          <w:kern w:val="22"/>
          <w:szCs w:val="22"/>
        </w:rPr>
        <w:t>ed</w:t>
      </w:r>
      <w:r w:rsidR="000B55CD" w:rsidRPr="00B51921">
        <w:rPr>
          <w:snapToGrid/>
          <w:kern w:val="22"/>
          <w:szCs w:val="22"/>
        </w:rPr>
        <w:t xml:space="preserve"> on the active participation of all Parties to the Convention and the Protocols</w:t>
      </w:r>
      <w:r w:rsidR="00DE75CF" w:rsidRPr="00B51921">
        <w:rPr>
          <w:snapToGrid/>
          <w:kern w:val="22"/>
          <w:szCs w:val="22"/>
        </w:rPr>
        <w:t>,</w:t>
      </w:r>
      <w:r w:rsidR="000B55CD" w:rsidRPr="00B51921">
        <w:rPr>
          <w:snapToGrid/>
          <w:kern w:val="22"/>
          <w:szCs w:val="22"/>
        </w:rPr>
        <w:t xml:space="preserve"> and it formulated </w:t>
      </w:r>
      <w:proofErr w:type="gramStart"/>
      <w:r w:rsidR="000B55CD" w:rsidRPr="00B51921">
        <w:rPr>
          <w:snapToGrid/>
          <w:kern w:val="22"/>
          <w:szCs w:val="22"/>
        </w:rPr>
        <w:t>a number of</w:t>
      </w:r>
      <w:proofErr w:type="gramEnd"/>
      <w:r w:rsidR="000B55CD" w:rsidRPr="00B51921">
        <w:rPr>
          <w:snapToGrid/>
          <w:kern w:val="22"/>
          <w:szCs w:val="22"/>
        </w:rPr>
        <w:t xml:space="preserve"> guiding principles</w:t>
      </w:r>
      <w:r w:rsidR="00E65F31" w:rsidRPr="00B51921">
        <w:rPr>
          <w:snapToGrid/>
          <w:kern w:val="22"/>
          <w:szCs w:val="22"/>
        </w:rPr>
        <w:t xml:space="preserve"> for the process </w:t>
      </w:r>
      <w:r w:rsidR="00C2560C" w:rsidRPr="00B51921">
        <w:rPr>
          <w:snapToGrid/>
          <w:kern w:val="22"/>
          <w:szCs w:val="22"/>
        </w:rPr>
        <w:t xml:space="preserve">for the development of </w:t>
      </w:r>
      <w:r w:rsidR="00E65F31" w:rsidRPr="00B51921">
        <w:rPr>
          <w:snapToGrid/>
          <w:kern w:val="22"/>
          <w:szCs w:val="22"/>
        </w:rPr>
        <w:t>the post-2020 global biodiversity framework</w:t>
      </w:r>
      <w:r w:rsidR="000B55CD" w:rsidRPr="00B51921">
        <w:rPr>
          <w:snapToGrid/>
          <w:kern w:val="22"/>
          <w:szCs w:val="22"/>
        </w:rPr>
        <w:t xml:space="preserve"> that underpin </w:t>
      </w:r>
      <w:r w:rsidR="00EC19D6" w:rsidRPr="00B51921">
        <w:rPr>
          <w:snapToGrid/>
          <w:kern w:val="22"/>
          <w:szCs w:val="22"/>
        </w:rPr>
        <w:t>this notion</w:t>
      </w:r>
      <w:r w:rsidR="000B55CD" w:rsidRPr="00B51921">
        <w:rPr>
          <w:snapToGrid/>
          <w:kern w:val="22"/>
          <w:szCs w:val="22"/>
        </w:rPr>
        <w:t>.</w:t>
      </w:r>
    </w:p>
    <w:p w14:paraId="75D72BC1" w14:textId="2464A1C0" w:rsidR="00C5715A" w:rsidRPr="00B51921" w:rsidRDefault="00C5715A" w:rsidP="00853785">
      <w:pPr>
        <w:pStyle w:val="Para1"/>
        <w:tabs>
          <w:tab w:val="clear" w:pos="360"/>
        </w:tabs>
        <w:kinsoku w:val="0"/>
        <w:overflowPunct w:val="0"/>
        <w:autoSpaceDE w:val="0"/>
        <w:autoSpaceDN w:val="0"/>
        <w:adjustRightInd w:val="0"/>
        <w:snapToGrid w:val="0"/>
        <w:rPr>
          <w:snapToGrid/>
          <w:kern w:val="22"/>
          <w:szCs w:val="22"/>
        </w:rPr>
      </w:pPr>
      <w:r w:rsidRPr="00B51921">
        <w:rPr>
          <w:snapToGrid/>
          <w:kern w:val="22"/>
          <w:szCs w:val="22"/>
        </w:rPr>
        <w:t xml:space="preserve">In its decision </w:t>
      </w:r>
      <w:hyperlink r:id="rId13" w:history="1">
        <w:r w:rsidRPr="00B51921">
          <w:rPr>
            <w:rStyle w:val="Hyperlink"/>
            <w:snapToGrid/>
            <w:kern w:val="22"/>
            <w:sz w:val="22"/>
            <w:szCs w:val="22"/>
          </w:rPr>
          <w:t>CP-9/7</w:t>
        </w:r>
      </w:hyperlink>
      <w:r w:rsidRPr="00B51921">
        <w:rPr>
          <w:snapToGrid/>
          <w:kern w:val="22"/>
          <w:szCs w:val="22"/>
        </w:rPr>
        <w:t xml:space="preserve">, the </w:t>
      </w:r>
      <w:r w:rsidR="00246619" w:rsidRPr="00B51921">
        <w:rPr>
          <w:snapToGrid/>
          <w:kern w:val="22"/>
          <w:szCs w:val="22"/>
        </w:rPr>
        <w:t xml:space="preserve">Conference of the Parties serving as </w:t>
      </w:r>
      <w:r w:rsidRPr="00B51921">
        <w:rPr>
          <w:snapToGrid/>
          <w:kern w:val="22"/>
          <w:szCs w:val="22"/>
        </w:rPr>
        <w:t>meeting of the Parties to the Cartagena Protocol</w:t>
      </w:r>
      <w:r w:rsidR="004E24AB" w:rsidRPr="00B51921">
        <w:rPr>
          <w:snapToGrid/>
          <w:kern w:val="22"/>
          <w:szCs w:val="22"/>
        </w:rPr>
        <w:t xml:space="preserve"> </w:t>
      </w:r>
      <w:r w:rsidR="004B42AB" w:rsidRPr="00B51921">
        <w:rPr>
          <w:snapToGrid/>
          <w:kern w:val="22"/>
          <w:szCs w:val="22"/>
        </w:rPr>
        <w:t xml:space="preserve">(COP-MOP) </w:t>
      </w:r>
      <w:r w:rsidR="004E24AB" w:rsidRPr="00B51921">
        <w:rPr>
          <w:snapToGrid/>
          <w:kern w:val="22"/>
          <w:szCs w:val="22"/>
        </w:rPr>
        <w:t>welcomed decision 14/34 and</w:t>
      </w:r>
      <w:r w:rsidR="00FD4AA8" w:rsidRPr="00B51921">
        <w:rPr>
          <w:snapToGrid/>
          <w:kern w:val="22"/>
          <w:szCs w:val="22"/>
        </w:rPr>
        <w:t xml:space="preserve"> took note of the preparatory process for the development of the post-2020 global biodiversity framework. It </w:t>
      </w:r>
      <w:r w:rsidRPr="00B51921">
        <w:rPr>
          <w:snapToGrid/>
          <w:kern w:val="22"/>
          <w:szCs w:val="22"/>
        </w:rPr>
        <w:t>stressed the importance of including biosafety in the post-2020 global biodiversity framework as well as the necessity of developing a specific</w:t>
      </w:r>
      <w:r w:rsidR="00FD4AA8" w:rsidRPr="00B51921">
        <w:rPr>
          <w:snapToGrid/>
          <w:kern w:val="22"/>
          <w:szCs w:val="22"/>
        </w:rPr>
        <w:t xml:space="preserve"> post-2020</w:t>
      </w:r>
      <w:r w:rsidRPr="00B51921">
        <w:rPr>
          <w:snapToGrid/>
          <w:kern w:val="22"/>
          <w:szCs w:val="22"/>
        </w:rPr>
        <w:t xml:space="preserve"> Implementation Plan for the Cartagena Protocol on Biosafety. </w:t>
      </w:r>
      <w:r w:rsidR="00276FF9" w:rsidRPr="00B51921">
        <w:rPr>
          <w:snapToGrid/>
          <w:kern w:val="22"/>
          <w:szCs w:val="22"/>
        </w:rPr>
        <w:t>It noted the importance of the active involvement of biosafety experts</w:t>
      </w:r>
      <w:r w:rsidR="00BD0180" w:rsidRPr="00B51921">
        <w:rPr>
          <w:snapToGrid/>
          <w:kern w:val="22"/>
          <w:szCs w:val="22"/>
        </w:rPr>
        <w:t>, including those with expertise on the Nagoya – Kuala Lumpur Supplementary Protocol on Liability and Redress,</w:t>
      </w:r>
      <w:r w:rsidR="00276FF9" w:rsidRPr="00B51921">
        <w:rPr>
          <w:snapToGrid/>
          <w:kern w:val="22"/>
          <w:szCs w:val="22"/>
        </w:rPr>
        <w:t xml:space="preserve"> in the development of the post-2020 global biodiversity</w:t>
      </w:r>
      <w:r w:rsidR="003F56D5" w:rsidRPr="00B51921">
        <w:rPr>
          <w:snapToGrid/>
          <w:kern w:val="22"/>
          <w:szCs w:val="22"/>
        </w:rPr>
        <w:t xml:space="preserve"> </w:t>
      </w:r>
      <w:r w:rsidR="00A4541E" w:rsidRPr="00B51921">
        <w:rPr>
          <w:snapToGrid/>
          <w:kern w:val="22"/>
          <w:szCs w:val="22"/>
        </w:rPr>
        <w:t xml:space="preserve">framework </w:t>
      </w:r>
      <w:r w:rsidR="003F56D5" w:rsidRPr="00B51921">
        <w:rPr>
          <w:snapToGrid/>
          <w:kern w:val="22"/>
          <w:szCs w:val="22"/>
        </w:rPr>
        <w:t>and</w:t>
      </w:r>
      <w:r w:rsidR="00276FF9" w:rsidRPr="00B51921">
        <w:rPr>
          <w:snapToGrid/>
          <w:kern w:val="22"/>
          <w:szCs w:val="22"/>
        </w:rPr>
        <w:t xml:space="preserve"> requested the Executive Secretary to convene dedicated sessions to discuss biosafety matters during global and regional consultation workshops referred to in decision 14/34.</w:t>
      </w:r>
    </w:p>
    <w:p w14:paraId="0698DB33" w14:textId="4E6B2F42" w:rsidR="00FD2210" w:rsidRPr="00B51921" w:rsidRDefault="008E269E" w:rsidP="00853785">
      <w:pPr>
        <w:pStyle w:val="Para1"/>
        <w:tabs>
          <w:tab w:val="clear" w:pos="360"/>
        </w:tabs>
        <w:kinsoku w:val="0"/>
        <w:overflowPunct w:val="0"/>
        <w:autoSpaceDE w:val="0"/>
        <w:autoSpaceDN w:val="0"/>
        <w:adjustRightInd w:val="0"/>
        <w:snapToGrid w:val="0"/>
        <w:rPr>
          <w:snapToGrid/>
          <w:kern w:val="22"/>
          <w:szCs w:val="22"/>
        </w:rPr>
      </w:pPr>
      <w:r w:rsidRPr="00B51921">
        <w:rPr>
          <w:snapToGrid/>
          <w:kern w:val="22"/>
          <w:szCs w:val="22"/>
        </w:rPr>
        <w:t>The</w:t>
      </w:r>
      <w:r w:rsidR="00325D2A" w:rsidRPr="00B51921">
        <w:rPr>
          <w:snapToGrid/>
          <w:kern w:val="22"/>
          <w:szCs w:val="22"/>
        </w:rPr>
        <w:t xml:space="preserve"> Global Consultation Workshop on the post-2020 Global Biodiversity Framework, Biosafety and the Cartagena Protocol</w:t>
      </w:r>
      <w:r w:rsidRPr="00B51921">
        <w:rPr>
          <w:snapToGrid/>
          <w:kern w:val="22"/>
          <w:szCs w:val="22"/>
        </w:rPr>
        <w:t xml:space="preserve"> was organized to facilitate a discussion on addressing biosafety within the post-2020 global biodiversity</w:t>
      </w:r>
      <w:r w:rsidR="00F033A7" w:rsidRPr="00B51921">
        <w:rPr>
          <w:snapToGrid/>
          <w:kern w:val="22"/>
          <w:szCs w:val="22"/>
        </w:rPr>
        <w:t xml:space="preserve"> framework</w:t>
      </w:r>
      <w:r w:rsidRPr="00B51921">
        <w:rPr>
          <w:snapToGrid/>
          <w:kern w:val="22"/>
          <w:szCs w:val="22"/>
        </w:rPr>
        <w:t>. Th</w:t>
      </w:r>
      <w:r w:rsidR="0018708C" w:rsidRPr="00B51921">
        <w:rPr>
          <w:snapToGrid/>
          <w:kern w:val="22"/>
          <w:szCs w:val="22"/>
        </w:rPr>
        <w:t>e</w:t>
      </w:r>
      <w:r w:rsidRPr="00B51921">
        <w:rPr>
          <w:snapToGrid/>
          <w:kern w:val="22"/>
          <w:szCs w:val="22"/>
        </w:rPr>
        <w:t xml:space="preserve"> </w:t>
      </w:r>
      <w:r w:rsidR="0018708C" w:rsidRPr="00B51921">
        <w:rPr>
          <w:snapToGrid/>
          <w:kern w:val="22"/>
          <w:szCs w:val="22"/>
        </w:rPr>
        <w:t>present document</w:t>
      </w:r>
      <w:r w:rsidRPr="00B51921">
        <w:rPr>
          <w:snapToGrid/>
          <w:kern w:val="22"/>
          <w:szCs w:val="22"/>
        </w:rPr>
        <w:t xml:space="preserve"> </w:t>
      </w:r>
      <w:r w:rsidR="0067166A" w:rsidRPr="00B51921">
        <w:rPr>
          <w:snapToGrid/>
          <w:kern w:val="22"/>
          <w:szCs w:val="22"/>
        </w:rPr>
        <w:t>has been</w:t>
      </w:r>
      <w:r w:rsidRPr="00B51921">
        <w:rPr>
          <w:snapToGrid/>
          <w:kern w:val="22"/>
          <w:szCs w:val="22"/>
        </w:rPr>
        <w:t xml:space="preserve"> developed to </w:t>
      </w:r>
      <w:r w:rsidR="00FD2210" w:rsidRPr="00B51921">
        <w:rPr>
          <w:snapToGrid/>
          <w:kern w:val="22"/>
          <w:szCs w:val="22"/>
        </w:rPr>
        <w:t xml:space="preserve">support the </w:t>
      </w:r>
      <w:r w:rsidR="005E53F3" w:rsidRPr="00B51921">
        <w:rPr>
          <w:snapToGrid/>
          <w:kern w:val="22"/>
          <w:szCs w:val="22"/>
        </w:rPr>
        <w:t>consideration of this matter</w:t>
      </w:r>
      <w:r w:rsidR="00FD2210" w:rsidRPr="00B51921">
        <w:rPr>
          <w:snapToGrid/>
          <w:kern w:val="22"/>
          <w:szCs w:val="22"/>
        </w:rPr>
        <w:t>.</w:t>
      </w:r>
    </w:p>
    <w:p w14:paraId="32583E79" w14:textId="4A86ACDF" w:rsidR="00F63CA9" w:rsidRPr="00B51921" w:rsidRDefault="00F63CA9" w:rsidP="00853785">
      <w:pPr>
        <w:pStyle w:val="Para1"/>
        <w:tabs>
          <w:tab w:val="clear" w:pos="360"/>
        </w:tabs>
        <w:kinsoku w:val="0"/>
        <w:overflowPunct w:val="0"/>
        <w:autoSpaceDE w:val="0"/>
        <w:autoSpaceDN w:val="0"/>
        <w:adjustRightInd w:val="0"/>
        <w:snapToGrid w:val="0"/>
        <w:rPr>
          <w:snapToGrid/>
          <w:kern w:val="22"/>
          <w:szCs w:val="22"/>
        </w:rPr>
      </w:pPr>
      <w:r w:rsidRPr="00B51921">
        <w:rPr>
          <w:snapToGrid/>
          <w:kern w:val="22"/>
          <w:szCs w:val="22"/>
        </w:rPr>
        <w:t xml:space="preserve">The </w:t>
      </w:r>
      <w:r w:rsidR="00567A09" w:rsidRPr="00B51921">
        <w:rPr>
          <w:snapToGrid/>
          <w:kern w:val="22"/>
          <w:szCs w:val="22"/>
        </w:rPr>
        <w:t xml:space="preserve">Conference of the Parties serving as meeting of the Parties to the Cartagena Protocol </w:t>
      </w:r>
      <w:r w:rsidRPr="00B51921">
        <w:rPr>
          <w:snapToGrid/>
          <w:kern w:val="22"/>
          <w:szCs w:val="22"/>
        </w:rPr>
        <w:t xml:space="preserve">outlined a process for the development of a draft of the biosafety component in the post-2020 global biodiversity framework, the development of </w:t>
      </w:r>
      <w:r w:rsidR="003E4D69">
        <w:rPr>
          <w:snapToGrid/>
          <w:kern w:val="22"/>
          <w:szCs w:val="22"/>
        </w:rPr>
        <w:t>a</w:t>
      </w:r>
      <w:r w:rsidR="003E4D69" w:rsidRPr="00B51921">
        <w:rPr>
          <w:snapToGrid/>
          <w:kern w:val="22"/>
          <w:szCs w:val="22"/>
        </w:rPr>
        <w:t xml:space="preserve"> </w:t>
      </w:r>
      <w:r w:rsidRPr="00B51921">
        <w:rPr>
          <w:snapToGrid/>
          <w:kern w:val="22"/>
          <w:szCs w:val="22"/>
        </w:rPr>
        <w:t xml:space="preserve">post-2020 </w:t>
      </w:r>
      <w:r w:rsidR="003E4D69">
        <w:rPr>
          <w:snapToGrid/>
          <w:kern w:val="22"/>
          <w:szCs w:val="22"/>
        </w:rPr>
        <w:t>i</w:t>
      </w:r>
      <w:r w:rsidRPr="00B51921">
        <w:rPr>
          <w:snapToGrid/>
          <w:kern w:val="22"/>
          <w:szCs w:val="22"/>
        </w:rPr>
        <w:t xml:space="preserve">mplementation </w:t>
      </w:r>
      <w:r w:rsidR="003E4D69">
        <w:rPr>
          <w:snapToGrid/>
          <w:kern w:val="22"/>
          <w:szCs w:val="22"/>
        </w:rPr>
        <w:t>p</w:t>
      </w:r>
      <w:r w:rsidRPr="00B51921">
        <w:rPr>
          <w:snapToGrid/>
          <w:kern w:val="22"/>
          <w:szCs w:val="22"/>
        </w:rPr>
        <w:t>lan for the Cartagena Protocol</w:t>
      </w:r>
      <w:r w:rsidR="003E4D69">
        <w:rPr>
          <w:snapToGrid/>
          <w:kern w:val="22"/>
          <w:szCs w:val="22"/>
        </w:rPr>
        <w:t>,</w:t>
      </w:r>
      <w:r w:rsidRPr="00B51921">
        <w:rPr>
          <w:snapToGrid/>
          <w:kern w:val="22"/>
          <w:szCs w:val="22"/>
        </w:rPr>
        <w:t xml:space="preserve"> </w:t>
      </w:r>
      <w:r w:rsidR="003E4D69">
        <w:rPr>
          <w:snapToGrid/>
          <w:kern w:val="22"/>
          <w:szCs w:val="22"/>
        </w:rPr>
        <w:t>and</w:t>
      </w:r>
      <w:r w:rsidRPr="00B51921">
        <w:rPr>
          <w:snapToGrid/>
          <w:kern w:val="22"/>
          <w:szCs w:val="22"/>
        </w:rPr>
        <w:t xml:space="preserve"> the preparation of a Protocol-specific post-2020 capacity</w:t>
      </w:r>
      <w:r w:rsidR="00567A09" w:rsidRPr="00B51921">
        <w:rPr>
          <w:snapToGrid/>
          <w:kern w:val="22"/>
          <w:szCs w:val="22"/>
        </w:rPr>
        <w:t>-</w:t>
      </w:r>
      <w:r w:rsidRPr="00B51921">
        <w:rPr>
          <w:snapToGrid/>
          <w:kern w:val="22"/>
          <w:szCs w:val="22"/>
        </w:rPr>
        <w:t xml:space="preserve">building action plan. These processes are </w:t>
      </w:r>
      <w:r w:rsidR="00BD264E" w:rsidRPr="00B51921">
        <w:rPr>
          <w:snapToGrid/>
          <w:kern w:val="22"/>
          <w:szCs w:val="22"/>
        </w:rPr>
        <w:t>intertwined,</w:t>
      </w:r>
      <w:r w:rsidRPr="00B51921">
        <w:rPr>
          <w:snapToGrid/>
          <w:kern w:val="22"/>
          <w:szCs w:val="22"/>
        </w:rPr>
        <w:t xml:space="preserve"> and an overview of the different steps</w:t>
      </w:r>
      <w:r w:rsidR="00BD264E" w:rsidRPr="00B51921">
        <w:rPr>
          <w:snapToGrid/>
          <w:kern w:val="22"/>
          <w:szCs w:val="22"/>
        </w:rPr>
        <w:t xml:space="preserve">, as set out by the </w:t>
      </w:r>
      <w:r w:rsidR="006F7A6B" w:rsidRPr="00B51921">
        <w:rPr>
          <w:snapToGrid/>
          <w:kern w:val="22"/>
          <w:szCs w:val="22"/>
        </w:rPr>
        <w:t>P</w:t>
      </w:r>
      <w:r w:rsidR="00BD264E" w:rsidRPr="00B51921">
        <w:rPr>
          <w:snapToGrid/>
          <w:kern w:val="22"/>
          <w:szCs w:val="22"/>
        </w:rPr>
        <w:t>arties</w:t>
      </w:r>
      <w:r w:rsidR="002223A5">
        <w:rPr>
          <w:snapToGrid/>
          <w:kern w:val="22"/>
          <w:szCs w:val="22"/>
        </w:rPr>
        <w:t xml:space="preserve"> to the Protocol</w:t>
      </w:r>
      <w:r w:rsidR="00BD264E" w:rsidRPr="00B51921">
        <w:rPr>
          <w:snapToGrid/>
          <w:kern w:val="22"/>
          <w:szCs w:val="22"/>
        </w:rPr>
        <w:t>, i</w:t>
      </w:r>
      <w:r w:rsidRPr="00B51921">
        <w:rPr>
          <w:snapToGrid/>
          <w:kern w:val="22"/>
          <w:szCs w:val="22"/>
        </w:rPr>
        <w:t xml:space="preserve">s provided in </w:t>
      </w:r>
      <w:r w:rsidR="00567A09" w:rsidRPr="00B51921">
        <w:rPr>
          <w:snapToGrid/>
          <w:kern w:val="22"/>
          <w:szCs w:val="22"/>
        </w:rPr>
        <w:t>s</w:t>
      </w:r>
      <w:r w:rsidR="001867A1" w:rsidRPr="00B51921">
        <w:rPr>
          <w:snapToGrid/>
          <w:kern w:val="22"/>
          <w:szCs w:val="22"/>
        </w:rPr>
        <w:t xml:space="preserve">ection </w:t>
      </w:r>
      <w:r w:rsidRPr="00B51921">
        <w:rPr>
          <w:snapToGrid/>
          <w:kern w:val="22"/>
          <w:szCs w:val="22"/>
        </w:rPr>
        <w:t xml:space="preserve">I of the </w:t>
      </w:r>
      <w:r w:rsidR="00567A09" w:rsidRPr="00B51921">
        <w:rPr>
          <w:snapToGrid/>
          <w:kern w:val="22"/>
          <w:szCs w:val="22"/>
        </w:rPr>
        <w:t xml:space="preserve">present </w:t>
      </w:r>
      <w:r w:rsidRPr="00B51921">
        <w:rPr>
          <w:snapToGrid/>
          <w:kern w:val="22"/>
          <w:szCs w:val="22"/>
        </w:rPr>
        <w:t>document.</w:t>
      </w:r>
    </w:p>
    <w:p w14:paraId="74DE827F" w14:textId="202EA174" w:rsidR="00325D2A" w:rsidRPr="00B51921" w:rsidRDefault="00FD2210" w:rsidP="00853785">
      <w:pPr>
        <w:pStyle w:val="Para1"/>
        <w:tabs>
          <w:tab w:val="clear" w:pos="360"/>
        </w:tabs>
        <w:kinsoku w:val="0"/>
        <w:overflowPunct w:val="0"/>
        <w:autoSpaceDE w:val="0"/>
        <w:autoSpaceDN w:val="0"/>
        <w:adjustRightInd w:val="0"/>
        <w:snapToGrid w:val="0"/>
        <w:rPr>
          <w:snapToGrid/>
          <w:kern w:val="22"/>
          <w:szCs w:val="22"/>
        </w:rPr>
      </w:pPr>
      <w:r w:rsidRPr="00B51921">
        <w:rPr>
          <w:snapToGrid/>
          <w:kern w:val="22"/>
          <w:szCs w:val="22"/>
        </w:rPr>
        <w:t>Section II provides</w:t>
      </w:r>
      <w:r w:rsidR="009A0EEA" w:rsidRPr="00B51921">
        <w:rPr>
          <w:snapToGrid/>
          <w:kern w:val="22"/>
          <w:szCs w:val="22"/>
        </w:rPr>
        <w:t xml:space="preserve"> </w:t>
      </w:r>
      <w:r w:rsidR="002B6DD2" w:rsidRPr="00B51921">
        <w:rPr>
          <w:snapToGrid/>
          <w:kern w:val="22"/>
          <w:szCs w:val="22"/>
        </w:rPr>
        <w:t xml:space="preserve">an </w:t>
      </w:r>
      <w:r w:rsidR="009A0EEA" w:rsidRPr="00B51921">
        <w:rPr>
          <w:snapToGrid/>
          <w:kern w:val="22"/>
          <w:szCs w:val="22"/>
        </w:rPr>
        <w:t>overview</w:t>
      </w:r>
      <w:r w:rsidR="00BF673C" w:rsidRPr="00B51921">
        <w:rPr>
          <w:snapToGrid/>
          <w:kern w:val="22"/>
          <w:szCs w:val="22"/>
        </w:rPr>
        <w:t xml:space="preserve"> of views </w:t>
      </w:r>
      <w:r w:rsidR="00D47718" w:rsidRPr="00B51921">
        <w:rPr>
          <w:snapToGrid/>
          <w:kern w:val="22"/>
          <w:szCs w:val="22"/>
        </w:rPr>
        <w:t xml:space="preserve">on </w:t>
      </w:r>
      <w:r w:rsidR="00B70C94" w:rsidRPr="00B51921">
        <w:rPr>
          <w:snapToGrid/>
          <w:kern w:val="22"/>
          <w:szCs w:val="22"/>
        </w:rPr>
        <w:t>big picture</w:t>
      </w:r>
      <w:r w:rsidR="00904503" w:rsidRPr="00B51921">
        <w:rPr>
          <w:snapToGrid/>
          <w:kern w:val="22"/>
          <w:szCs w:val="22"/>
        </w:rPr>
        <w:t xml:space="preserve"> </w:t>
      </w:r>
      <w:r w:rsidR="00D47718" w:rsidRPr="00B51921">
        <w:rPr>
          <w:snapToGrid/>
          <w:kern w:val="22"/>
          <w:szCs w:val="22"/>
        </w:rPr>
        <w:t>linkages between biosafety and the post</w:t>
      </w:r>
      <w:r w:rsidR="00567A09" w:rsidRPr="00B51921">
        <w:rPr>
          <w:snapToGrid/>
          <w:kern w:val="22"/>
          <w:szCs w:val="22"/>
        </w:rPr>
        <w:noBreakHyphen/>
      </w:r>
      <w:r w:rsidR="00D47718" w:rsidRPr="00B51921">
        <w:rPr>
          <w:snapToGrid/>
          <w:kern w:val="22"/>
          <w:szCs w:val="22"/>
        </w:rPr>
        <w:t>2020 global biodiversity framework</w:t>
      </w:r>
      <w:r w:rsidR="00BF673C" w:rsidRPr="00B51921">
        <w:rPr>
          <w:snapToGrid/>
          <w:kern w:val="22"/>
          <w:szCs w:val="22"/>
        </w:rPr>
        <w:t>, while section I</w:t>
      </w:r>
      <w:r w:rsidR="009A0EEA" w:rsidRPr="00B51921">
        <w:rPr>
          <w:snapToGrid/>
          <w:kern w:val="22"/>
          <w:szCs w:val="22"/>
        </w:rPr>
        <w:t>II</w:t>
      </w:r>
      <w:r w:rsidR="00BF673C" w:rsidRPr="00B51921">
        <w:rPr>
          <w:snapToGrid/>
          <w:kern w:val="22"/>
          <w:szCs w:val="22"/>
        </w:rPr>
        <w:t xml:space="preserve"> </w:t>
      </w:r>
      <w:r w:rsidR="000A6640" w:rsidRPr="00B51921">
        <w:rPr>
          <w:snapToGrid/>
          <w:kern w:val="22"/>
          <w:szCs w:val="22"/>
        </w:rPr>
        <w:t xml:space="preserve">presents </w:t>
      </w:r>
      <w:r w:rsidR="00BF673C" w:rsidRPr="00B51921">
        <w:rPr>
          <w:snapToGrid/>
          <w:kern w:val="22"/>
          <w:szCs w:val="22"/>
        </w:rPr>
        <w:t>possible elements of the biosafety component within the post-2020 global biodiversity framework.</w:t>
      </w:r>
    </w:p>
    <w:p w14:paraId="1CB84A5E" w14:textId="288469DD" w:rsidR="00891273" w:rsidRPr="00B33201" w:rsidRDefault="00891273" w:rsidP="00853785">
      <w:pPr>
        <w:pStyle w:val="Heading1"/>
        <w:numPr>
          <w:ilvl w:val="0"/>
          <w:numId w:val="26"/>
        </w:numPr>
        <w:tabs>
          <w:tab w:val="clear" w:pos="720"/>
          <w:tab w:val="left" w:pos="284"/>
        </w:tabs>
        <w:spacing w:before="120"/>
        <w:ind w:left="0" w:firstLine="0"/>
        <w:rPr>
          <w:rFonts w:ascii="Times New Roman Bold" w:hAnsi="Times New Roman Bold" w:cs="Times New Roman Bold"/>
          <w:caps w:val="0"/>
          <w:snapToGrid w:val="0"/>
          <w:kern w:val="22"/>
        </w:rPr>
      </w:pPr>
      <w:r>
        <w:rPr>
          <w:rFonts w:ascii="Times New Roman Bold" w:hAnsi="Times New Roman Bold" w:cs="Times New Roman Bold"/>
          <w:caps w:val="0"/>
          <w:snapToGrid w:val="0"/>
          <w:kern w:val="22"/>
        </w:rPr>
        <w:t>POST-2020 PROCESS</w:t>
      </w:r>
      <w:r w:rsidR="00F5149F">
        <w:rPr>
          <w:rFonts w:ascii="Times New Roman Bold" w:hAnsi="Times New Roman Bold" w:cs="Times New Roman Bold"/>
          <w:caps w:val="0"/>
          <w:snapToGrid w:val="0"/>
          <w:kern w:val="22"/>
        </w:rPr>
        <w:t>ES UNDER</w:t>
      </w:r>
      <w:r>
        <w:rPr>
          <w:rFonts w:ascii="Times New Roman Bold" w:hAnsi="Times New Roman Bold" w:cs="Times New Roman Bold"/>
          <w:caps w:val="0"/>
          <w:snapToGrid w:val="0"/>
          <w:kern w:val="22"/>
        </w:rPr>
        <w:t xml:space="preserve"> THE CARTAGENA PROTOCOL</w:t>
      </w:r>
    </w:p>
    <w:p w14:paraId="2C4F3A01" w14:textId="48BE300C" w:rsidR="00D245C5" w:rsidRPr="004D4352" w:rsidRDefault="00F00F06" w:rsidP="00853785">
      <w:pPr>
        <w:pStyle w:val="Para1"/>
        <w:tabs>
          <w:tab w:val="clear" w:pos="360"/>
        </w:tabs>
        <w:kinsoku w:val="0"/>
        <w:overflowPunct w:val="0"/>
        <w:autoSpaceDE w:val="0"/>
        <w:autoSpaceDN w:val="0"/>
        <w:adjustRightInd w:val="0"/>
        <w:snapToGrid w:val="0"/>
        <w:rPr>
          <w:shd w:val="clear" w:color="auto" w:fill="FFFFFF"/>
        </w:rPr>
      </w:pPr>
      <w:r>
        <w:rPr>
          <w:snapToGrid/>
          <w:kern w:val="22"/>
        </w:rPr>
        <w:t xml:space="preserve">In its decision </w:t>
      </w:r>
      <w:hyperlink r:id="rId14" w:history="1">
        <w:r w:rsidRPr="00567A09">
          <w:rPr>
            <w:rStyle w:val="Hyperlink"/>
            <w:snapToGrid/>
            <w:kern w:val="22"/>
            <w:sz w:val="22"/>
          </w:rPr>
          <w:t>BS-V/16</w:t>
        </w:r>
      </w:hyperlink>
      <w:r>
        <w:rPr>
          <w:snapToGrid/>
          <w:kern w:val="22"/>
        </w:rPr>
        <w:t xml:space="preserve">, </w:t>
      </w:r>
      <w:r w:rsidR="00567A09" w:rsidRPr="00C5715A">
        <w:rPr>
          <w:snapToGrid/>
          <w:kern w:val="22"/>
        </w:rPr>
        <w:t xml:space="preserve">the </w:t>
      </w:r>
      <w:r w:rsidR="00567A09">
        <w:rPr>
          <w:snapToGrid/>
          <w:kern w:val="22"/>
        </w:rPr>
        <w:t xml:space="preserve">Conference of the Parties serving as </w:t>
      </w:r>
      <w:r w:rsidR="00567A09" w:rsidRPr="00C5715A">
        <w:rPr>
          <w:snapToGrid/>
          <w:kern w:val="22"/>
        </w:rPr>
        <w:t>meeting of the Parties to the Cartagena Protocol</w:t>
      </w:r>
      <w:r w:rsidR="00567A09">
        <w:rPr>
          <w:snapToGrid/>
          <w:kern w:val="22"/>
        </w:rPr>
        <w:t xml:space="preserve"> </w:t>
      </w:r>
      <w:r>
        <w:rPr>
          <w:snapToGrid/>
          <w:kern w:val="22"/>
        </w:rPr>
        <w:t xml:space="preserve">adopted the </w:t>
      </w:r>
      <w:r w:rsidR="00625AEA" w:rsidRPr="00625AEA">
        <w:rPr>
          <w:snapToGrid/>
          <w:kern w:val="22"/>
        </w:rPr>
        <w:t>Strategic Plan for the Cartagena Protocol on Biosafety</w:t>
      </w:r>
      <w:r w:rsidR="0032640D">
        <w:rPr>
          <w:snapToGrid/>
          <w:kern w:val="22"/>
        </w:rPr>
        <w:t xml:space="preserve"> for the period </w:t>
      </w:r>
      <w:r w:rsidR="0032640D">
        <w:rPr>
          <w:snapToGrid/>
          <w:kern w:val="22"/>
        </w:rPr>
        <w:lastRenderedPageBreak/>
        <w:t>2011</w:t>
      </w:r>
      <w:r w:rsidR="00567A09">
        <w:rPr>
          <w:snapToGrid/>
          <w:kern w:val="22"/>
        </w:rPr>
        <w:noBreakHyphen/>
      </w:r>
      <w:r w:rsidR="0032640D">
        <w:rPr>
          <w:snapToGrid/>
          <w:kern w:val="22"/>
        </w:rPr>
        <w:t>2020</w:t>
      </w:r>
      <w:r w:rsidR="00692E64">
        <w:rPr>
          <w:snapToGrid/>
          <w:kern w:val="22"/>
        </w:rPr>
        <w:t xml:space="preserve"> (Strategic Plan)</w:t>
      </w:r>
      <w:r w:rsidR="00625AEA" w:rsidRPr="00625AEA">
        <w:rPr>
          <w:snapToGrid/>
          <w:kern w:val="22"/>
        </w:rPr>
        <w:t xml:space="preserve">, setting out objectives to be achieved by the year 2020. </w:t>
      </w:r>
      <w:r w:rsidR="0032640D">
        <w:rPr>
          <w:snapToGrid/>
          <w:kern w:val="22"/>
        </w:rPr>
        <w:t xml:space="preserve">In its decision </w:t>
      </w:r>
      <w:hyperlink r:id="rId15" w:history="1">
        <w:r w:rsidR="0032640D" w:rsidRPr="00567A09">
          <w:rPr>
            <w:rStyle w:val="Hyperlink"/>
            <w:snapToGrid/>
            <w:kern w:val="22"/>
            <w:sz w:val="22"/>
          </w:rPr>
          <w:t>BS-VI/3</w:t>
        </w:r>
      </w:hyperlink>
      <w:r w:rsidR="0032640D">
        <w:rPr>
          <w:snapToGrid/>
          <w:kern w:val="22"/>
        </w:rPr>
        <w:t>, i</w:t>
      </w:r>
      <w:r w:rsidR="00625AEA" w:rsidRPr="00625AEA">
        <w:rPr>
          <w:snapToGrid/>
          <w:kern w:val="22"/>
        </w:rPr>
        <w:t xml:space="preserve">n 2012, </w:t>
      </w:r>
      <w:r w:rsidR="00567A09" w:rsidRPr="00C5715A">
        <w:rPr>
          <w:snapToGrid/>
          <w:kern w:val="22"/>
        </w:rPr>
        <w:t xml:space="preserve">the </w:t>
      </w:r>
      <w:r w:rsidR="00567A09">
        <w:rPr>
          <w:snapToGrid/>
          <w:kern w:val="22"/>
        </w:rPr>
        <w:t xml:space="preserve">Conference of the Parties serving as </w:t>
      </w:r>
      <w:r w:rsidR="00567A09" w:rsidRPr="00C5715A">
        <w:rPr>
          <w:snapToGrid/>
          <w:kern w:val="22"/>
        </w:rPr>
        <w:t>meeting of the Parties to the Cartagena Protocol</w:t>
      </w:r>
      <w:r w:rsidR="00567A09">
        <w:rPr>
          <w:snapToGrid/>
          <w:kern w:val="22"/>
        </w:rPr>
        <w:t xml:space="preserve"> </w:t>
      </w:r>
      <w:r w:rsidR="00625AEA" w:rsidRPr="00625AEA">
        <w:rPr>
          <w:snapToGrid/>
          <w:kern w:val="22"/>
        </w:rPr>
        <w:t xml:space="preserve">adopted the Framework and Action Plan for Capacity-Building for the Effective Implementation of the Cartagena Protocol on Biosafety, to support Parties in their efforts to give effect to the Strategic Plan and to support the implementation of the Protocol. </w:t>
      </w:r>
      <w:r w:rsidR="00E55172">
        <w:rPr>
          <w:snapToGrid/>
          <w:kern w:val="22"/>
        </w:rPr>
        <w:t>T</w:t>
      </w:r>
      <w:r w:rsidR="0086292C">
        <w:rPr>
          <w:snapToGrid/>
          <w:kern w:val="22"/>
        </w:rPr>
        <w:t xml:space="preserve">hese </w:t>
      </w:r>
      <w:r w:rsidR="006F7A6B">
        <w:rPr>
          <w:snapToGrid/>
          <w:kern w:val="22"/>
        </w:rPr>
        <w:t>plans</w:t>
      </w:r>
      <w:r w:rsidR="006F7A6B" w:rsidRPr="00625AEA">
        <w:rPr>
          <w:snapToGrid/>
          <w:kern w:val="22"/>
        </w:rPr>
        <w:t xml:space="preserve"> </w:t>
      </w:r>
      <w:r w:rsidR="00625AEA" w:rsidRPr="00625AEA">
        <w:rPr>
          <w:snapToGrid/>
          <w:kern w:val="22"/>
        </w:rPr>
        <w:t>come to an end in 2020</w:t>
      </w:r>
      <w:r w:rsidR="00465D50">
        <w:rPr>
          <w:snapToGrid/>
          <w:kern w:val="22"/>
        </w:rPr>
        <w:t>.</w:t>
      </w:r>
    </w:p>
    <w:p w14:paraId="38412C8C" w14:textId="47FB5AE9" w:rsidR="0099471B" w:rsidRPr="004D4352" w:rsidRDefault="00465D50" w:rsidP="00853785">
      <w:pPr>
        <w:pStyle w:val="Para1"/>
        <w:tabs>
          <w:tab w:val="clear" w:pos="360"/>
        </w:tabs>
        <w:kinsoku w:val="0"/>
        <w:overflowPunct w:val="0"/>
        <w:autoSpaceDE w:val="0"/>
        <w:autoSpaceDN w:val="0"/>
        <w:adjustRightInd w:val="0"/>
        <w:snapToGrid w:val="0"/>
        <w:rPr>
          <w:shd w:val="clear" w:color="auto" w:fill="FFFFFF"/>
        </w:rPr>
      </w:pPr>
      <w:r>
        <w:rPr>
          <w:snapToGrid/>
          <w:kern w:val="22"/>
        </w:rPr>
        <w:t xml:space="preserve">In this light, </w:t>
      </w:r>
      <w:r w:rsidR="00567A09" w:rsidRPr="00C5715A">
        <w:rPr>
          <w:snapToGrid/>
          <w:kern w:val="22"/>
        </w:rPr>
        <w:t xml:space="preserve">the </w:t>
      </w:r>
      <w:r w:rsidR="00567A09">
        <w:rPr>
          <w:snapToGrid/>
          <w:kern w:val="22"/>
        </w:rPr>
        <w:t xml:space="preserve">Conference of the Parties serving as </w:t>
      </w:r>
      <w:r w:rsidR="00567A09" w:rsidRPr="00C5715A">
        <w:rPr>
          <w:snapToGrid/>
          <w:kern w:val="22"/>
        </w:rPr>
        <w:t>meeting of the Parties to the Cartagena Protocol</w:t>
      </w:r>
      <w:r w:rsidR="00A06C7D">
        <w:rPr>
          <w:snapToGrid/>
          <w:kern w:val="22"/>
        </w:rPr>
        <w:t>, at its ninth meeting,</w:t>
      </w:r>
      <w:r w:rsidR="0035015E">
        <w:rPr>
          <w:snapToGrid/>
          <w:kern w:val="22"/>
        </w:rPr>
        <w:t xml:space="preserve"> decided </w:t>
      </w:r>
      <w:r w:rsidR="002926E9">
        <w:rPr>
          <w:snapToGrid/>
          <w:kern w:val="22"/>
        </w:rPr>
        <w:t xml:space="preserve">to develop </w:t>
      </w:r>
      <w:r w:rsidR="0089574E">
        <w:rPr>
          <w:snapToGrid/>
          <w:kern w:val="22"/>
        </w:rPr>
        <w:t xml:space="preserve">follow-up </w:t>
      </w:r>
      <w:r w:rsidR="00BD3013">
        <w:rPr>
          <w:snapToGrid/>
          <w:kern w:val="22"/>
        </w:rPr>
        <w:t xml:space="preserve">documents </w:t>
      </w:r>
      <w:r w:rsidR="002926E9">
        <w:rPr>
          <w:snapToGrid/>
          <w:kern w:val="22"/>
        </w:rPr>
        <w:t>covering the period beyond 2020</w:t>
      </w:r>
      <w:r w:rsidR="0089574E">
        <w:rPr>
          <w:snapToGrid/>
          <w:kern w:val="22"/>
        </w:rPr>
        <w:t xml:space="preserve"> and </w:t>
      </w:r>
      <w:r w:rsidR="00D93435">
        <w:rPr>
          <w:snapToGrid/>
          <w:kern w:val="22"/>
        </w:rPr>
        <w:t xml:space="preserve">agreed </w:t>
      </w:r>
      <w:r w:rsidR="00722464">
        <w:rPr>
          <w:snapToGrid/>
          <w:kern w:val="22"/>
        </w:rPr>
        <w:t xml:space="preserve">to </w:t>
      </w:r>
      <w:r w:rsidR="0089574E">
        <w:rPr>
          <w:snapToGrid/>
          <w:kern w:val="22"/>
        </w:rPr>
        <w:t>process</w:t>
      </w:r>
      <w:r w:rsidR="00722464">
        <w:rPr>
          <w:snapToGrid/>
          <w:kern w:val="22"/>
        </w:rPr>
        <w:t>es</w:t>
      </w:r>
      <w:r w:rsidR="0089574E">
        <w:rPr>
          <w:snapToGrid/>
          <w:kern w:val="22"/>
        </w:rPr>
        <w:t xml:space="preserve"> for the development</w:t>
      </w:r>
      <w:r w:rsidR="00722464">
        <w:rPr>
          <w:snapToGrid/>
          <w:kern w:val="22"/>
        </w:rPr>
        <w:t xml:space="preserve"> of</w:t>
      </w:r>
      <w:r w:rsidR="00567A09">
        <w:rPr>
          <w:snapToGrid/>
          <w:kern w:val="22"/>
        </w:rPr>
        <w:t xml:space="preserve"> the following</w:t>
      </w:r>
      <w:r w:rsidR="00722464">
        <w:rPr>
          <w:snapToGrid/>
          <w:kern w:val="22"/>
        </w:rPr>
        <w:t>:</w:t>
      </w:r>
    </w:p>
    <w:p w14:paraId="1A88DFFB" w14:textId="7CBCDA45" w:rsidR="006F7A6B" w:rsidRPr="003C4AB0" w:rsidRDefault="006F7A6B" w:rsidP="003C4AB0">
      <w:pPr>
        <w:pStyle w:val="Para1"/>
        <w:numPr>
          <w:ilvl w:val="1"/>
          <w:numId w:val="4"/>
        </w:numPr>
        <w:kinsoku w:val="0"/>
        <w:overflowPunct w:val="0"/>
        <w:autoSpaceDE w:val="0"/>
        <w:autoSpaceDN w:val="0"/>
        <w:adjustRightInd w:val="0"/>
        <w:snapToGrid w:val="0"/>
        <w:rPr>
          <w:shd w:val="clear" w:color="auto" w:fill="FFFFFF"/>
        </w:rPr>
      </w:pPr>
      <w:r>
        <w:rPr>
          <w:snapToGrid/>
          <w:kern w:val="22"/>
        </w:rPr>
        <w:t xml:space="preserve">A specific post-2020 Implementation Plan for the Cartagena Protocol on Biosafety </w:t>
      </w:r>
      <w:r w:rsidR="00C028A7">
        <w:rPr>
          <w:snapToGrid/>
          <w:kern w:val="22"/>
        </w:rPr>
        <w:t>(Implementation Plan)</w:t>
      </w:r>
      <w:r>
        <w:rPr>
          <w:snapToGrid/>
          <w:kern w:val="22"/>
        </w:rPr>
        <w:t>;</w:t>
      </w:r>
    </w:p>
    <w:p w14:paraId="74EA83B8" w14:textId="10DB7FDA" w:rsidR="006F7A6B" w:rsidRPr="003C4AB0" w:rsidRDefault="006F7A6B" w:rsidP="003C4AB0">
      <w:pPr>
        <w:pStyle w:val="Para1"/>
        <w:numPr>
          <w:ilvl w:val="1"/>
          <w:numId w:val="4"/>
        </w:numPr>
        <w:kinsoku w:val="0"/>
        <w:overflowPunct w:val="0"/>
        <w:autoSpaceDE w:val="0"/>
        <w:autoSpaceDN w:val="0"/>
        <w:adjustRightInd w:val="0"/>
        <w:snapToGrid w:val="0"/>
        <w:rPr>
          <w:shd w:val="clear" w:color="auto" w:fill="FFFFFF"/>
        </w:rPr>
      </w:pPr>
      <w:r>
        <w:rPr>
          <w:snapToGrid/>
          <w:kern w:val="22"/>
        </w:rPr>
        <w:t xml:space="preserve">A specific action plan for capacity-building for implementation of the Cartagena Protocol and the Nagoya – Kuala Lumpur Supplementary Protocol on Liability and Redress </w:t>
      </w:r>
      <w:r w:rsidR="00C028A7">
        <w:rPr>
          <w:snapToGrid/>
          <w:kern w:val="22"/>
        </w:rPr>
        <w:t xml:space="preserve">(post-2020 </w:t>
      </w:r>
      <w:r w:rsidR="00DE51A6">
        <w:rPr>
          <w:snapToGrid/>
          <w:kern w:val="22"/>
        </w:rPr>
        <w:t>Capacity</w:t>
      </w:r>
      <w:r w:rsidR="007B3A70">
        <w:rPr>
          <w:snapToGrid/>
          <w:kern w:val="22"/>
        </w:rPr>
        <w:t>-</w:t>
      </w:r>
      <w:r w:rsidR="00DE51A6">
        <w:rPr>
          <w:snapToGrid/>
          <w:kern w:val="22"/>
        </w:rPr>
        <w:t xml:space="preserve">Building </w:t>
      </w:r>
      <w:r w:rsidR="009237E0">
        <w:rPr>
          <w:snapToGrid/>
          <w:kern w:val="22"/>
        </w:rPr>
        <w:t>A</w:t>
      </w:r>
      <w:r w:rsidR="00C028A7">
        <w:rPr>
          <w:snapToGrid/>
          <w:kern w:val="22"/>
        </w:rPr>
        <w:t xml:space="preserve">ction </w:t>
      </w:r>
      <w:r w:rsidR="009237E0">
        <w:rPr>
          <w:snapToGrid/>
          <w:kern w:val="22"/>
        </w:rPr>
        <w:t>P</w:t>
      </w:r>
      <w:r w:rsidR="00C028A7">
        <w:rPr>
          <w:snapToGrid/>
          <w:kern w:val="22"/>
        </w:rPr>
        <w:t>lan)</w:t>
      </w:r>
      <w:r>
        <w:rPr>
          <w:snapToGrid/>
          <w:kern w:val="22"/>
        </w:rPr>
        <w:t>;</w:t>
      </w:r>
    </w:p>
    <w:p w14:paraId="66A5DC32" w14:textId="2682A7E6" w:rsidR="006F7A6B" w:rsidRPr="003C4AB0" w:rsidRDefault="006F7A6B" w:rsidP="003C4AB0">
      <w:pPr>
        <w:pStyle w:val="Para1"/>
        <w:numPr>
          <w:ilvl w:val="1"/>
          <w:numId w:val="4"/>
        </w:numPr>
        <w:kinsoku w:val="0"/>
        <w:overflowPunct w:val="0"/>
        <w:autoSpaceDE w:val="0"/>
        <w:autoSpaceDN w:val="0"/>
        <w:adjustRightInd w:val="0"/>
        <w:snapToGrid w:val="0"/>
        <w:rPr>
          <w:shd w:val="clear" w:color="auto" w:fill="FFFFFF"/>
        </w:rPr>
      </w:pPr>
      <w:r>
        <w:rPr>
          <w:snapToGrid/>
          <w:kern w:val="22"/>
        </w:rPr>
        <w:t>A biosafety component for the post-2020 global biodiversity framework.</w:t>
      </w:r>
    </w:p>
    <w:p w14:paraId="59EC8149" w14:textId="4FC4948D" w:rsidR="006F7A6B" w:rsidRDefault="004D4352" w:rsidP="003C4AB0">
      <w:pPr>
        <w:pStyle w:val="Para1"/>
        <w:tabs>
          <w:tab w:val="clear" w:pos="360"/>
        </w:tabs>
        <w:rPr>
          <w:shd w:val="clear" w:color="auto" w:fill="FFFFFF"/>
        </w:rPr>
      </w:pPr>
      <w:r>
        <w:rPr>
          <w:shd w:val="clear" w:color="auto" w:fill="FFFFFF"/>
        </w:rPr>
        <w:t>An overview of t</w:t>
      </w:r>
      <w:r w:rsidR="006F7A6B">
        <w:rPr>
          <w:shd w:val="clear" w:color="auto" w:fill="FFFFFF"/>
        </w:rPr>
        <w:t xml:space="preserve">he steps in these processes </w:t>
      </w:r>
      <w:r>
        <w:rPr>
          <w:shd w:val="clear" w:color="auto" w:fill="FFFFFF"/>
        </w:rPr>
        <w:t>is</w:t>
      </w:r>
      <w:r w:rsidR="00722464">
        <w:rPr>
          <w:shd w:val="clear" w:color="auto" w:fill="FFFFFF"/>
        </w:rPr>
        <w:t xml:space="preserve"> set out </w:t>
      </w:r>
      <w:r>
        <w:rPr>
          <w:shd w:val="clear" w:color="auto" w:fill="FFFFFF"/>
        </w:rPr>
        <w:t xml:space="preserve">in sub-section A </w:t>
      </w:r>
      <w:r w:rsidR="00722464">
        <w:rPr>
          <w:shd w:val="clear" w:color="auto" w:fill="FFFFFF"/>
        </w:rPr>
        <w:t>below.</w:t>
      </w:r>
      <w:r>
        <w:rPr>
          <w:shd w:val="clear" w:color="auto" w:fill="FFFFFF"/>
        </w:rPr>
        <w:t xml:space="preserve"> Sub-section B summarizes the </w:t>
      </w:r>
      <w:proofErr w:type="gramStart"/>
      <w:r>
        <w:rPr>
          <w:shd w:val="clear" w:color="auto" w:fill="FFFFFF"/>
        </w:rPr>
        <w:t>current status</w:t>
      </w:r>
      <w:proofErr w:type="gramEnd"/>
      <w:r>
        <w:rPr>
          <w:shd w:val="clear" w:color="auto" w:fill="FFFFFF"/>
        </w:rPr>
        <w:t xml:space="preserve"> of these processes.</w:t>
      </w:r>
      <w:r w:rsidR="003C0217">
        <w:rPr>
          <w:shd w:val="clear" w:color="auto" w:fill="FFFFFF"/>
        </w:rPr>
        <w:t xml:space="preserve"> Table 1 below also summarizes the different steps in these processes.</w:t>
      </w:r>
    </w:p>
    <w:p w14:paraId="23A7FAB6" w14:textId="427D09CA" w:rsidR="00D245C5" w:rsidRPr="00853785" w:rsidRDefault="00D245C5" w:rsidP="00853785">
      <w:pPr>
        <w:pStyle w:val="Heading2"/>
        <w:rPr>
          <w:i w:val="0"/>
          <w:shd w:val="clear" w:color="auto" w:fill="FFFFFF"/>
        </w:rPr>
      </w:pPr>
      <w:r w:rsidRPr="00853785">
        <w:rPr>
          <w:i w:val="0"/>
          <w:shd w:val="clear" w:color="auto" w:fill="FFFFFF"/>
        </w:rPr>
        <w:t>A.</w:t>
      </w:r>
      <w:r w:rsidRPr="00853785">
        <w:rPr>
          <w:i w:val="0"/>
          <w:shd w:val="clear" w:color="auto" w:fill="FFFFFF"/>
        </w:rPr>
        <w:tab/>
        <w:t xml:space="preserve">Overview of the </w:t>
      </w:r>
      <w:r w:rsidR="009714DA" w:rsidRPr="00853785">
        <w:rPr>
          <w:i w:val="0"/>
          <w:shd w:val="clear" w:color="auto" w:fill="FFFFFF"/>
        </w:rPr>
        <w:t xml:space="preserve">post-2020 </w:t>
      </w:r>
      <w:r w:rsidRPr="00853785">
        <w:rPr>
          <w:i w:val="0"/>
          <w:shd w:val="clear" w:color="auto" w:fill="FFFFFF"/>
        </w:rPr>
        <w:t xml:space="preserve">processes </w:t>
      </w:r>
      <w:r w:rsidR="00883177" w:rsidRPr="00853785">
        <w:rPr>
          <w:i w:val="0"/>
          <w:shd w:val="clear" w:color="auto" w:fill="FFFFFF"/>
        </w:rPr>
        <w:t>under the Cartagena Protocol</w:t>
      </w:r>
    </w:p>
    <w:p w14:paraId="0289662A" w14:textId="57B47780" w:rsidR="00EF19D6" w:rsidRDefault="003F15F9" w:rsidP="00853785">
      <w:pPr>
        <w:pStyle w:val="Heading3"/>
        <w:rPr>
          <w:shd w:val="clear" w:color="auto" w:fill="FFFFFF"/>
        </w:rPr>
      </w:pPr>
      <w:r>
        <w:rPr>
          <w:shd w:val="clear" w:color="auto" w:fill="FFFFFF"/>
        </w:rPr>
        <w:t>1.</w:t>
      </w:r>
      <w:r>
        <w:rPr>
          <w:shd w:val="clear" w:color="auto" w:fill="FFFFFF"/>
        </w:rPr>
        <w:tab/>
      </w:r>
      <w:r w:rsidR="00EF19D6">
        <w:rPr>
          <w:shd w:val="clear" w:color="auto" w:fill="FFFFFF"/>
        </w:rPr>
        <w:t>Biosafety component of the post-2020 framework</w:t>
      </w:r>
    </w:p>
    <w:p w14:paraId="48556EC5" w14:textId="01C2611C" w:rsidR="005748E4" w:rsidRPr="005748E4" w:rsidRDefault="006F7A6B" w:rsidP="003C4AB0">
      <w:pPr>
        <w:pStyle w:val="Para1"/>
        <w:tabs>
          <w:tab w:val="clear" w:pos="360"/>
        </w:tabs>
        <w:rPr>
          <w:shd w:val="clear" w:color="auto" w:fill="FFFFFF"/>
        </w:rPr>
      </w:pPr>
      <w:r>
        <w:rPr>
          <w:shd w:val="clear" w:color="auto" w:fill="FFFFFF"/>
        </w:rPr>
        <w:t>Of most relevance for the consultation is the work towards the biosafety component for the post</w:t>
      </w:r>
      <w:r w:rsidR="00FB448D">
        <w:rPr>
          <w:shd w:val="clear" w:color="auto" w:fill="FFFFFF"/>
        </w:rPr>
        <w:noBreakHyphen/>
      </w:r>
      <w:r>
        <w:rPr>
          <w:shd w:val="clear" w:color="auto" w:fill="FFFFFF"/>
        </w:rPr>
        <w:t>2020 global biodiversity framework.</w:t>
      </w:r>
      <w:r w:rsidR="00EF19D6">
        <w:rPr>
          <w:shd w:val="clear" w:color="auto" w:fill="FFFFFF"/>
        </w:rPr>
        <w:t xml:space="preserve"> </w:t>
      </w:r>
      <w:r w:rsidR="00171695">
        <w:rPr>
          <w:shd w:val="clear" w:color="auto" w:fill="FFFFFF"/>
        </w:rPr>
        <w:t xml:space="preserve">In its decision CP-9/7, </w:t>
      </w:r>
      <w:r w:rsidR="00171695">
        <w:rPr>
          <w:snapToGrid/>
          <w:kern w:val="22"/>
        </w:rPr>
        <w:t>t</w:t>
      </w:r>
      <w:r w:rsidR="00FA5A56">
        <w:rPr>
          <w:snapToGrid/>
          <w:kern w:val="22"/>
        </w:rPr>
        <w:t xml:space="preserve">he </w:t>
      </w:r>
      <w:r w:rsidR="00FB448D">
        <w:rPr>
          <w:snapToGrid/>
          <w:kern w:val="22"/>
        </w:rPr>
        <w:t xml:space="preserve">Conference of the Parties serving as </w:t>
      </w:r>
      <w:r w:rsidR="00FB448D" w:rsidRPr="00C5715A">
        <w:rPr>
          <w:snapToGrid/>
          <w:kern w:val="22"/>
        </w:rPr>
        <w:t>meeting of the Parties to the Cartagena Protocol</w:t>
      </w:r>
      <w:r w:rsidR="00FB448D">
        <w:rPr>
          <w:snapToGrid/>
          <w:kern w:val="22"/>
        </w:rPr>
        <w:t xml:space="preserve"> </w:t>
      </w:r>
      <w:r w:rsidR="003B3013">
        <w:rPr>
          <w:snapToGrid/>
          <w:kern w:val="22"/>
        </w:rPr>
        <w:t>stressed the importance of including biosafety in the post</w:t>
      </w:r>
      <w:r w:rsidR="00FB448D">
        <w:rPr>
          <w:snapToGrid/>
          <w:kern w:val="22"/>
        </w:rPr>
        <w:noBreakHyphen/>
      </w:r>
      <w:r w:rsidR="003B3013">
        <w:rPr>
          <w:snapToGrid/>
          <w:kern w:val="22"/>
        </w:rPr>
        <w:t>2020 global biodiversity framework</w:t>
      </w:r>
      <w:r w:rsidR="00D17C64">
        <w:rPr>
          <w:snapToGrid/>
          <w:kern w:val="22"/>
        </w:rPr>
        <w:t>.</w:t>
      </w:r>
      <w:r w:rsidR="004A1FDC">
        <w:rPr>
          <w:snapToGrid/>
          <w:kern w:val="22"/>
        </w:rPr>
        <w:t xml:space="preserve"> </w:t>
      </w:r>
      <w:r w:rsidR="005748E4">
        <w:rPr>
          <w:snapToGrid/>
          <w:kern w:val="22"/>
        </w:rPr>
        <w:t xml:space="preserve"> </w:t>
      </w:r>
    </w:p>
    <w:p w14:paraId="5ACA2CE8" w14:textId="18828A2F" w:rsidR="00EF19D6" w:rsidRPr="00171695" w:rsidRDefault="0003087E" w:rsidP="00171695">
      <w:pPr>
        <w:pStyle w:val="Para1"/>
        <w:tabs>
          <w:tab w:val="clear" w:pos="360"/>
        </w:tabs>
        <w:kinsoku w:val="0"/>
        <w:overflowPunct w:val="0"/>
        <w:autoSpaceDE w:val="0"/>
        <w:autoSpaceDN w:val="0"/>
        <w:adjustRightInd w:val="0"/>
        <w:snapToGrid w:val="0"/>
        <w:rPr>
          <w:shd w:val="clear" w:color="auto" w:fill="FFFFFF"/>
        </w:rPr>
      </w:pPr>
      <w:r>
        <w:rPr>
          <w:snapToGrid/>
          <w:kern w:val="22"/>
        </w:rPr>
        <w:t>T</w:t>
      </w:r>
      <w:r w:rsidR="009C64DD">
        <w:rPr>
          <w:snapToGrid/>
          <w:kern w:val="22"/>
        </w:rPr>
        <w:t xml:space="preserve">he </w:t>
      </w:r>
      <w:r w:rsidR="00FB448D">
        <w:rPr>
          <w:snapToGrid/>
          <w:kern w:val="22"/>
        </w:rPr>
        <w:t xml:space="preserve">Conference of the Parties serving as </w:t>
      </w:r>
      <w:r w:rsidR="00FB448D" w:rsidRPr="00C5715A">
        <w:rPr>
          <w:snapToGrid/>
          <w:kern w:val="22"/>
        </w:rPr>
        <w:t>meeting of the Parties to the Cartagena Protocol</w:t>
      </w:r>
      <w:r w:rsidR="00FB448D">
        <w:rPr>
          <w:snapToGrid/>
          <w:kern w:val="22"/>
        </w:rPr>
        <w:t xml:space="preserve"> </w:t>
      </w:r>
      <w:r w:rsidR="0007084B">
        <w:rPr>
          <w:snapToGrid/>
          <w:kern w:val="22"/>
        </w:rPr>
        <w:t xml:space="preserve">invited </w:t>
      </w:r>
      <w:r w:rsidR="009C64DD">
        <w:rPr>
          <w:snapToGrid/>
          <w:kern w:val="22"/>
        </w:rPr>
        <w:t>P</w:t>
      </w:r>
      <w:r w:rsidR="009C64DD" w:rsidRPr="001415DE">
        <w:t>arties, other Governments, indigenous peoples and local communities</w:t>
      </w:r>
      <w:r w:rsidR="003B615E">
        <w:t xml:space="preserve"> </w:t>
      </w:r>
      <w:r w:rsidR="009C64DD" w:rsidRPr="001415DE">
        <w:t xml:space="preserve">and relevant </w:t>
      </w:r>
      <w:r w:rsidR="009C64DD" w:rsidRPr="00AB6F8F">
        <w:t>organizations to provide views on</w:t>
      </w:r>
      <w:r w:rsidR="00B07A46">
        <w:t xml:space="preserve"> the</w:t>
      </w:r>
      <w:r w:rsidR="009C64DD" w:rsidRPr="00AB6F8F">
        <w:t xml:space="preserve"> relevant elements of the biosafety component of the post-2020 global biodiversity framework.</w:t>
      </w:r>
      <w:r w:rsidR="00AD45E8">
        <w:t xml:space="preserve"> </w:t>
      </w:r>
    </w:p>
    <w:p w14:paraId="01144E16" w14:textId="62FBE771" w:rsidR="002B0CB0" w:rsidRDefault="00437317" w:rsidP="00853785">
      <w:pPr>
        <w:pStyle w:val="Para1"/>
        <w:tabs>
          <w:tab w:val="clear" w:pos="360"/>
        </w:tabs>
        <w:kinsoku w:val="0"/>
        <w:overflowPunct w:val="0"/>
        <w:autoSpaceDE w:val="0"/>
        <w:autoSpaceDN w:val="0"/>
        <w:adjustRightInd w:val="0"/>
        <w:snapToGrid w:val="0"/>
        <w:rPr>
          <w:shd w:val="clear" w:color="auto" w:fill="FFFFFF"/>
        </w:rPr>
      </w:pPr>
      <w:r>
        <w:rPr>
          <w:shd w:val="clear" w:color="auto" w:fill="FFFFFF"/>
        </w:rPr>
        <w:t xml:space="preserve">The </w:t>
      </w:r>
      <w:r w:rsidR="00FB448D">
        <w:rPr>
          <w:snapToGrid/>
          <w:kern w:val="22"/>
        </w:rPr>
        <w:t xml:space="preserve">Conference of the Parties serving as </w:t>
      </w:r>
      <w:r w:rsidR="00FB448D" w:rsidRPr="00C5715A">
        <w:rPr>
          <w:snapToGrid/>
          <w:kern w:val="22"/>
        </w:rPr>
        <w:t>meeting of the Parties to the Cartagena Protocol</w:t>
      </w:r>
      <w:r w:rsidR="00110EBC">
        <w:rPr>
          <w:shd w:val="clear" w:color="auto" w:fill="FFFFFF"/>
        </w:rPr>
        <w:t xml:space="preserve"> </w:t>
      </w:r>
      <w:r w:rsidR="004D4602">
        <w:rPr>
          <w:shd w:val="clear" w:color="auto" w:fill="FFFFFF"/>
        </w:rPr>
        <w:t>requested the Executive Secretary to convene a face-to-face meeting of the Liaison Group</w:t>
      </w:r>
      <w:r w:rsidR="00125AB8">
        <w:rPr>
          <w:shd w:val="clear" w:color="auto" w:fill="FFFFFF"/>
        </w:rPr>
        <w:t xml:space="preserve"> for the Cartagena Protocol</w:t>
      </w:r>
      <w:r w:rsidR="004D4602">
        <w:rPr>
          <w:shd w:val="clear" w:color="auto" w:fill="FFFFFF"/>
        </w:rPr>
        <w:t>, to be held in 2019, to prepare a draft of the biosafety component in the post-2020 global biodiversity framework</w:t>
      </w:r>
      <w:r w:rsidR="00D93A34">
        <w:rPr>
          <w:shd w:val="clear" w:color="auto" w:fill="FFFFFF"/>
        </w:rPr>
        <w:t>.</w:t>
      </w:r>
      <w:r w:rsidR="004D4602">
        <w:rPr>
          <w:shd w:val="clear" w:color="auto" w:fill="FFFFFF"/>
        </w:rPr>
        <w:t xml:space="preserve"> </w:t>
      </w:r>
      <w:r w:rsidR="00366FB0">
        <w:rPr>
          <w:shd w:val="clear" w:color="auto" w:fill="FFFFFF"/>
        </w:rPr>
        <w:t xml:space="preserve">This </w:t>
      </w:r>
      <w:r w:rsidR="00C8505B">
        <w:rPr>
          <w:shd w:val="clear" w:color="auto" w:fill="FFFFFF"/>
        </w:rPr>
        <w:t xml:space="preserve">meeting of the Liaison Group is tentatively planned for </w:t>
      </w:r>
      <w:r w:rsidR="00365399">
        <w:rPr>
          <w:shd w:val="clear" w:color="auto" w:fill="FFFFFF"/>
        </w:rPr>
        <w:t>22-25 October 2019.</w:t>
      </w:r>
    </w:p>
    <w:p w14:paraId="0D177A9B" w14:textId="5951B8C4" w:rsidR="00E275F4" w:rsidRDefault="0011387A" w:rsidP="00853785">
      <w:pPr>
        <w:pStyle w:val="Para1"/>
        <w:tabs>
          <w:tab w:val="clear" w:pos="360"/>
        </w:tabs>
        <w:kinsoku w:val="0"/>
        <w:overflowPunct w:val="0"/>
        <w:autoSpaceDE w:val="0"/>
        <w:autoSpaceDN w:val="0"/>
        <w:adjustRightInd w:val="0"/>
        <w:snapToGrid w:val="0"/>
        <w:rPr>
          <w:shd w:val="clear" w:color="auto" w:fill="FFFFFF"/>
        </w:rPr>
      </w:pPr>
      <w:r>
        <w:rPr>
          <w:shd w:val="clear" w:color="auto" w:fill="FFFFFF"/>
        </w:rPr>
        <w:t>Th</w:t>
      </w:r>
      <w:r w:rsidR="002C27D0">
        <w:rPr>
          <w:shd w:val="clear" w:color="auto" w:fill="FFFFFF"/>
        </w:rPr>
        <w:t xml:space="preserve">e </w:t>
      </w:r>
      <w:r w:rsidR="00FB448D">
        <w:rPr>
          <w:snapToGrid/>
          <w:kern w:val="22"/>
        </w:rPr>
        <w:t xml:space="preserve">Conference of the Parties serving as </w:t>
      </w:r>
      <w:r w:rsidR="00FB448D" w:rsidRPr="00C5715A">
        <w:rPr>
          <w:snapToGrid/>
          <w:kern w:val="22"/>
        </w:rPr>
        <w:t>meeting of the Parties to the Cartagena Protocol</w:t>
      </w:r>
      <w:r w:rsidR="00FB448D">
        <w:rPr>
          <w:snapToGrid/>
          <w:kern w:val="22"/>
        </w:rPr>
        <w:t xml:space="preserve"> </w:t>
      </w:r>
      <w:r w:rsidR="00125AB8">
        <w:rPr>
          <w:shd w:val="clear" w:color="auto" w:fill="FFFFFF"/>
        </w:rPr>
        <w:t>also</w:t>
      </w:r>
      <w:r w:rsidR="002C27D0">
        <w:rPr>
          <w:shd w:val="clear" w:color="auto" w:fill="FFFFFF"/>
        </w:rPr>
        <w:t xml:space="preserve"> requested the Executive Secretary to work with the co-chairs of the Liaison Group and the </w:t>
      </w:r>
      <w:r w:rsidR="00FB448D">
        <w:rPr>
          <w:shd w:val="clear" w:color="auto" w:fill="FFFFFF"/>
        </w:rPr>
        <w:t>C</w:t>
      </w:r>
      <w:r w:rsidR="002C27D0">
        <w:rPr>
          <w:shd w:val="clear" w:color="auto" w:fill="FFFFFF"/>
        </w:rPr>
        <w:t>o-</w:t>
      </w:r>
      <w:r w:rsidR="00FB448D">
        <w:rPr>
          <w:shd w:val="clear" w:color="auto" w:fill="FFFFFF"/>
        </w:rPr>
        <w:t>C</w:t>
      </w:r>
      <w:r w:rsidR="002C27D0">
        <w:rPr>
          <w:shd w:val="clear" w:color="auto" w:fill="FFFFFF"/>
        </w:rPr>
        <w:t xml:space="preserve">hairs of the </w:t>
      </w:r>
      <w:r w:rsidR="00B75CB4">
        <w:rPr>
          <w:shd w:val="clear" w:color="auto" w:fill="FFFFFF"/>
        </w:rPr>
        <w:t xml:space="preserve">Open-ended </w:t>
      </w:r>
      <w:r w:rsidR="00FB448D">
        <w:rPr>
          <w:shd w:val="clear" w:color="auto" w:fill="FFFFFF"/>
        </w:rPr>
        <w:t xml:space="preserve">Working Group on the Post-2020 Global Biodiversity Framework </w:t>
      </w:r>
      <w:r w:rsidR="002C27D0">
        <w:rPr>
          <w:shd w:val="clear" w:color="auto" w:fill="FFFFFF"/>
        </w:rPr>
        <w:t xml:space="preserve">to develop clear complementary timelines </w:t>
      </w:r>
      <w:proofErr w:type="gramStart"/>
      <w:r w:rsidR="002C27D0">
        <w:rPr>
          <w:shd w:val="clear" w:color="auto" w:fill="FFFFFF"/>
        </w:rPr>
        <w:t>with regard to</w:t>
      </w:r>
      <w:proofErr w:type="gramEnd"/>
      <w:r w:rsidR="002C27D0">
        <w:rPr>
          <w:shd w:val="clear" w:color="auto" w:fill="FFFFFF"/>
        </w:rPr>
        <w:t xml:space="preserve"> the contribution of the Parties to the Protocol on the relevant elements for the post-2020 global biodiversity framework.</w:t>
      </w:r>
      <w:r w:rsidR="00E275F4">
        <w:rPr>
          <w:shd w:val="clear" w:color="auto" w:fill="FFFFFF"/>
        </w:rPr>
        <w:t xml:space="preserve"> </w:t>
      </w:r>
    </w:p>
    <w:p w14:paraId="67DF9DDF" w14:textId="003AD25D" w:rsidR="003D43B5" w:rsidRDefault="003F15F9" w:rsidP="00853785">
      <w:pPr>
        <w:pStyle w:val="Heading3"/>
        <w:rPr>
          <w:shd w:val="clear" w:color="auto" w:fill="FFFFFF"/>
        </w:rPr>
      </w:pPr>
      <w:bookmarkStart w:id="2" w:name="_Hlk12959948"/>
      <w:r>
        <w:rPr>
          <w:shd w:val="clear" w:color="auto" w:fill="FFFFFF"/>
        </w:rPr>
        <w:t>2.</w:t>
      </w:r>
      <w:r>
        <w:rPr>
          <w:shd w:val="clear" w:color="auto" w:fill="FFFFFF"/>
        </w:rPr>
        <w:tab/>
      </w:r>
      <w:r w:rsidR="009A00BE">
        <w:rPr>
          <w:shd w:val="clear" w:color="auto" w:fill="FFFFFF"/>
        </w:rPr>
        <w:t xml:space="preserve">Post-2020 </w:t>
      </w:r>
      <w:r w:rsidR="00FB448D">
        <w:rPr>
          <w:shd w:val="clear" w:color="auto" w:fill="FFFFFF"/>
        </w:rPr>
        <w:t>i</w:t>
      </w:r>
      <w:r w:rsidR="003D43B5">
        <w:rPr>
          <w:shd w:val="clear" w:color="auto" w:fill="FFFFFF"/>
        </w:rPr>
        <w:t xml:space="preserve">mplementation </w:t>
      </w:r>
      <w:r w:rsidR="00FB448D">
        <w:rPr>
          <w:shd w:val="clear" w:color="auto" w:fill="FFFFFF"/>
        </w:rPr>
        <w:t>p</w:t>
      </w:r>
      <w:r w:rsidR="003D43B5">
        <w:rPr>
          <w:shd w:val="clear" w:color="auto" w:fill="FFFFFF"/>
        </w:rPr>
        <w:t>lan for the Cartagena Protocol</w:t>
      </w:r>
    </w:p>
    <w:bookmarkEnd w:id="2"/>
    <w:p w14:paraId="67FD4388" w14:textId="3DE79984" w:rsidR="005909DE" w:rsidRPr="004D4352" w:rsidRDefault="00D31170" w:rsidP="00D31170">
      <w:pPr>
        <w:pStyle w:val="Para1"/>
        <w:tabs>
          <w:tab w:val="clear" w:pos="360"/>
        </w:tabs>
        <w:kinsoku w:val="0"/>
        <w:overflowPunct w:val="0"/>
        <w:autoSpaceDE w:val="0"/>
        <w:autoSpaceDN w:val="0"/>
        <w:adjustRightInd w:val="0"/>
        <w:snapToGrid w:val="0"/>
        <w:rPr>
          <w:shd w:val="clear" w:color="auto" w:fill="FFFFFF"/>
        </w:rPr>
      </w:pPr>
      <w:r>
        <w:t xml:space="preserve">In its decision CP-9/7, the </w:t>
      </w:r>
      <w:r w:rsidR="00FB448D">
        <w:rPr>
          <w:snapToGrid/>
          <w:kern w:val="22"/>
        </w:rPr>
        <w:t xml:space="preserve">Conference of the Parties serving as </w:t>
      </w:r>
      <w:r w:rsidR="00FB448D" w:rsidRPr="00C5715A">
        <w:rPr>
          <w:snapToGrid/>
          <w:kern w:val="22"/>
        </w:rPr>
        <w:t>meeting of the Parties to the Cartagena Protocol</w:t>
      </w:r>
      <w:r>
        <w:t xml:space="preserve"> </w:t>
      </w:r>
      <w:r w:rsidR="005909DE">
        <w:t xml:space="preserve">decided to develop a post-2020 </w:t>
      </w:r>
      <w:r w:rsidR="000B5A7A">
        <w:t>i</w:t>
      </w:r>
      <w:r w:rsidR="005909DE">
        <w:t xml:space="preserve">mplementation </w:t>
      </w:r>
      <w:r w:rsidR="000B5A7A">
        <w:t>p</w:t>
      </w:r>
      <w:r w:rsidR="005909DE">
        <w:t xml:space="preserve">lan for the Cartagena Protocol </w:t>
      </w:r>
      <w:r w:rsidR="005909DE">
        <w:rPr>
          <w:snapToGrid/>
          <w:kern w:val="22"/>
        </w:rPr>
        <w:t>that is anchored in and complementary to the post-2020 global biodiversity framework</w:t>
      </w:r>
      <w:r w:rsidR="005909DE">
        <w:t xml:space="preserve"> and </w:t>
      </w:r>
      <w:r>
        <w:t xml:space="preserve">outlined a process for </w:t>
      </w:r>
      <w:r w:rsidR="0025778C">
        <w:t>its</w:t>
      </w:r>
      <w:r>
        <w:t xml:space="preserve"> development</w:t>
      </w:r>
      <w:r w:rsidR="00786284">
        <w:t>.</w:t>
      </w:r>
    </w:p>
    <w:p w14:paraId="1C298390" w14:textId="7D0445B3" w:rsidR="002D4B1C" w:rsidRPr="00B6585F" w:rsidRDefault="001F6D4C" w:rsidP="00B6585F">
      <w:pPr>
        <w:pStyle w:val="Para1"/>
        <w:tabs>
          <w:tab w:val="clear" w:pos="360"/>
        </w:tabs>
        <w:kinsoku w:val="0"/>
        <w:overflowPunct w:val="0"/>
        <w:autoSpaceDE w:val="0"/>
        <w:autoSpaceDN w:val="0"/>
        <w:adjustRightInd w:val="0"/>
        <w:snapToGrid w:val="0"/>
        <w:rPr>
          <w:shd w:val="clear" w:color="auto" w:fill="FFFFFF"/>
        </w:rPr>
      </w:pPr>
      <w:r>
        <w:t xml:space="preserve">The </w:t>
      </w:r>
      <w:r w:rsidR="001C733D">
        <w:rPr>
          <w:snapToGrid/>
          <w:kern w:val="22"/>
        </w:rPr>
        <w:t xml:space="preserve">Conference of the Parties serving as </w:t>
      </w:r>
      <w:r w:rsidR="001C733D" w:rsidRPr="00C5715A">
        <w:rPr>
          <w:snapToGrid/>
          <w:kern w:val="22"/>
        </w:rPr>
        <w:t>meeting of the Parties to the Cartagena Protocol</w:t>
      </w:r>
      <w:r w:rsidR="00786284">
        <w:t xml:space="preserve"> invited </w:t>
      </w:r>
      <w:r w:rsidR="00786284" w:rsidRPr="00B6585F">
        <w:rPr>
          <w:snapToGrid/>
          <w:kern w:val="22"/>
        </w:rPr>
        <w:t>P</w:t>
      </w:r>
      <w:r w:rsidR="00786284" w:rsidRPr="001415DE">
        <w:t xml:space="preserve">arties, other Governments, </w:t>
      </w:r>
      <w:r w:rsidR="00F25E05">
        <w:t xml:space="preserve">indigenous peoples and local communities </w:t>
      </w:r>
      <w:r w:rsidR="00786284" w:rsidRPr="001415DE">
        <w:t xml:space="preserve">and relevant </w:t>
      </w:r>
      <w:r w:rsidR="00786284" w:rsidRPr="00AB6F8F">
        <w:t>organizations</w:t>
      </w:r>
      <w:r w:rsidR="00786284">
        <w:t xml:space="preserve"> to submit views on the structure and content of the Implementation Plan</w:t>
      </w:r>
      <w:r w:rsidR="005F54D8">
        <w:t>.</w:t>
      </w:r>
      <w:r w:rsidR="00786284">
        <w:t xml:space="preserve"> </w:t>
      </w:r>
      <w:r w:rsidR="005F54D8">
        <w:t>I</w:t>
      </w:r>
      <w:r w:rsidR="00786284">
        <w:t xml:space="preserve">t requested the Secretariat to develop </w:t>
      </w:r>
      <w:r w:rsidR="00D31170" w:rsidRPr="00B6585F">
        <w:rPr>
          <w:shd w:val="clear" w:color="auto" w:fill="FFFFFF"/>
        </w:rPr>
        <w:t xml:space="preserve">a draft </w:t>
      </w:r>
      <w:r w:rsidR="00C0626B">
        <w:rPr>
          <w:shd w:val="clear" w:color="auto" w:fill="FFFFFF"/>
        </w:rPr>
        <w:t>i</w:t>
      </w:r>
      <w:r w:rsidR="00D31170" w:rsidRPr="00B6585F">
        <w:rPr>
          <w:shd w:val="clear" w:color="auto" w:fill="FFFFFF"/>
        </w:rPr>
        <w:t xml:space="preserve">mplementation </w:t>
      </w:r>
      <w:r w:rsidR="00C0626B">
        <w:rPr>
          <w:shd w:val="clear" w:color="auto" w:fill="FFFFFF"/>
        </w:rPr>
        <w:t>p</w:t>
      </w:r>
      <w:r w:rsidR="00D31170" w:rsidRPr="00B6585F">
        <w:rPr>
          <w:shd w:val="clear" w:color="auto" w:fill="FFFFFF"/>
        </w:rPr>
        <w:t>lan</w:t>
      </w:r>
      <w:r w:rsidR="00786284" w:rsidRPr="00B6585F">
        <w:rPr>
          <w:shd w:val="clear" w:color="auto" w:fill="FFFFFF"/>
        </w:rPr>
        <w:t xml:space="preserve"> and to convene</w:t>
      </w:r>
      <w:r w:rsidR="00D31170" w:rsidRPr="00DE51A6">
        <w:rPr>
          <w:shd w:val="clear" w:color="auto" w:fill="FFFFFF"/>
        </w:rPr>
        <w:t xml:space="preserve"> open-ended online discussions</w:t>
      </w:r>
      <w:r w:rsidR="0047694B" w:rsidRPr="00DE51A6">
        <w:rPr>
          <w:shd w:val="clear" w:color="auto" w:fill="FFFFFF"/>
        </w:rPr>
        <w:t xml:space="preserve"> to consider the draft</w:t>
      </w:r>
      <w:r w:rsidR="00374DD2" w:rsidRPr="00DE51A6">
        <w:rPr>
          <w:shd w:val="clear" w:color="auto" w:fill="FFFFFF"/>
        </w:rPr>
        <w:t xml:space="preserve">. </w:t>
      </w:r>
      <w:r w:rsidR="00A105B6">
        <w:rPr>
          <w:shd w:val="clear" w:color="auto" w:fill="FFFFFF"/>
        </w:rPr>
        <w:t xml:space="preserve">The </w:t>
      </w:r>
      <w:r w:rsidR="0051265B">
        <w:rPr>
          <w:snapToGrid/>
          <w:kern w:val="22"/>
        </w:rPr>
        <w:t xml:space="preserve">Conference of the Parties serving as </w:t>
      </w:r>
      <w:r w:rsidR="0051265B" w:rsidRPr="00C5715A">
        <w:rPr>
          <w:snapToGrid/>
          <w:kern w:val="22"/>
        </w:rPr>
        <w:t>meeting of the Parties to the Cartagena Protocol</w:t>
      </w:r>
      <w:r w:rsidR="00374DD2" w:rsidRPr="00DE51A6">
        <w:rPr>
          <w:shd w:val="clear" w:color="auto" w:fill="FFFFFF"/>
        </w:rPr>
        <w:t xml:space="preserve"> </w:t>
      </w:r>
      <w:r w:rsidR="005F54D8" w:rsidRPr="00A105B6">
        <w:rPr>
          <w:shd w:val="clear" w:color="auto" w:fill="FFFFFF"/>
        </w:rPr>
        <w:t xml:space="preserve">requested the Liaison Group for the </w:t>
      </w:r>
      <w:r w:rsidR="005F54D8" w:rsidRPr="00A105B6">
        <w:rPr>
          <w:shd w:val="clear" w:color="auto" w:fill="FFFFFF"/>
        </w:rPr>
        <w:lastRenderedPageBreak/>
        <w:t xml:space="preserve">Cartagena Protocol to </w:t>
      </w:r>
      <w:r w:rsidR="003D7E43" w:rsidRPr="00A105B6">
        <w:rPr>
          <w:shd w:val="clear" w:color="auto" w:fill="FFFFFF"/>
        </w:rPr>
        <w:t>review</w:t>
      </w:r>
      <w:r w:rsidR="005F54D8" w:rsidRPr="00A105B6">
        <w:rPr>
          <w:shd w:val="clear" w:color="auto" w:fill="FFFFFF"/>
        </w:rPr>
        <w:t xml:space="preserve"> </w:t>
      </w:r>
      <w:r w:rsidR="00D31170" w:rsidRPr="00A105B6">
        <w:rPr>
          <w:shd w:val="clear" w:color="auto" w:fill="FFFFFF"/>
        </w:rPr>
        <w:t xml:space="preserve">the </w:t>
      </w:r>
      <w:r w:rsidR="003D7E43" w:rsidRPr="00A105B6">
        <w:rPr>
          <w:shd w:val="clear" w:color="auto" w:fill="FFFFFF"/>
        </w:rPr>
        <w:t xml:space="preserve">draft </w:t>
      </w:r>
      <w:r w:rsidR="00C0626B">
        <w:rPr>
          <w:shd w:val="clear" w:color="auto" w:fill="FFFFFF"/>
        </w:rPr>
        <w:t>i</w:t>
      </w:r>
      <w:r w:rsidR="00D31170" w:rsidRPr="00A105B6">
        <w:rPr>
          <w:shd w:val="clear" w:color="auto" w:fill="FFFFFF"/>
        </w:rPr>
        <w:t xml:space="preserve">mplementation </w:t>
      </w:r>
      <w:r w:rsidR="00C0626B">
        <w:rPr>
          <w:shd w:val="clear" w:color="auto" w:fill="FFFFFF"/>
        </w:rPr>
        <w:t>p</w:t>
      </w:r>
      <w:r w:rsidR="00D31170" w:rsidRPr="00A105B6">
        <w:rPr>
          <w:shd w:val="clear" w:color="auto" w:fill="FFFFFF"/>
        </w:rPr>
        <w:t>lan</w:t>
      </w:r>
      <w:r w:rsidR="004D5204">
        <w:rPr>
          <w:shd w:val="clear" w:color="auto" w:fill="FFFFFF"/>
        </w:rPr>
        <w:t xml:space="preserve"> at its thirteenth meeting</w:t>
      </w:r>
      <w:r w:rsidR="00F06AC2" w:rsidRPr="00A105B6">
        <w:rPr>
          <w:shd w:val="clear" w:color="auto" w:fill="FFFFFF"/>
        </w:rPr>
        <w:t xml:space="preserve"> and </w:t>
      </w:r>
      <w:r w:rsidR="005F54D8" w:rsidRPr="00A105B6">
        <w:rPr>
          <w:shd w:val="clear" w:color="auto" w:fill="FFFFFF"/>
        </w:rPr>
        <w:t xml:space="preserve">requested the Executive Secretary to conduct a peer review of the </w:t>
      </w:r>
      <w:r w:rsidR="009070A1">
        <w:rPr>
          <w:shd w:val="clear" w:color="auto" w:fill="FFFFFF"/>
        </w:rPr>
        <w:t>i</w:t>
      </w:r>
      <w:r w:rsidR="005F54D8" w:rsidRPr="00A105B6">
        <w:rPr>
          <w:shd w:val="clear" w:color="auto" w:fill="FFFFFF"/>
        </w:rPr>
        <w:t xml:space="preserve">mplementation </w:t>
      </w:r>
      <w:r w:rsidR="009070A1">
        <w:rPr>
          <w:shd w:val="clear" w:color="auto" w:fill="FFFFFF"/>
        </w:rPr>
        <w:t>p</w:t>
      </w:r>
      <w:r w:rsidR="005F54D8" w:rsidRPr="00A105B6">
        <w:rPr>
          <w:shd w:val="clear" w:color="auto" w:fill="FFFFFF"/>
        </w:rPr>
        <w:t>lan and submit it for consideration by the Subsidiary Body on Implementation, at its thir</w:t>
      </w:r>
      <w:r w:rsidR="005F54D8" w:rsidRPr="004D5204">
        <w:rPr>
          <w:shd w:val="clear" w:color="auto" w:fill="FFFFFF"/>
        </w:rPr>
        <w:t>d meeting.</w:t>
      </w:r>
    </w:p>
    <w:p w14:paraId="7B6AFEF0" w14:textId="27F2D0C0" w:rsidR="006864D2" w:rsidRDefault="003F15F9" w:rsidP="00853785">
      <w:pPr>
        <w:pStyle w:val="Heading3"/>
        <w:rPr>
          <w:shd w:val="clear" w:color="auto" w:fill="FFFFFF"/>
        </w:rPr>
      </w:pPr>
      <w:r>
        <w:rPr>
          <w:shd w:val="clear" w:color="auto" w:fill="FFFFFF"/>
        </w:rPr>
        <w:t>3.</w:t>
      </w:r>
      <w:r>
        <w:rPr>
          <w:shd w:val="clear" w:color="auto" w:fill="FFFFFF"/>
        </w:rPr>
        <w:tab/>
      </w:r>
      <w:r w:rsidR="00DE51A6">
        <w:rPr>
          <w:shd w:val="clear" w:color="auto" w:fill="FFFFFF"/>
        </w:rPr>
        <w:t xml:space="preserve">Post-2020 </w:t>
      </w:r>
      <w:r w:rsidR="009A00BE">
        <w:rPr>
          <w:shd w:val="clear" w:color="auto" w:fill="FFFFFF"/>
        </w:rPr>
        <w:t>C</w:t>
      </w:r>
      <w:r w:rsidR="006864D2">
        <w:rPr>
          <w:shd w:val="clear" w:color="auto" w:fill="FFFFFF"/>
        </w:rPr>
        <w:t>apacity-</w:t>
      </w:r>
      <w:r w:rsidR="009714DA">
        <w:rPr>
          <w:shd w:val="clear" w:color="auto" w:fill="FFFFFF"/>
        </w:rPr>
        <w:t>B</w:t>
      </w:r>
      <w:r w:rsidR="006864D2">
        <w:rPr>
          <w:shd w:val="clear" w:color="auto" w:fill="FFFFFF"/>
        </w:rPr>
        <w:t xml:space="preserve">uilding </w:t>
      </w:r>
      <w:r w:rsidR="009714DA">
        <w:rPr>
          <w:shd w:val="clear" w:color="auto" w:fill="FFFFFF"/>
        </w:rPr>
        <w:t>A</w:t>
      </w:r>
      <w:r w:rsidR="006864D2">
        <w:rPr>
          <w:shd w:val="clear" w:color="auto" w:fill="FFFFFF"/>
        </w:rPr>
        <w:t xml:space="preserve">ction </w:t>
      </w:r>
      <w:r w:rsidR="009714DA">
        <w:rPr>
          <w:shd w:val="clear" w:color="auto" w:fill="FFFFFF"/>
        </w:rPr>
        <w:t>P</w:t>
      </w:r>
      <w:r w:rsidR="006864D2">
        <w:rPr>
          <w:shd w:val="clear" w:color="auto" w:fill="FFFFFF"/>
        </w:rPr>
        <w:t>lan</w:t>
      </w:r>
    </w:p>
    <w:p w14:paraId="50C9E5F3" w14:textId="559FBDEC" w:rsidR="00C33646" w:rsidRPr="00CC7E92" w:rsidRDefault="009C64DD" w:rsidP="008357CA">
      <w:pPr>
        <w:pStyle w:val="Para1"/>
        <w:tabs>
          <w:tab w:val="clear" w:pos="360"/>
        </w:tabs>
        <w:kinsoku w:val="0"/>
        <w:overflowPunct w:val="0"/>
        <w:autoSpaceDE w:val="0"/>
        <w:autoSpaceDN w:val="0"/>
        <w:adjustRightInd w:val="0"/>
        <w:snapToGrid w:val="0"/>
        <w:rPr>
          <w:shd w:val="clear" w:color="auto" w:fill="FFFFFF"/>
        </w:rPr>
      </w:pPr>
      <w:r>
        <w:t xml:space="preserve">In its decision CP-9/3, the </w:t>
      </w:r>
      <w:r w:rsidR="0051265B">
        <w:rPr>
          <w:snapToGrid/>
          <w:kern w:val="22"/>
        </w:rPr>
        <w:t xml:space="preserve">Conference of the Parties serving as </w:t>
      </w:r>
      <w:r w:rsidR="0051265B" w:rsidRPr="00C5715A">
        <w:rPr>
          <w:snapToGrid/>
          <w:kern w:val="22"/>
        </w:rPr>
        <w:t>meeting of the Parties to the Cartagena Protocol</w:t>
      </w:r>
      <w:r w:rsidR="00E06BFF">
        <w:t xml:space="preserve"> </w:t>
      </w:r>
      <w:r w:rsidRPr="006D6D1A">
        <w:t>acknowledge</w:t>
      </w:r>
      <w:r>
        <w:t>d</w:t>
      </w:r>
      <w:r w:rsidRPr="006D6D1A">
        <w:t xml:space="preserve"> the need for a specific action plan for capacity-building for implementation of the Cartagena Protocol and its Supplementary Protocol that is aligned with the </w:t>
      </w:r>
      <w:r w:rsidR="008357CA">
        <w:t>post-2020 Implementation Plan</w:t>
      </w:r>
      <w:r w:rsidRPr="006D6D1A">
        <w:t xml:space="preserve"> and complementary to the long-term strategic framework for capacity-building beyond 2020 and welcome</w:t>
      </w:r>
      <w:r>
        <w:t>d</w:t>
      </w:r>
      <w:r w:rsidRPr="006D6D1A">
        <w:t xml:space="preserve"> </w:t>
      </w:r>
      <w:r>
        <w:t>an</w:t>
      </w:r>
      <w:r w:rsidRPr="006D6D1A">
        <w:t xml:space="preserve"> indicative schedule of activities for the development of the specific action plan</w:t>
      </w:r>
      <w:r>
        <w:t>.</w:t>
      </w:r>
      <w:r w:rsidR="00C33646" w:rsidRPr="00C33646">
        <w:rPr>
          <w:shd w:val="clear" w:color="auto" w:fill="FFFFFF"/>
        </w:rPr>
        <w:t xml:space="preserve"> </w:t>
      </w:r>
      <w:r w:rsidR="00C33646">
        <w:rPr>
          <w:shd w:val="clear" w:color="auto" w:fill="FFFFFF"/>
        </w:rPr>
        <w:t xml:space="preserve">The </w:t>
      </w:r>
      <w:r w:rsidR="00D01E22">
        <w:rPr>
          <w:snapToGrid/>
          <w:kern w:val="22"/>
        </w:rPr>
        <w:t xml:space="preserve">Conference of the Parties serving as </w:t>
      </w:r>
      <w:r w:rsidR="00D01E22" w:rsidRPr="00C5715A">
        <w:rPr>
          <w:snapToGrid/>
          <w:kern w:val="22"/>
        </w:rPr>
        <w:t>meeting of the Parties to the Cartagena Protocol</w:t>
      </w:r>
      <w:r w:rsidR="00C33646">
        <w:rPr>
          <w:shd w:val="clear" w:color="auto" w:fill="FFFFFF"/>
        </w:rPr>
        <w:t xml:space="preserve"> also took note of decision 14/24</w:t>
      </w:r>
      <w:r w:rsidR="003B615E">
        <w:rPr>
          <w:shd w:val="clear" w:color="auto" w:fill="FFFFFF"/>
        </w:rPr>
        <w:t xml:space="preserve">, in which the Conference of the Parties decided on a process for the development of </w:t>
      </w:r>
      <w:r w:rsidR="008A59B8">
        <w:rPr>
          <w:shd w:val="clear" w:color="auto" w:fill="FFFFFF"/>
        </w:rPr>
        <w:t xml:space="preserve">the </w:t>
      </w:r>
      <w:r w:rsidR="003B615E" w:rsidRPr="00394BE6">
        <w:rPr>
          <w:snapToGrid/>
          <w:kern w:val="22"/>
          <w:szCs w:val="22"/>
        </w:rPr>
        <w:t>long</w:t>
      </w:r>
      <w:r w:rsidR="00D01E22">
        <w:rPr>
          <w:snapToGrid/>
          <w:kern w:val="22"/>
          <w:szCs w:val="22"/>
        </w:rPr>
        <w:noBreakHyphen/>
      </w:r>
      <w:r w:rsidR="003B615E" w:rsidRPr="00394BE6">
        <w:rPr>
          <w:snapToGrid/>
          <w:kern w:val="22"/>
          <w:szCs w:val="22"/>
        </w:rPr>
        <w:t>term strategic framework for capacity-building beyond 2020</w:t>
      </w:r>
      <w:r w:rsidR="00C33646">
        <w:rPr>
          <w:shd w:val="clear" w:color="auto" w:fill="FFFFFF"/>
        </w:rPr>
        <w:t>.</w:t>
      </w:r>
    </w:p>
    <w:p w14:paraId="51B3FEFF" w14:textId="7A8B4A94" w:rsidR="009C64DD" w:rsidRPr="00C33646" w:rsidRDefault="00301495" w:rsidP="00853785">
      <w:pPr>
        <w:pStyle w:val="Para1"/>
        <w:tabs>
          <w:tab w:val="clear" w:pos="360"/>
        </w:tabs>
        <w:kinsoku w:val="0"/>
        <w:overflowPunct w:val="0"/>
        <w:autoSpaceDE w:val="0"/>
        <w:autoSpaceDN w:val="0"/>
        <w:adjustRightInd w:val="0"/>
        <w:snapToGrid w:val="0"/>
        <w:rPr>
          <w:shd w:val="clear" w:color="auto" w:fill="FFFFFF"/>
        </w:rPr>
      </w:pPr>
      <w:r>
        <w:rPr>
          <w:shd w:val="clear" w:color="auto" w:fill="FFFFFF"/>
        </w:rPr>
        <w:t>The</w:t>
      </w:r>
      <w:r w:rsidR="003B615E">
        <w:rPr>
          <w:shd w:val="clear" w:color="auto" w:fill="FFFFFF"/>
        </w:rPr>
        <w:t xml:space="preserve"> </w:t>
      </w:r>
      <w:r w:rsidR="00D01E22">
        <w:rPr>
          <w:snapToGrid/>
          <w:kern w:val="22"/>
        </w:rPr>
        <w:t xml:space="preserve">Conference of the Parties serving as </w:t>
      </w:r>
      <w:r w:rsidR="00D01E22" w:rsidRPr="00C5715A">
        <w:rPr>
          <w:snapToGrid/>
          <w:kern w:val="22"/>
        </w:rPr>
        <w:t>meeting of the Parties to the Cartagena Protocol</w:t>
      </w:r>
      <w:r>
        <w:rPr>
          <w:shd w:val="clear" w:color="auto" w:fill="FFFFFF"/>
        </w:rPr>
        <w:t xml:space="preserve"> </w:t>
      </w:r>
      <w:r w:rsidR="003B615E">
        <w:rPr>
          <w:shd w:val="clear" w:color="auto" w:fill="FFFFFF"/>
        </w:rPr>
        <w:t xml:space="preserve">invited Parties, </w:t>
      </w:r>
      <w:r w:rsidR="00F25E05">
        <w:t xml:space="preserve">indigenous peoples and local communities </w:t>
      </w:r>
      <w:r w:rsidR="003B615E">
        <w:rPr>
          <w:shd w:val="clear" w:color="auto" w:fill="FFFFFF"/>
        </w:rPr>
        <w:t xml:space="preserve">and relevant organizations to </w:t>
      </w:r>
      <w:r w:rsidR="00946D30">
        <w:rPr>
          <w:shd w:val="clear" w:color="auto" w:fill="FFFFFF"/>
        </w:rPr>
        <w:t>provide the Executive Secretary with views and suggestions on</w:t>
      </w:r>
      <w:r w:rsidR="000E4C21">
        <w:rPr>
          <w:shd w:val="clear" w:color="auto" w:fill="FFFFFF"/>
        </w:rPr>
        <w:t>:</w:t>
      </w:r>
      <w:r w:rsidR="00946D30">
        <w:rPr>
          <w:shd w:val="clear" w:color="auto" w:fill="FFFFFF"/>
        </w:rPr>
        <w:t xml:space="preserve"> (</w:t>
      </w:r>
      <w:r w:rsidR="00D01E22">
        <w:rPr>
          <w:shd w:val="clear" w:color="auto" w:fill="FFFFFF"/>
        </w:rPr>
        <w:t>a</w:t>
      </w:r>
      <w:r w:rsidR="00946D30">
        <w:rPr>
          <w:shd w:val="clear" w:color="auto" w:fill="FFFFFF"/>
        </w:rPr>
        <w:t xml:space="preserve">) possible elements of the </w:t>
      </w:r>
      <w:r w:rsidR="00946D30" w:rsidRPr="00394BE6">
        <w:rPr>
          <w:snapToGrid/>
          <w:kern w:val="22"/>
          <w:szCs w:val="22"/>
        </w:rPr>
        <w:t>long-term strategic framework for capacity-building beyond 2020</w:t>
      </w:r>
      <w:r w:rsidR="000E4C21">
        <w:rPr>
          <w:snapToGrid/>
          <w:kern w:val="22"/>
          <w:szCs w:val="22"/>
        </w:rPr>
        <w:t>;</w:t>
      </w:r>
      <w:r w:rsidR="00946D30" w:rsidRPr="00394BE6">
        <w:rPr>
          <w:snapToGrid/>
          <w:kern w:val="22"/>
          <w:szCs w:val="22"/>
        </w:rPr>
        <w:t xml:space="preserve"> </w:t>
      </w:r>
      <w:r w:rsidR="00946D30">
        <w:rPr>
          <w:snapToGrid/>
          <w:kern w:val="22"/>
          <w:szCs w:val="22"/>
        </w:rPr>
        <w:t>and (</w:t>
      </w:r>
      <w:r w:rsidR="00D01E22">
        <w:rPr>
          <w:snapToGrid/>
          <w:kern w:val="22"/>
          <w:szCs w:val="22"/>
        </w:rPr>
        <w:t>b</w:t>
      </w:r>
      <w:r w:rsidR="00946D30">
        <w:rPr>
          <w:snapToGrid/>
          <w:kern w:val="22"/>
          <w:szCs w:val="22"/>
        </w:rPr>
        <w:t>)</w:t>
      </w:r>
      <w:r w:rsidR="00D01E22">
        <w:rPr>
          <w:snapToGrid/>
          <w:kern w:val="22"/>
          <w:szCs w:val="22"/>
        </w:rPr>
        <w:t> </w:t>
      </w:r>
      <w:r w:rsidR="00946D30">
        <w:rPr>
          <w:snapToGrid/>
          <w:kern w:val="22"/>
          <w:szCs w:val="22"/>
        </w:rPr>
        <w:t xml:space="preserve">possible elements of a specific action plan for </w:t>
      </w:r>
      <w:r w:rsidR="00064FD7">
        <w:rPr>
          <w:snapToGrid/>
          <w:kern w:val="22"/>
          <w:szCs w:val="22"/>
        </w:rPr>
        <w:t>capacity-</w:t>
      </w:r>
      <w:r w:rsidR="00946D30">
        <w:rPr>
          <w:snapToGrid/>
          <w:kern w:val="22"/>
          <w:szCs w:val="22"/>
        </w:rPr>
        <w:t>building on biosafety, covering the Cartagena Protocol and its Supplementary Protocol.</w:t>
      </w:r>
    </w:p>
    <w:p w14:paraId="5286A3BD" w14:textId="7A5EF30C" w:rsidR="00605010" w:rsidRPr="00DA7129" w:rsidRDefault="00605010" w:rsidP="00853785">
      <w:pPr>
        <w:pStyle w:val="Para1"/>
        <w:tabs>
          <w:tab w:val="clear" w:pos="360"/>
        </w:tabs>
        <w:kinsoku w:val="0"/>
        <w:overflowPunct w:val="0"/>
        <w:autoSpaceDE w:val="0"/>
        <w:autoSpaceDN w:val="0"/>
        <w:adjustRightInd w:val="0"/>
        <w:snapToGrid w:val="0"/>
        <w:rPr>
          <w:shd w:val="clear" w:color="auto" w:fill="FFFFFF"/>
        </w:rPr>
      </w:pPr>
      <w:r>
        <w:rPr>
          <w:shd w:val="clear" w:color="auto" w:fill="FFFFFF"/>
        </w:rPr>
        <w:t xml:space="preserve">The </w:t>
      </w:r>
      <w:r w:rsidR="00D01E22">
        <w:rPr>
          <w:snapToGrid/>
          <w:kern w:val="22"/>
        </w:rPr>
        <w:t xml:space="preserve">Conference of the Parties serving as </w:t>
      </w:r>
      <w:r w:rsidR="00D01E22" w:rsidRPr="00C5715A">
        <w:rPr>
          <w:snapToGrid/>
          <w:kern w:val="22"/>
        </w:rPr>
        <w:t>meeting of the Parties to the Cartagena Protocol</w:t>
      </w:r>
      <w:r>
        <w:rPr>
          <w:shd w:val="clear" w:color="auto" w:fill="FFFFFF"/>
        </w:rPr>
        <w:t xml:space="preserve"> requested the Liaison Group at its thirteenth meeting to contribute to the development of (a) the draft action plan for capacity building for implementation of the Cartagena Protocol and</w:t>
      </w:r>
      <w:r w:rsidR="00064FD7">
        <w:rPr>
          <w:shd w:val="clear" w:color="auto" w:fill="FFFFFF"/>
        </w:rPr>
        <w:t xml:space="preserve"> </w:t>
      </w:r>
      <w:r>
        <w:rPr>
          <w:shd w:val="clear" w:color="auto" w:fill="FFFFFF"/>
        </w:rPr>
        <w:t>its Supplementary Protocol</w:t>
      </w:r>
      <w:r w:rsidR="0001375A">
        <w:rPr>
          <w:shd w:val="clear" w:color="auto" w:fill="FFFFFF"/>
        </w:rPr>
        <w:t xml:space="preserve"> </w:t>
      </w:r>
      <w:r>
        <w:rPr>
          <w:shd w:val="clear" w:color="auto" w:fill="FFFFFF"/>
        </w:rPr>
        <w:t>an</w:t>
      </w:r>
      <w:r w:rsidR="0001375A">
        <w:rPr>
          <w:shd w:val="clear" w:color="auto" w:fill="FFFFFF"/>
        </w:rPr>
        <w:t>d</w:t>
      </w:r>
      <w:r>
        <w:rPr>
          <w:shd w:val="clear" w:color="auto" w:fill="FFFFFF"/>
        </w:rPr>
        <w:t xml:space="preserve"> (b) the draft </w:t>
      </w:r>
      <w:r w:rsidRPr="00394BE6">
        <w:rPr>
          <w:snapToGrid/>
          <w:kern w:val="22"/>
          <w:szCs w:val="22"/>
        </w:rPr>
        <w:t>long-term strategic framework for capacity-building beyond 2020</w:t>
      </w:r>
      <w:r>
        <w:rPr>
          <w:snapToGrid/>
          <w:kern w:val="22"/>
          <w:szCs w:val="22"/>
        </w:rPr>
        <w:t>, as appropriate, and, at its fourteenth meeting, to review the final draft of the action plan for capacity-building on biosafety, taking into account information provided in the fourth national reports under the Cartagena Protocol.</w:t>
      </w:r>
    </w:p>
    <w:p w14:paraId="6668703D" w14:textId="1D5C6606" w:rsidR="00DA7129" w:rsidRDefault="00DA7129" w:rsidP="00853785">
      <w:pPr>
        <w:pStyle w:val="Para1"/>
        <w:tabs>
          <w:tab w:val="clear" w:pos="360"/>
        </w:tabs>
        <w:kinsoku w:val="0"/>
        <w:overflowPunct w:val="0"/>
        <w:autoSpaceDE w:val="0"/>
        <w:autoSpaceDN w:val="0"/>
        <w:adjustRightInd w:val="0"/>
        <w:snapToGrid w:val="0"/>
        <w:rPr>
          <w:shd w:val="clear" w:color="auto" w:fill="FFFFFF"/>
        </w:rPr>
      </w:pPr>
      <w:r>
        <w:rPr>
          <w:shd w:val="clear" w:color="auto" w:fill="FFFFFF"/>
        </w:rPr>
        <w:t xml:space="preserve">The </w:t>
      </w:r>
      <w:r w:rsidR="00D01E22">
        <w:rPr>
          <w:snapToGrid/>
          <w:kern w:val="22"/>
        </w:rPr>
        <w:t xml:space="preserve">Conference of the Parties serving as </w:t>
      </w:r>
      <w:r w:rsidR="00D01E22" w:rsidRPr="00C5715A">
        <w:rPr>
          <w:snapToGrid/>
          <w:kern w:val="22"/>
        </w:rPr>
        <w:t>meeting of the Parties to the Cartagena Protocol</w:t>
      </w:r>
      <w:r>
        <w:rPr>
          <w:shd w:val="clear" w:color="auto" w:fill="FFFFFF"/>
        </w:rPr>
        <w:t xml:space="preserve"> requested the Executive Secretary to submit a draft action plan for capacity</w:t>
      </w:r>
      <w:r w:rsidR="00976F60">
        <w:rPr>
          <w:shd w:val="clear" w:color="auto" w:fill="FFFFFF"/>
        </w:rPr>
        <w:t>-</w:t>
      </w:r>
      <w:r>
        <w:rPr>
          <w:shd w:val="clear" w:color="auto" w:fill="FFFFFF"/>
        </w:rPr>
        <w:t>building for consideration by the Subsidiary Body on Implementation at its third meeting.</w:t>
      </w:r>
    </w:p>
    <w:p w14:paraId="66D8A2A8" w14:textId="03E0D426" w:rsidR="00883177" w:rsidRPr="00853785" w:rsidRDefault="00883177" w:rsidP="00245D9A">
      <w:pPr>
        <w:pStyle w:val="Heading2"/>
        <w:tabs>
          <w:tab w:val="clear" w:pos="720"/>
          <w:tab w:val="left" w:pos="284"/>
        </w:tabs>
        <w:rPr>
          <w:i w:val="0"/>
          <w:shd w:val="clear" w:color="auto" w:fill="FFFFFF"/>
        </w:rPr>
      </w:pPr>
      <w:r w:rsidRPr="00853785">
        <w:rPr>
          <w:i w:val="0"/>
          <w:shd w:val="clear" w:color="auto" w:fill="FFFFFF"/>
        </w:rPr>
        <w:t>B.</w:t>
      </w:r>
      <w:r w:rsidRPr="00853785">
        <w:rPr>
          <w:i w:val="0"/>
          <w:shd w:val="clear" w:color="auto" w:fill="FFFFFF"/>
        </w:rPr>
        <w:tab/>
        <w:t xml:space="preserve">Status of the post-2020 processes </w:t>
      </w:r>
      <w:r w:rsidR="004130D9" w:rsidRPr="00853785">
        <w:rPr>
          <w:i w:val="0"/>
          <w:shd w:val="clear" w:color="auto" w:fill="FFFFFF"/>
        </w:rPr>
        <w:t xml:space="preserve">with relevance to </w:t>
      </w:r>
      <w:r w:rsidRPr="00853785">
        <w:rPr>
          <w:i w:val="0"/>
          <w:shd w:val="clear" w:color="auto" w:fill="FFFFFF"/>
        </w:rPr>
        <w:t>the Cartagena Protocol</w:t>
      </w:r>
    </w:p>
    <w:p w14:paraId="260434ED" w14:textId="55332C58" w:rsidR="008357CA" w:rsidRPr="004130D9" w:rsidRDefault="002601AD" w:rsidP="00853785">
      <w:pPr>
        <w:pStyle w:val="Para1"/>
        <w:tabs>
          <w:tab w:val="clear" w:pos="360"/>
        </w:tabs>
        <w:kinsoku w:val="0"/>
        <w:overflowPunct w:val="0"/>
        <w:autoSpaceDE w:val="0"/>
        <w:autoSpaceDN w:val="0"/>
        <w:adjustRightInd w:val="0"/>
        <w:snapToGrid w:val="0"/>
        <w:rPr>
          <w:shd w:val="clear" w:color="auto" w:fill="FFFFFF"/>
        </w:rPr>
      </w:pPr>
      <w:r>
        <w:t>The Executive Secretary, t</w:t>
      </w:r>
      <w:r w:rsidR="00B138CF">
        <w:t>hrough notification 2019-027</w:t>
      </w:r>
      <w:r>
        <w:t xml:space="preserve">, </w:t>
      </w:r>
      <w:r w:rsidR="00B138CF">
        <w:t xml:space="preserve">invited </w:t>
      </w:r>
      <w:r w:rsidR="008D7788">
        <w:t xml:space="preserve">Parties, other Governments, </w:t>
      </w:r>
      <w:r w:rsidR="00D01E22">
        <w:t xml:space="preserve">indigenous peoples and local communities </w:t>
      </w:r>
      <w:r w:rsidR="008D7788">
        <w:t xml:space="preserve">and relevant organizations to submit views </w:t>
      </w:r>
      <w:r w:rsidR="006D2BED">
        <w:t>on</w:t>
      </w:r>
      <w:r w:rsidR="00B138CF">
        <w:t>:</w:t>
      </w:r>
    </w:p>
    <w:p w14:paraId="1B7121C6" w14:textId="22DA2F81" w:rsidR="008357CA" w:rsidRPr="004130D9" w:rsidRDefault="00D01E22" w:rsidP="00853785">
      <w:pPr>
        <w:pStyle w:val="Para1"/>
        <w:numPr>
          <w:ilvl w:val="1"/>
          <w:numId w:val="4"/>
        </w:numPr>
        <w:tabs>
          <w:tab w:val="clear" w:pos="1440"/>
        </w:tabs>
        <w:kinsoku w:val="0"/>
        <w:overflowPunct w:val="0"/>
        <w:autoSpaceDE w:val="0"/>
        <w:autoSpaceDN w:val="0"/>
        <w:adjustRightInd w:val="0"/>
        <w:snapToGrid w:val="0"/>
        <w:rPr>
          <w:shd w:val="clear" w:color="auto" w:fill="FFFFFF"/>
        </w:rPr>
      </w:pPr>
      <w:r>
        <w:t>T</w:t>
      </w:r>
      <w:r w:rsidR="00B138CF">
        <w:t xml:space="preserve">he structure and content of the </w:t>
      </w:r>
      <w:r w:rsidR="008357CA">
        <w:t xml:space="preserve">post-2020 </w:t>
      </w:r>
      <w:r w:rsidR="008707B5">
        <w:t>i</w:t>
      </w:r>
      <w:r w:rsidR="00B138CF">
        <w:t xml:space="preserve">mplementation </w:t>
      </w:r>
      <w:r w:rsidR="008707B5">
        <w:t>p</w:t>
      </w:r>
      <w:r w:rsidR="00B138CF">
        <w:t>lan for the Cartagena Protocol on Biosafety;</w:t>
      </w:r>
    </w:p>
    <w:p w14:paraId="4359E698" w14:textId="58C87957" w:rsidR="008357CA" w:rsidRPr="004130D9" w:rsidRDefault="00D01E22" w:rsidP="00853785">
      <w:pPr>
        <w:pStyle w:val="Para1"/>
        <w:numPr>
          <w:ilvl w:val="1"/>
          <w:numId w:val="4"/>
        </w:numPr>
        <w:tabs>
          <w:tab w:val="clear" w:pos="1440"/>
        </w:tabs>
        <w:kinsoku w:val="0"/>
        <w:overflowPunct w:val="0"/>
        <w:autoSpaceDE w:val="0"/>
        <w:autoSpaceDN w:val="0"/>
        <w:adjustRightInd w:val="0"/>
        <w:snapToGrid w:val="0"/>
        <w:rPr>
          <w:shd w:val="clear" w:color="auto" w:fill="FFFFFF"/>
        </w:rPr>
      </w:pPr>
      <w:r>
        <w:t>P</w:t>
      </w:r>
      <w:r w:rsidR="00B138CF">
        <w:t>ossible elements of a specific action plan for capacity-building on biosafety, covering the Cartagena Protocol and its Supplementary Protocol;</w:t>
      </w:r>
    </w:p>
    <w:p w14:paraId="199BCDD0" w14:textId="4C4358EF" w:rsidR="003C0217" w:rsidRPr="004130D9" w:rsidRDefault="00D01E22" w:rsidP="00853785">
      <w:pPr>
        <w:pStyle w:val="Para1"/>
        <w:numPr>
          <w:ilvl w:val="1"/>
          <w:numId w:val="4"/>
        </w:numPr>
        <w:tabs>
          <w:tab w:val="clear" w:pos="1440"/>
        </w:tabs>
        <w:kinsoku w:val="0"/>
        <w:overflowPunct w:val="0"/>
        <w:autoSpaceDE w:val="0"/>
        <w:autoSpaceDN w:val="0"/>
        <w:adjustRightInd w:val="0"/>
        <w:snapToGrid w:val="0"/>
        <w:rPr>
          <w:shd w:val="clear" w:color="auto" w:fill="FFFFFF"/>
        </w:rPr>
      </w:pPr>
      <w:r>
        <w:t>R</w:t>
      </w:r>
      <w:r w:rsidR="00B138CF">
        <w:t>elevant elements of the biosafety component of the post-2020 global biodiversity framework.</w:t>
      </w:r>
    </w:p>
    <w:p w14:paraId="6F4F2A86" w14:textId="61B266E1" w:rsidR="00125AB8" w:rsidRPr="00B51921" w:rsidRDefault="00AD3181" w:rsidP="00853785">
      <w:pPr>
        <w:pStyle w:val="Para1"/>
        <w:tabs>
          <w:tab w:val="clear" w:pos="360"/>
        </w:tabs>
        <w:rPr>
          <w:szCs w:val="22"/>
          <w:shd w:val="clear" w:color="auto" w:fill="FFFFFF"/>
        </w:rPr>
      </w:pPr>
      <w:r w:rsidRPr="00B51921">
        <w:rPr>
          <w:szCs w:val="22"/>
        </w:rPr>
        <w:t xml:space="preserve">A total of </w:t>
      </w:r>
      <w:r w:rsidR="00DB46C8">
        <w:rPr>
          <w:szCs w:val="22"/>
        </w:rPr>
        <w:t>28</w:t>
      </w:r>
      <w:r w:rsidRPr="00B51921">
        <w:rPr>
          <w:szCs w:val="22"/>
        </w:rPr>
        <w:t xml:space="preserve"> submissions were received.</w:t>
      </w:r>
      <w:r w:rsidR="003C0217" w:rsidRPr="00853785">
        <w:rPr>
          <w:rStyle w:val="FootnoteReference"/>
          <w:sz w:val="22"/>
          <w:szCs w:val="22"/>
          <w:u w:val="none"/>
          <w:vertAlign w:val="superscript"/>
        </w:rPr>
        <w:footnoteReference w:id="1"/>
      </w:r>
      <w:r w:rsidR="00254982" w:rsidRPr="00B51921">
        <w:rPr>
          <w:szCs w:val="22"/>
        </w:rPr>
        <w:t xml:space="preserve"> </w:t>
      </w:r>
      <w:r w:rsidR="00B138CF" w:rsidRPr="00B51921">
        <w:rPr>
          <w:szCs w:val="22"/>
        </w:rPr>
        <w:t xml:space="preserve">The views </w:t>
      </w:r>
      <w:r w:rsidR="00E543A8" w:rsidRPr="00B51921">
        <w:rPr>
          <w:szCs w:val="22"/>
        </w:rPr>
        <w:t xml:space="preserve">presented </w:t>
      </w:r>
      <w:r w:rsidR="00B138CF" w:rsidRPr="00B51921">
        <w:rPr>
          <w:szCs w:val="22"/>
        </w:rPr>
        <w:t>have been synthesized in document CBD/CP/LG/</w:t>
      </w:r>
      <w:r w:rsidR="004130D9" w:rsidRPr="00B51921">
        <w:rPr>
          <w:szCs w:val="22"/>
        </w:rPr>
        <w:t>2019/1</w:t>
      </w:r>
      <w:r w:rsidR="00B138CF" w:rsidRPr="00B51921">
        <w:rPr>
          <w:szCs w:val="22"/>
        </w:rPr>
        <w:t>/INF/1</w:t>
      </w:r>
      <w:r w:rsidR="003C0217" w:rsidRPr="00B51921">
        <w:rPr>
          <w:szCs w:val="22"/>
        </w:rPr>
        <w:t xml:space="preserve">, an information document for the </w:t>
      </w:r>
      <w:r w:rsidR="00D01E22" w:rsidRPr="00B51921">
        <w:rPr>
          <w:szCs w:val="22"/>
        </w:rPr>
        <w:t>thirteenth</w:t>
      </w:r>
      <w:r w:rsidR="003C0217" w:rsidRPr="00B51921">
        <w:rPr>
          <w:szCs w:val="22"/>
        </w:rPr>
        <w:t xml:space="preserve"> meeting of the Liaison Group</w:t>
      </w:r>
      <w:r w:rsidR="003F1571" w:rsidRPr="00B51921">
        <w:rPr>
          <w:szCs w:val="22"/>
        </w:rPr>
        <w:t>,</w:t>
      </w:r>
      <w:r w:rsidR="003C0217" w:rsidRPr="00B51921">
        <w:rPr>
          <w:szCs w:val="22"/>
        </w:rPr>
        <w:t xml:space="preserve"> which </w:t>
      </w:r>
      <w:r w:rsidR="00D01E22" w:rsidRPr="00B51921">
        <w:rPr>
          <w:szCs w:val="22"/>
        </w:rPr>
        <w:t xml:space="preserve">will </w:t>
      </w:r>
      <w:r w:rsidR="003C0217" w:rsidRPr="00B51921">
        <w:rPr>
          <w:szCs w:val="22"/>
        </w:rPr>
        <w:t>also be made available for the Consultation</w:t>
      </w:r>
      <w:r w:rsidR="00B138CF" w:rsidRPr="00B51921">
        <w:rPr>
          <w:szCs w:val="22"/>
        </w:rPr>
        <w:t xml:space="preserve">. </w:t>
      </w:r>
      <w:r w:rsidR="002A4212" w:rsidRPr="00B51921">
        <w:rPr>
          <w:szCs w:val="22"/>
        </w:rPr>
        <w:t>Section IV of</w:t>
      </w:r>
      <w:r w:rsidR="00125AB8" w:rsidRPr="00B51921">
        <w:rPr>
          <w:szCs w:val="22"/>
        </w:rPr>
        <w:t xml:space="preserve"> the</w:t>
      </w:r>
      <w:r w:rsidR="002A4212" w:rsidRPr="00B51921">
        <w:rPr>
          <w:szCs w:val="22"/>
        </w:rPr>
        <w:t xml:space="preserve"> document contains a synthesis of the views on the relevant elements of the biosafety component of the post-2020 global biodiversity framework.</w:t>
      </w:r>
      <w:r w:rsidR="00125AB8" w:rsidRPr="00B51921">
        <w:rPr>
          <w:szCs w:val="22"/>
          <w:shd w:val="clear" w:color="auto" w:fill="FFFFFF"/>
        </w:rPr>
        <w:t xml:space="preserve"> The Consultation will be the first occasion dedicated specifically to considering the biosafety component of </w:t>
      </w:r>
      <w:r w:rsidR="00125AB8" w:rsidRPr="00B51921">
        <w:rPr>
          <w:snapToGrid/>
          <w:kern w:val="22"/>
          <w:szCs w:val="22"/>
        </w:rPr>
        <w:t>the post-2020 global biodiversity framework</w:t>
      </w:r>
      <w:r w:rsidR="00125AB8" w:rsidRPr="00B51921">
        <w:rPr>
          <w:szCs w:val="22"/>
          <w:shd w:val="clear" w:color="auto" w:fill="FFFFFF"/>
        </w:rPr>
        <w:t>. The Liaison Group at its thirteenth meeting is expected to address this issue further.</w:t>
      </w:r>
    </w:p>
    <w:p w14:paraId="3D62B999" w14:textId="1731377F" w:rsidR="00125AB8" w:rsidRDefault="00D45E03" w:rsidP="00853785">
      <w:pPr>
        <w:pStyle w:val="Para1"/>
        <w:tabs>
          <w:tab w:val="clear" w:pos="360"/>
        </w:tabs>
        <w:rPr>
          <w:shd w:val="clear" w:color="auto" w:fill="FFFFFF"/>
        </w:rPr>
      </w:pPr>
      <w:r w:rsidRPr="00B51921">
        <w:rPr>
          <w:szCs w:val="22"/>
          <w:shd w:val="clear" w:color="auto" w:fill="FFFFFF"/>
        </w:rPr>
        <w:t>The submissions made</w:t>
      </w:r>
      <w:r w:rsidR="003B387C" w:rsidRPr="00B51921">
        <w:rPr>
          <w:szCs w:val="22"/>
          <w:shd w:val="clear" w:color="auto" w:fill="FFFFFF"/>
        </w:rPr>
        <w:t xml:space="preserve"> in response to notification 2019-027, on the structure and content of the </w:t>
      </w:r>
      <w:r w:rsidR="0090011B">
        <w:rPr>
          <w:szCs w:val="22"/>
          <w:shd w:val="clear" w:color="auto" w:fill="FFFFFF"/>
        </w:rPr>
        <w:t>i</w:t>
      </w:r>
      <w:r w:rsidR="003B387C" w:rsidRPr="00B51921">
        <w:rPr>
          <w:szCs w:val="22"/>
          <w:shd w:val="clear" w:color="auto" w:fill="FFFFFF"/>
        </w:rPr>
        <w:t xml:space="preserve">mplementation </w:t>
      </w:r>
      <w:r w:rsidR="0090011B">
        <w:rPr>
          <w:szCs w:val="22"/>
          <w:shd w:val="clear" w:color="auto" w:fill="FFFFFF"/>
        </w:rPr>
        <w:t>p</w:t>
      </w:r>
      <w:r w:rsidR="003B387C" w:rsidRPr="00B51921">
        <w:rPr>
          <w:szCs w:val="22"/>
          <w:shd w:val="clear" w:color="auto" w:fill="FFFFFF"/>
        </w:rPr>
        <w:t>lan,</w:t>
      </w:r>
      <w:r w:rsidRPr="00B51921">
        <w:rPr>
          <w:szCs w:val="22"/>
          <w:shd w:val="clear" w:color="auto" w:fill="FFFFFF"/>
        </w:rPr>
        <w:t xml:space="preserve"> formed the basis for the preparation of a draft </w:t>
      </w:r>
      <w:r w:rsidR="0090011B">
        <w:rPr>
          <w:szCs w:val="22"/>
          <w:shd w:val="clear" w:color="auto" w:fill="FFFFFF"/>
        </w:rPr>
        <w:t>i</w:t>
      </w:r>
      <w:r w:rsidRPr="00B51921">
        <w:rPr>
          <w:szCs w:val="22"/>
          <w:shd w:val="clear" w:color="auto" w:fill="FFFFFF"/>
        </w:rPr>
        <w:t xml:space="preserve">mplementation </w:t>
      </w:r>
      <w:r w:rsidR="0090011B">
        <w:rPr>
          <w:szCs w:val="22"/>
          <w:shd w:val="clear" w:color="auto" w:fill="FFFFFF"/>
        </w:rPr>
        <w:t>p</w:t>
      </w:r>
      <w:r w:rsidRPr="00B51921">
        <w:rPr>
          <w:szCs w:val="22"/>
          <w:shd w:val="clear" w:color="auto" w:fill="FFFFFF"/>
        </w:rPr>
        <w:t>lan</w:t>
      </w:r>
      <w:r w:rsidR="00F5798B" w:rsidRPr="00B51921">
        <w:rPr>
          <w:szCs w:val="22"/>
          <w:shd w:val="clear" w:color="auto" w:fill="FFFFFF"/>
        </w:rPr>
        <w:t xml:space="preserve"> by the </w:t>
      </w:r>
      <w:r w:rsidR="003B387C" w:rsidRPr="00B51921">
        <w:rPr>
          <w:szCs w:val="22"/>
          <w:shd w:val="clear" w:color="auto" w:fill="FFFFFF"/>
        </w:rPr>
        <w:t>Secretariat</w:t>
      </w:r>
      <w:r w:rsidRPr="00B51921">
        <w:rPr>
          <w:szCs w:val="22"/>
          <w:shd w:val="clear" w:color="auto" w:fill="FFFFFF"/>
        </w:rPr>
        <w:t xml:space="preserve">, </w:t>
      </w:r>
      <w:r w:rsidRPr="00B51921">
        <w:rPr>
          <w:szCs w:val="22"/>
          <w:shd w:val="clear" w:color="auto" w:fill="FFFFFF"/>
        </w:rPr>
        <w:lastRenderedPageBreak/>
        <w:t>which was discussed f</w:t>
      </w:r>
      <w:r w:rsidR="00A94427" w:rsidRPr="00B51921">
        <w:rPr>
          <w:szCs w:val="22"/>
          <w:shd w:val="clear" w:color="auto" w:fill="FFFFFF"/>
        </w:rPr>
        <w:t>rom 8 to 19 July</w:t>
      </w:r>
      <w:r w:rsidR="004C7C3A" w:rsidRPr="00B51921">
        <w:rPr>
          <w:szCs w:val="22"/>
          <w:shd w:val="clear" w:color="auto" w:fill="FFFFFF"/>
        </w:rPr>
        <w:t xml:space="preserve"> 2019</w:t>
      </w:r>
      <w:r w:rsidR="00A94427" w:rsidRPr="00B51921">
        <w:rPr>
          <w:szCs w:val="22"/>
          <w:shd w:val="clear" w:color="auto" w:fill="FFFFFF"/>
        </w:rPr>
        <w:t xml:space="preserve"> </w:t>
      </w:r>
      <w:r w:rsidRPr="00B51921">
        <w:rPr>
          <w:szCs w:val="22"/>
          <w:shd w:val="clear" w:color="auto" w:fill="FFFFFF"/>
        </w:rPr>
        <w:t xml:space="preserve">through </w:t>
      </w:r>
      <w:r w:rsidR="00A94427" w:rsidRPr="00B51921">
        <w:rPr>
          <w:szCs w:val="22"/>
          <w:shd w:val="clear" w:color="auto" w:fill="FFFFFF"/>
        </w:rPr>
        <w:t>online discussion</w:t>
      </w:r>
      <w:r w:rsidR="004C7C3A" w:rsidRPr="00B51921">
        <w:rPr>
          <w:szCs w:val="22"/>
          <w:shd w:val="clear" w:color="auto" w:fill="FFFFFF"/>
        </w:rPr>
        <w:t>s of Parties and other stakeholders</w:t>
      </w:r>
      <w:r w:rsidRPr="00B51921">
        <w:rPr>
          <w:szCs w:val="22"/>
          <w:shd w:val="clear" w:color="auto" w:fill="FFFFFF"/>
        </w:rPr>
        <w:t>.</w:t>
      </w:r>
      <w:r w:rsidR="004C7C3A">
        <w:rPr>
          <w:shd w:val="clear" w:color="auto" w:fill="FFFFFF"/>
        </w:rPr>
        <w:t xml:space="preserve"> </w:t>
      </w:r>
      <w:r w:rsidR="00C55FED">
        <w:rPr>
          <w:shd w:val="clear" w:color="auto" w:fill="FFFFFF"/>
        </w:rPr>
        <w:t xml:space="preserve">The draft </w:t>
      </w:r>
      <w:r w:rsidR="00A3278A">
        <w:rPr>
          <w:shd w:val="clear" w:color="auto" w:fill="FFFFFF"/>
        </w:rPr>
        <w:t>i</w:t>
      </w:r>
      <w:r w:rsidR="00C55FED">
        <w:rPr>
          <w:shd w:val="clear" w:color="auto" w:fill="FFFFFF"/>
        </w:rPr>
        <w:t xml:space="preserve">mplementation </w:t>
      </w:r>
      <w:r w:rsidR="00A3278A">
        <w:rPr>
          <w:shd w:val="clear" w:color="auto" w:fill="FFFFFF"/>
        </w:rPr>
        <w:t>p</w:t>
      </w:r>
      <w:r w:rsidR="00C55FED">
        <w:rPr>
          <w:shd w:val="clear" w:color="auto" w:fill="FFFFFF"/>
        </w:rPr>
        <w:t xml:space="preserve">lan will </w:t>
      </w:r>
      <w:r w:rsidR="003B387C">
        <w:rPr>
          <w:shd w:val="clear" w:color="auto" w:fill="FFFFFF"/>
        </w:rPr>
        <w:t xml:space="preserve">be </w:t>
      </w:r>
      <w:r w:rsidR="00C55FED">
        <w:rPr>
          <w:shd w:val="clear" w:color="auto" w:fill="FFFFFF"/>
        </w:rPr>
        <w:t>further discussed at the thirteenth meeting of the Liaison Group for the Cartagena Protocol</w:t>
      </w:r>
      <w:r w:rsidR="00C55FED" w:rsidRPr="002A4212">
        <w:rPr>
          <w:shd w:val="clear" w:color="auto" w:fill="FFFFFF"/>
        </w:rPr>
        <w:t>.</w:t>
      </w:r>
    </w:p>
    <w:p w14:paraId="0EEF6033" w14:textId="1417C025" w:rsidR="00760B78" w:rsidRDefault="00125AB8" w:rsidP="00853785">
      <w:pPr>
        <w:pStyle w:val="Para1"/>
        <w:tabs>
          <w:tab w:val="clear" w:pos="360"/>
        </w:tabs>
        <w:spacing w:after="240"/>
        <w:rPr>
          <w:shd w:val="clear" w:color="auto" w:fill="FFFFFF"/>
        </w:rPr>
      </w:pPr>
      <w:r>
        <w:rPr>
          <w:shd w:val="clear" w:color="auto" w:fill="FFFFFF"/>
        </w:rPr>
        <w:t>The submissions on possible elements of a specific action plan for capacity-building on biosafety will be used to develop a draft of the action plan which will also be considered</w:t>
      </w:r>
      <w:r w:rsidR="00C55FED">
        <w:rPr>
          <w:shd w:val="clear" w:color="auto" w:fill="FFFFFF"/>
        </w:rPr>
        <w:t xml:space="preserve"> </w:t>
      </w:r>
      <w:r>
        <w:rPr>
          <w:shd w:val="clear" w:color="auto" w:fill="FFFFFF"/>
        </w:rPr>
        <w:t>at the thirteenth meeting of the Liaison Group for the Cartagena Protocol</w:t>
      </w:r>
      <w:r w:rsidRPr="002A4212">
        <w:rPr>
          <w:shd w:val="clear" w:color="auto" w:fill="FFFFFF"/>
        </w:rPr>
        <w:t>.</w:t>
      </w:r>
      <w:bookmarkStart w:id="3" w:name="_GoBack"/>
      <w:bookmarkEnd w:id="3"/>
    </w:p>
    <w:p w14:paraId="103CF2DB" w14:textId="562ABEB4" w:rsidR="00AC1A04" w:rsidRPr="00245D9A" w:rsidRDefault="00B70267" w:rsidP="00853785">
      <w:pPr>
        <w:pStyle w:val="Para1"/>
        <w:keepNext/>
        <w:numPr>
          <w:ilvl w:val="0"/>
          <w:numId w:val="0"/>
        </w:numPr>
        <w:kinsoku w:val="0"/>
        <w:overflowPunct w:val="0"/>
        <w:autoSpaceDE w:val="0"/>
        <w:autoSpaceDN w:val="0"/>
        <w:adjustRightInd w:val="0"/>
        <w:snapToGrid w:val="0"/>
        <w:rPr>
          <w:b/>
          <w:szCs w:val="22"/>
          <w:shd w:val="clear" w:color="auto" w:fill="FFFFFF"/>
        </w:rPr>
      </w:pPr>
      <w:r w:rsidRPr="00245D9A">
        <w:rPr>
          <w:b/>
          <w:szCs w:val="22"/>
          <w:shd w:val="clear" w:color="auto" w:fill="FFFFFF"/>
        </w:rPr>
        <w:t>Table 1</w:t>
      </w:r>
      <w:r w:rsidR="00A3278A" w:rsidRPr="00245D9A">
        <w:rPr>
          <w:b/>
          <w:szCs w:val="22"/>
          <w:shd w:val="clear" w:color="auto" w:fill="FFFFFF"/>
        </w:rPr>
        <w:t>.</w:t>
      </w:r>
      <w:r w:rsidRPr="00245D9A">
        <w:rPr>
          <w:b/>
          <w:szCs w:val="22"/>
          <w:shd w:val="clear" w:color="auto" w:fill="FFFFFF"/>
        </w:rPr>
        <w:t xml:space="preserve"> Overview of post-2020 processes under the Cartagena Protocol</w:t>
      </w:r>
    </w:p>
    <w:p w14:paraId="034DD109" w14:textId="6BDEAA11" w:rsidR="00B70267" w:rsidRPr="00245D9A" w:rsidRDefault="00745EE4" w:rsidP="00AC1A04">
      <w:pPr>
        <w:pStyle w:val="Para1"/>
        <w:numPr>
          <w:ilvl w:val="0"/>
          <w:numId w:val="0"/>
        </w:numPr>
        <w:kinsoku w:val="0"/>
        <w:overflowPunct w:val="0"/>
        <w:autoSpaceDE w:val="0"/>
        <w:autoSpaceDN w:val="0"/>
        <w:adjustRightInd w:val="0"/>
        <w:snapToGrid w:val="0"/>
        <w:rPr>
          <w:shd w:val="clear" w:color="auto" w:fill="FFFFFF"/>
        </w:rPr>
      </w:pPr>
      <w:r w:rsidRPr="00245D9A">
        <w:rPr>
          <w:noProof/>
          <w:shd w:val="clear" w:color="auto" w:fill="FFFFFF"/>
        </w:rPr>
        <w:drawing>
          <wp:inline distT="0" distB="0" distL="0" distR="0" wp14:anchorId="6357F4D7" wp14:editId="329DD5DD">
            <wp:extent cx="6001300" cy="401590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3932" cy="4037737"/>
                    </a:xfrm>
                    <a:prstGeom prst="rect">
                      <a:avLst/>
                    </a:prstGeom>
                    <a:noFill/>
                  </pic:spPr>
                </pic:pic>
              </a:graphicData>
            </a:graphic>
          </wp:inline>
        </w:drawing>
      </w:r>
      <w:r w:rsidR="00E85B55" w:rsidRPr="00245D9A" w:rsidDel="00E85B55">
        <w:rPr>
          <w:shd w:val="clear" w:color="auto" w:fill="FFFFFF"/>
        </w:rPr>
        <w:t xml:space="preserve"> </w:t>
      </w:r>
    </w:p>
    <w:p w14:paraId="358CCD7E" w14:textId="5242329D" w:rsidR="00125AB8" w:rsidRPr="00853785" w:rsidRDefault="00091FAE" w:rsidP="00853785">
      <w:pPr>
        <w:pStyle w:val="Para1"/>
        <w:tabs>
          <w:tab w:val="clear" w:pos="360"/>
        </w:tabs>
        <w:kinsoku w:val="0"/>
        <w:overflowPunct w:val="0"/>
        <w:autoSpaceDE w:val="0"/>
        <w:autoSpaceDN w:val="0"/>
        <w:adjustRightInd w:val="0"/>
        <w:snapToGrid w:val="0"/>
        <w:spacing w:before="240"/>
        <w:rPr>
          <w:kern w:val="22"/>
          <w:szCs w:val="22"/>
          <w:shd w:val="clear" w:color="auto" w:fill="FFFFFF"/>
        </w:rPr>
      </w:pPr>
      <w:bookmarkStart w:id="4" w:name="_Ref14366422"/>
      <w:r w:rsidRPr="00853785">
        <w:rPr>
          <w:kern w:val="22"/>
          <w:szCs w:val="22"/>
          <w:shd w:val="clear" w:color="auto" w:fill="FFFFFF"/>
        </w:rPr>
        <w:t xml:space="preserve">Following </w:t>
      </w:r>
      <w:r w:rsidR="00BF45DC" w:rsidRPr="00853785">
        <w:rPr>
          <w:kern w:val="22"/>
          <w:szCs w:val="22"/>
          <w:shd w:val="clear" w:color="auto" w:fill="FFFFFF"/>
        </w:rPr>
        <w:t>decision 14/34, an initial discussion document on the post-2020 global biodiversity framework</w:t>
      </w:r>
      <w:r w:rsidRPr="00853785">
        <w:rPr>
          <w:kern w:val="22"/>
          <w:szCs w:val="22"/>
          <w:shd w:val="clear" w:color="auto" w:fill="FFFFFF"/>
        </w:rPr>
        <w:t xml:space="preserve"> was </w:t>
      </w:r>
      <w:r w:rsidR="005E6193" w:rsidRPr="00853785">
        <w:rPr>
          <w:kern w:val="22"/>
          <w:szCs w:val="22"/>
          <w:shd w:val="clear" w:color="auto" w:fill="FFFFFF"/>
        </w:rPr>
        <w:t>issued,</w:t>
      </w:r>
      <w:r w:rsidR="005E6193" w:rsidRPr="00853785">
        <w:rPr>
          <w:kern w:val="22"/>
          <w:szCs w:val="22"/>
          <w:shd w:val="clear" w:color="auto" w:fill="FFFFFF"/>
        </w:rPr>
        <w:t xml:space="preserve"> </w:t>
      </w:r>
      <w:r w:rsidRPr="00853785">
        <w:rPr>
          <w:kern w:val="22"/>
          <w:szCs w:val="22"/>
          <w:shd w:val="clear" w:color="auto" w:fill="FFFFFF"/>
        </w:rPr>
        <w:t>and the Executive Secretary, through notification 2019-008, invited the submission of</w:t>
      </w:r>
      <w:r w:rsidR="00BF45DC" w:rsidRPr="00853785">
        <w:rPr>
          <w:kern w:val="22"/>
          <w:szCs w:val="22"/>
          <w:shd w:val="clear" w:color="auto" w:fill="FFFFFF"/>
        </w:rPr>
        <w:t xml:space="preserve"> </w:t>
      </w:r>
      <w:r w:rsidRPr="00853785">
        <w:rPr>
          <w:kern w:val="22"/>
          <w:szCs w:val="22"/>
          <w:shd w:val="clear" w:color="auto" w:fill="FFFFFF"/>
        </w:rPr>
        <w:t>v</w:t>
      </w:r>
      <w:r w:rsidR="00BF45DC" w:rsidRPr="00853785">
        <w:rPr>
          <w:kern w:val="22"/>
          <w:szCs w:val="22"/>
          <w:shd w:val="clear" w:color="auto" w:fill="FFFFFF"/>
        </w:rPr>
        <w:t>iews on the document. The submissions received address, among other</w:t>
      </w:r>
      <w:r w:rsidR="00A75BE6" w:rsidRPr="00853785">
        <w:rPr>
          <w:kern w:val="22"/>
          <w:szCs w:val="22"/>
          <w:shd w:val="clear" w:color="auto" w:fill="FFFFFF"/>
        </w:rPr>
        <w:t xml:space="preserve"> thing</w:t>
      </w:r>
      <w:r w:rsidR="00BF45DC" w:rsidRPr="00853785">
        <w:rPr>
          <w:kern w:val="22"/>
          <w:szCs w:val="22"/>
          <w:shd w:val="clear" w:color="auto" w:fill="FFFFFF"/>
        </w:rPr>
        <w:t>s, the relation between the Convention and the Protocol. A synthesis of the views has been made available for consideration at the first meeting of the Open-ended Working Group on the Post-2020 Global Biodiversity Framework</w:t>
      </w:r>
      <w:r w:rsidR="00A1420A" w:rsidRPr="00853785">
        <w:rPr>
          <w:rStyle w:val="CommentReference"/>
          <w:snapToGrid/>
          <w:kern w:val="22"/>
          <w:sz w:val="22"/>
          <w:szCs w:val="22"/>
        </w:rPr>
        <w:commentReference w:id="5"/>
      </w:r>
      <w:r w:rsidR="00BF45DC" w:rsidRPr="00853785">
        <w:rPr>
          <w:kern w:val="22"/>
          <w:szCs w:val="22"/>
          <w:shd w:val="clear" w:color="auto" w:fill="FFFFFF"/>
        </w:rPr>
        <w:t>.</w:t>
      </w:r>
      <w:r w:rsidR="00472191" w:rsidRPr="00853785">
        <w:rPr>
          <w:rStyle w:val="FootnoteReference"/>
          <w:kern w:val="22"/>
          <w:sz w:val="22"/>
          <w:szCs w:val="22"/>
          <w:u w:val="none"/>
          <w:shd w:val="clear" w:color="auto" w:fill="FFFFFF"/>
          <w:vertAlign w:val="superscript"/>
        </w:rPr>
        <w:footnoteReference w:id="2"/>
      </w:r>
      <w:r w:rsidR="00BF45DC" w:rsidRPr="00853785">
        <w:rPr>
          <w:kern w:val="22"/>
          <w:szCs w:val="22"/>
          <w:shd w:val="clear" w:color="auto" w:fill="FFFFFF"/>
        </w:rPr>
        <w:t xml:space="preserve"> The </w:t>
      </w:r>
      <w:r w:rsidR="00EB51CE" w:rsidRPr="00853785">
        <w:rPr>
          <w:kern w:val="22"/>
          <w:szCs w:val="22"/>
          <w:shd w:val="clear" w:color="auto" w:fill="FFFFFF"/>
        </w:rPr>
        <w:t>a</w:t>
      </w:r>
      <w:r w:rsidR="00BF45DC" w:rsidRPr="00853785">
        <w:rPr>
          <w:kern w:val="22"/>
          <w:szCs w:val="22"/>
          <w:shd w:val="clear" w:color="auto" w:fill="FFFFFF"/>
        </w:rPr>
        <w:t xml:space="preserve">nnex </w:t>
      </w:r>
      <w:r w:rsidR="00A1420A" w:rsidRPr="00853785">
        <w:rPr>
          <w:kern w:val="22"/>
          <w:szCs w:val="22"/>
          <w:shd w:val="clear" w:color="auto" w:fill="FFFFFF"/>
        </w:rPr>
        <w:t xml:space="preserve">to </w:t>
      </w:r>
      <w:r w:rsidR="00BF45DC" w:rsidRPr="00853785">
        <w:rPr>
          <w:kern w:val="22"/>
          <w:szCs w:val="22"/>
          <w:shd w:val="clear" w:color="auto" w:fill="FFFFFF"/>
        </w:rPr>
        <w:t xml:space="preserve">document CBD/CP/LG/2019/1/INF/1 contains </w:t>
      </w:r>
      <w:r w:rsidR="00197A9F" w:rsidRPr="00853785">
        <w:rPr>
          <w:kern w:val="22"/>
          <w:szCs w:val="22"/>
          <w:shd w:val="clear" w:color="auto" w:fill="FFFFFF"/>
        </w:rPr>
        <w:t xml:space="preserve">the </w:t>
      </w:r>
      <w:r w:rsidR="003B6CC2" w:rsidRPr="00853785">
        <w:rPr>
          <w:kern w:val="22"/>
          <w:szCs w:val="22"/>
          <w:shd w:val="clear" w:color="auto" w:fill="FFFFFF"/>
        </w:rPr>
        <w:t>relevan</w:t>
      </w:r>
      <w:r w:rsidR="005B0E1B" w:rsidRPr="00853785">
        <w:rPr>
          <w:kern w:val="22"/>
          <w:szCs w:val="22"/>
          <w:shd w:val="clear" w:color="auto" w:fill="FFFFFF"/>
        </w:rPr>
        <w:t>t</w:t>
      </w:r>
      <w:r w:rsidR="003B6CC2" w:rsidRPr="00853785">
        <w:rPr>
          <w:kern w:val="22"/>
          <w:szCs w:val="22"/>
          <w:shd w:val="clear" w:color="auto" w:fill="FFFFFF"/>
        </w:rPr>
        <w:t xml:space="preserve"> part of the </w:t>
      </w:r>
      <w:r w:rsidR="00BF45DC" w:rsidRPr="00853785">
        <w:rPr>
          <w:kern w:val="22"/>
          <w:szCs w:val="22"/>
          <w:shd w:val="clear" w:color="auto" w:fill="FFFFFF"/>
        </w:rPr>
        <w:t>synthesis and compilation of views</w:t>
      </w:r>
      <w:r w:rsidR="003B6CC2" w:rsidRPr="00853785">
        <w:rPr>
          <w:kern w:val="22"/>
          <w:szCs w:val="22"/>
          <w:shd w:val="clear" w:color="auto" w:fill="FFFFFF"/>
        </w:rPr>
        <w:t xml:space="preserve">, </w:t>
      </w:r>
      <w:r w:rsidR="001112FC" w:rsidRPr="00853785">
        <w:rPr>
          <w:kern w:val="22"/>
          <w:szCs w:val="22"/>
          <w:shd w:val="clear" w:color="auto" w:fill="FFFFFF"/>
        </w:rPr>
        <w:t>to the extent that they relate to biosafety or the Protocol</w:t>
      </w:r>
      <w:r w:rsidR="00BF45DC" w:rsidRPr="00853785">
        <w:rPr>
          <w:kern w:val="22"/>
          <w:szCs w:val="22"/>
          <w:shd w:val="clear" w:color="auto" w:fill="FFFFFF"/>
        </w:rPr>
        <w:t>.</w:t>
      </w:r>
      <w:r w:rsidR="00BF45DC" w:rsidRPr="00853785">
        <w:rPr>
          <w:rStyle w:val="FootnoteReference"/>
          <w:kern w:val="22"/>
          <w:sz w:val="22"/>
          <w:szCs w:val="22"/>
          <w:u w:val="none"/>
          <w:shd w:val="clear" w:color="auto" w:fill="FFFFFF"/>
          <w:vertAlign w:val="superscript"/>
        </w:rPr>
        <w:footnoteReference w:id="3"/>
      </w:r>
      <w:bookmarkEnd w:id="4"/>
    </w:p>
    <w:p w14:paraId="106FB021" w14:textId="2CEA340F" w:rsidR="006E6289" w:rsidRPr="00B33201" w:rsidRDefault="00A3278A" w:rsidP="00853785">
      <w:pPr>
        <w:pStyle w:val="Heading1"/>
        <w:numPr>
          <w:ilvl w:val="0"/>
          <w:numId w:val="26"/>
        </w:numPr>
        <w:tabs>
          <w:tab w:val="clear" w:pos="720"/>
        </w:tabs>
        <w:spacing w:before="120"/>
        <w:ind w:left="1287"/>
        <w:jc w:val="left"/>
        <w:rPr>
          <w:rFonts w:ascii="Times New Roman Bold" w:hAnsi="Times New Roman Bold" w:cs="Times New Roman Bold"/>
          <w:caps w:val="0"/>
          <w:snapToGrid w:val="0"/>
          <w:kern w:val="22"/>
        </w:rPr>
      </w:pPr>
      <w:r>
        <w:rPr>
          <w:rFonts w:ascii="Times New Roman Bold" w:hAnsi="Times New Roman Bold" w:cs="Times New Roman Bold"/>
          <w:caps w:val="0"/>
          <w:snapToGrid w:val="0"/>
          <w:kern w:val="22"/>
        </w:rPr>
        <w:t>BIOSAFETY IN THE POST-2020 GLOBAL BIODIVERSITY FRAMEWORK: THE BIG PICTURE</w:t>
      </w:r>
    </w:p>
    <w:p w14:paraId="03429522" w14:textId="2FDBE5D6" w:rsidR="00091FAE" w:rsidRDefault="00091FAE" w:rsidP="00853785">
      <w:pPr>
        <w:pStyle w:val="Para1"/>
        <w:tabs>
          <w:tab w:val="clear" w:pos="360"/>
        </w:tabs>
        <w:rPr>
          <w:shd w:val="clear" w:color="auto" w:fill="FFFFFF"/>
        </w:rPr>
      </w:pPr>
      <w:r>
        <w:t xml:space="preserve">This section provides a summary of views submitted in response </w:t>
      </w:r>
      <w:r>
        <w:rPr>
          <w:shd w:val="clear" w:color="auto" w:fill="FFFFFF"/>
        </w:rPr>
        <w:t xml:space="preserve">to </w:t>
      </w:r>
      <w:r w:rsidRPr="004725E3">
        <w:rPr>
          <w:shd w:val="clear" w:color="auto" w:fill="FFFFFF"/>
        </w:rPr>
        <w:t>notification 2019-008, on the post-2020 global biodiversity framework</w:t>
      </w:r>
      <w:r>
        <w:rPr>
          <w:shd w:val="clear" w:color="auto" w:fill="FFFFFF"/>
        </w:rPr>
        <w:t>,</w:t>
      </w:r>
      <w:r w:rsidRPr="004725E3">
        <w:rPr>
          <w:shd w:val="clear" w:color="auto" w:fill="FFFFFF"/>
        </w:rPr>
        <w:t xml:space="preserve"> </w:t>
      </w:r>
      <w:r>
        <w:rPr>
          <w:shd w:val="clear" w:color="auto" w:fill="FFFFFF"/>
        </w:rPr>
        <w:t>and in response to</w:t>
      </w:r>
      <w:r w:rsidRPr="004725E3">
        <w:rPr>
          <w:shd w:val="clear" w:color="auto" w:fill="FFFFFF"/>
        </w:rPr>
        <w:t xml:space="preserve"> notification 2019-02</w:t>
      </w:r>
      <w:r>
        <w:rPr>
          <w:shd w:val="clear" w:color="auto" w:fill="FFFFFF"/>
        </w:rPr>
        <w:t>7,</w:t>
      </w:r>
      <w:r w:rsidRPr="004725E3">
        <w:rPr>
          <w:shd w:val="clear" w:color="auto" w:fill="FFFFFF"/>
        </w:rPr>
        <w:t xml:space="preserve"> on the post-2020 process under the Cartagena Protocol</w:t>
      </w:r>
      <w:r w:rsidR="00F70ECB">
        <w:rPr>
          <w:shd w:val="clear" w:color="auto" w:fill="FFFFFF"/>
        </w:rPr>
        <w:t>,</w:t>
      </w:r>
      <w:r>
        <w:rPr>
          <w:shd w:val="clear" w:color="auto" w:fill="FFFFFF"/>
        </w:rPr>
        <w:t xml:space="preserve"> that </w:t>
      </w:r>
      <w:r w:rsidRPr="00A40A00">
        <w:rPr>
          <w:shd w:val="clear" w:color="auto" w:fill="FFFFFF"/>
        </w:rPr>
        <w:t>touch</w:t>
      </w:r>
      <w:r>
        <w:rPr>
          <w:shd w:val="clear" w:color="auto" w:fill="FFFFFF"/>
        </w:rPr>
        <w:t xml:space="preserve"> on fundamental linkages between biosafety and biodiversity.</w:t>
      </w:r>
    </w:p>
    <w:p w14:paraId="57CF9EA9" w14:textId="74040ACC" w:rsidR="00EF38BC" w:rsidRPr="00B51921" w:rsidRDefault="008D6BD9" w:rsidP="00853785">
      <w:pPr>
        <w:pStyle w:val="Para1"/>
        <w:tabs>
          <w:tab w:val="clear" w:pos="360"/>
        </w:tabs>
        <w:rPr>
          <w:szCs w:val="22"/>
          <w:shd w:val="clear" w:color="auto" w:fill="FFFFFF"/>
        </w:rPr>
      </w:pPr>
      <w:r w:rsidRPr="00B51921">
        <w:rPr>
          <w:szCs w:val="22"/>
        </w:rPr>
        <w:lastRenderedPageBreak/>
        <w:t>While biosafety is relevant to several of its Strategic Goals and Targets, the St</w:t>
      </w:r>
      <w:r w:rsidR="00ED7181" w:rsidRPr="00B51921">
        <w:rPr>
          <w:szCs w:val="22"/>
        </w:rPr>
        <w:t>rategic Plan for Biodiversity 2011-2020</w:t>
      </w:r>
      <w:r w:rsidRPr="00B51921">
        <w:rPr>
          <w:szCs w:val="22"/>
        </w:rPr>
        <w:t xml:space="preserve"> does not explicitly refer to biosafety.</w:t>
      </w:r>
      <w:r w:rsidR="009F6152" w:rsidRPr="00B51921">
        <w:rPr>
          <w:szCs w:val="22"/>
        </w:rPr>
        <w:t xml:space="preserve"> </w:t>
      </w:r>
      <w:r w:rsidR="00556F1E" w:rsidRPr="00B51921">
        <w:rPr>
          <w:szCs w:val="22"/>
        </w:rPr>
        <w:t>Rather</w:t>
      </w:r>
      <w:r w:rsidR="00984E3E" w:rsidRPr="00B51921">
        <w:rPr>
          <w:szCs w:val="22"/>
        </w:rPr>
        <w:t>, a</w:t>
      </w:r>
      <w:r w:rsidR="00151A4E" w:rsidRPr="00B51921">
        <w:rPr>
          <w:szCs w:val="22"/>
        </w:rPr>
        <w:t xml:space="preserve"> specific </w:t>
      </w:r>
      <w:r w:rsidR="002F4813" w:rsidRPr="00B51921">
        <w:rPr>
          <w:szCs w:val="22"/>
        </w:rPr>
        <w:t>instrument</w:t>
      </w:r>
      <w:r w:rsidR="00151A4E" w:rsidRPr="00B51921">
        <w:rPr>
          <w:szCs w:val="22"/>
        </w:rPr>
        <w:t xml:space="preserve"> was dedicated to biosafety in the form of the </w:t>
      </w:r>
      <w:r w:rsidR="009F6152" w:rsidRPr="00B51921">
        <w:rPr>
          <w:szCs w:val="22"/>
        </w:rPr>
        <w:t>Strategic Plan for the Cartagena Protocol 2011-2020.</w:t>
      </w:r>
    </w:p>
    <w:p w14:paraId="34371BEF" w14:textId="516C3A6A" w:rsidR="00EF38BC" w:rsidRPr="00B51921" w:rsidRDefault="00054C48" w:rsidP="00BD0710">
      <w:pPr>
        <w:pStyle w:val="Para1"/>
        <w:tabs>
          <w:tab w:val="clear" w:pos="360"/>
        </w:tabs>
        <w:rPr>
          <w:szCs w:val="22"/>
          <w:shd w:val="clear" w:color="auto" w:fill="FFFFFF"/>
        </w:rPr>
      </w:pPr>
      <w:bookmarkStart w:id="6" w:name="_Ref14365059"/>
      <w:r w:rsidRPr="00B51921">
        <w:rPr>
          <w:szCs w:val="22"/>
          <w:shd w:val="clear" w:color="auto" w:fill="FFFFFF"/>
        </w:rPr>
        <w:t xml:space="preserve">Similarly, </w:t>
      </w:r>
      <w:r w:rsidR="006E04D0" w:rsidRPr="00B51921">
        <w:rPr>
          <w:szCs w:val="22"/>
          <w:shd w:val="clear" w:color="auto" w:fill="FFFFFF"/>
        </w:rPr>
        <w:t xml:space="preserve">no specific reference to biosafety is included in the </w:t>
      </w:r>
      <w:r w:rsidR="00ED1F13" w:rsidRPr="00B51921">
        <w:rPr>
          <w:szCs w:val="22"/>
          <w:shd w:val="clear" w:color="auto" w:fill="FFFFFF"/>
        </w:rPr>
        <w:t>Sustainable Development Goals</w:t>
      </w:r>
      <w:r w:rsidR="006E04D0" w:rsidRPr="00B51921">
        <w:rPr>
          <w:szCs w:val="22"/>
          <w:shd w:val="clear" w:color="auto" w:fill="FFFFFF"/>
        </w:rPr>
        <w:t>.</w:t>
      </w:r>
      <w:r w:rsidR="00A248BE" w:rsidRPr="00853785">
        <w:rPr>
          <w:rStyle w:val="FootnoteReference"/>
          <w:sz w:val="22"/>
          <w:szCs w:val="22"/>
          <w:u w:val="none"/>
          <w:shd w:val="clear" w:color="auto" w:fill="FFFFFF"/>
          <w:vertAlign w:val="superscript"/>
        </w:rPr>
        <w:footnoteReference w:id="4"/>
      </w:r>
      <w:r w:rsidR="006E04D0" w:rsidRPr="00B51921">
        <w:rPr>
          <w:szCs w:val="22"/>
          <w:shd w:val="clear" w:color="auto" w:fill="FFFFFF"/>
        </w:rPr>
        <w:t xml:space="preserve"> That said, biosafety is of relevance to </w:t>
      </w:r>
      <w:proofErr w:type="gramStart"/>
      <w:r w:rsidR="006E04D0" w:rsidRPr="00B51921">
        <w:rPr>
          <w:szCs w:val="22"/>
          <w:shd w:val="clear" w:color="auto" w:fill="FFFFFF"/>
        </w:rPr>
        <w:t>a number of</w:t>
      </w:r>
      <w:proofErr w:type="gramEnd"/>
      <w:r w:rsidR="002D744C" w:rsidRPr="00B51921">
        <w:rPr>
          <w:szCs w:val="22"/>
          <w:shd w:val="clear" w:color="auto" w:fill="FFFFFF"/>
        </w:rPr>
        <w:t xml:space="preserve"> </w:t>
      </w:r>
      <w:r w:rsidR="007538AD" w:rsidRPr="00B51921">
        <w:rPr>
          <w:szCs w:val="22"/>
          <w:shd w:val="clear" w:color="auto" w:fill="FFFFFF"/>
        </w:rPr>
        <w:t xml:space="preserve">the </w:t>
      </w:r>
      <w:r w:rsidR="00694CB9">
        <w:rPr>
          <w:szCs w:val="22"/>
          <w:shd w:val="clear" w:color="auto" w:fill="FFFFFF"/>
        </w:rPr>
        <w:t>Sustainable Development Goal</w:t>
      </w:r>
      <w:r w:rsidR="008529FE" w:rsidRPr="00B51921">
        <w:rPr>
          <w:szCs w:val="22"/>
          <w:shd w:val="clear" w:color="auto" w:fill="FFFFFF"/>
        </w:rPr>
        <w:t xml:space="preserve">s and </w:t>
      </w:r>
      <w:r w:rsidR="007538AD" w:rsidRPr="00B51921">
        <w:rPr>
          <w:szCs w:val="22"/>
          <w:shd w:val="clear" w:color="auto" w:fill="FFFFFF"/>
        </w:rPr>
        <w:t>their</w:t>
      </w:r>
      <w:r w:rsidR="008529FE" w:rsidRPr="00B51921">
        <w:rPr>
          <w:szCs w:val="22"/>
          <w:shd w:val="clear" w:color="auto" w:fill="FFFFFF"/>
        </w:rPr>
        <w:t xml:space="preserve"> targets</w:t>
      </w:r>
      <w:r w:rsidR="0068341B" w:rsidRPr="00B51921">
        <w:rPr>
          <w:szCs w:val="22"/>
          <w:shd w:val="clear" w:color="auto" w:fill="FFFFFF"/>
        </w:rPr>
        <w:t xml:space="preserve"> and the implementation of the Cartagena Protocol can contribute to the attainment of these Goals and Targets.</w:t>
      </w:r>
      <w:bookmarkEnd w:id="6"/>
    </w:p>
    <w:p w14:paraId="0578D556" w14:textId="0E582BB8" w:rsidR="00861BED" w:rsidRPr="00B51921" w:rsidRDefault="00384F1E" w:rsidP="00853785">
      <w:pPr>
        <w:pStyle w:val="Para1"/>
        <w:tabs>
          <w:tab w:val="clear" w:pos="360"/>
        </w:tabs>
        <w:rPr>
          <w:szCs w:val="22"/>
          <w:shd w:val="clear" w:color="auto" w:fill="FFFFFF"/>
        </w:rPr>
      </w:pPr>
      <w:bookmarkStart w:id="7" w:name="_Ref14365074"/>
      <w:r w:rsidRPr="00B51921">
        <w:rPr>
          <w:kern w:val="22"/>
          <w:szCs w:val="22"/>
        </w:rPr>
        <w:t>The submissions generally underscored the importance of ensuring that the post-2020 global biodiversity framework is aligned with the Sustainable Development Goals and referred in this context to the contribution of biosafety and the Protocol to areas such as food security and health.</w:t>
      </w:r>
      <w:bookmarkEnd w:id="7"/>
    </w:p>
    <w:p w14:paraId="6E3D7EA4" w14:textId="4009C6C8" w:rsidR="00B2775C" w:rsidRPr="00B51921" w:rsidRDefault="00C42D4C" w:rsidP="00853785">
      <w:pPr>
        <w:pStyle w:val="Para1"/>
        <w:tabs>
          <w:tab w:val="clear" w:pos="360"/>
        </w:tabs>
        <w:rPr>
          <w:szCs w:val="22"/>
          <w:shd w:val="clear" w:color="auto" w:fill="FFFFFF"/>
        </w:rPr>
      </w:pPr>
      <w:r w:rsidRPr="00B51921">
        <w:rPr>
          <w:szCs w:val="22"/>
          <w:shd w:val="clear" w:color="auto" w:fill="FFFFFF"/>
        </w:rPr>
        <w:t>The submissions</w:t>
      </w:r>
      <w:r w:rsidR="00040F81" w:rsidRPr="00B51921">
        <w:rPr>
          <w:szCs w:val="22"/>
        </w:rPr>
        <w:t xml:space="preserve"> suggested that</w:t>
      </w:r>
      <w:r w:rsidR="007A72B7" w:rsidRPr="00B51921">
        <w:rPr>
          <w:szCs w:val="22"/>
        </w:rPr>
        <w:t xml:space="preserve"> </w:t>
      </w:r>
      <w:r w:rsidR="00040F81" w:rsidRPr="00B51921">
        <w:rPr>
          <w:szCs w:val="22"/>
        </w:rPr>
        <w:t>biosafety</w:t>
      </w:r>
      <w:r w:rsidR="00FE5A21" w:rsidRPr="00B51921">
        <w:rPr>
          <w:szCs w:val="22"/>
        </w:rPr>
        <w:t xml:space="preserve"> </w:t>
      </w:r>
      <w:r w:rsidR="006E1FD8" w:rsidRPr="00B51921">
        <w:rPr>
          <w:szCs w:val="22"/>
        </w:rPr>
        <w:t xml:space="preserve">is inextricably linked </w:t>
      </w:r>
      <w:r w:rsidR="00CD1E53" w:rsidRPr="00B51921">
        <w:rPr>
          <w:szCs w:val="22"/>
        </w:rPr>
        <w:t>with</w:t>
      </w:r>
      <w:r w:rsidR="006E1FD8" w:rsidRPr="00B51921">
        <w:rPr>
          <w:szCs w:val="22"/>
        </w:rPr>
        <w:t xml:space="preserve"> the objectives of the Convention,</w:t>
      </w:r>
      <w:r w:rsidR="005B1B98" w:rsidRPr="00B51921">
        <w:rPr>
          <w:szCs w:val="22"/>
        </w:rPr>
        <w:t xml:space="preserve"> </w:t>
      </w:r>
      <w:proofErr w:type="gramStart"/>
      <w:r w:rsidR="002F3F7A" w:rsidRPr="00B51921">
        <w:rPr>
          <w:szCs w:val="22"/>
        </w:rPr>
        <w:t xml:space="preserve">in particular </w:t>
      </w:r>
      <w:r w:rsidR="005B1B98" w:rsidRPr="00B51921">
        <w:rPr>
          <w:szCs w:val="22"/>
        </w:rPr>
        <w:t>for</w:t>
      </w:r>
      <w:proofErr w:type="gramEnd"/>
      <w:r w:rsidR="005B1B98" w:rsidRPr="00B51921">
        <w:rPr>
          <w:szCs w:val="22"/>
        </w:rPr>
        <w:t xml:space="preserve"> </w:t>
      </w:r>
      <w:r w:rsidR="00660637" w:rsidRPr="00B51921">
        <w:rPr>
          <w:szCs w:val="22"/>
        </w:rPr>
        <w:t>its contribution to</w:t>
      </w:r>
      <w:r w:rsidR="006E1FD8" w:rsidRPr="00B51921">
        <w:rPr>
          <w:szCs w:val="22"/>
        </w:rPr>
        <w:t xml:space="preserve"> conservation and sustainable use</w:t>
      </w:r>
      <w:r w:rsidR="005B1B98" w:rsidRPr="00B51921">
        <w:rPr>
          <w:szCs w:val="22"/>
        </w:rPr>
        <w:t xml:space="preserve"> of biological diversity</w:t>
      </w:r>
      <w:r w:rsidR="00482E7D" w:rsidRPr="00B51921">
        <w:rPr>
          <w:szCs w:val="22"/>
        </w:rPr>
        <w:t>,</w:t>
      </w:r>
      <w:r w:rsidR="00607F59" w:rsidRPr="00B51921">
        <w:rPr>
          <w:szCs w:val="22"/>
        </w:rPr>
        <w:t xml:space="preserve"> and that for this reason biosafety should be included in the post-2020 global biodiversity framework.</w:t>
      </w:r>
    </w:p>
    <w:p w14:paraId="1B227979" w14:textId="7044234A" w:rsidR="00F67CFB" w:rsidRPr="00B51921" w:rsidRDefault="007A72B7" w:rsidP="00853785">
      <w:pPr>
        <w:pStyle w:val="Para1"/>
        <w:tabs>
          <w:tab w:val="clear" w:pos="360"/>
        </w:tabs>
        <w:rPr>
          <w:szCs w:val="22"/>
          <w:shd w:val="clear" w:color="auto" w:fill="FFFFFF"/>
        </w:rPr>
      </w:pPr>
      <w:r w:rsidRPr="00B51921">
        <w:rPr>
          <w:szCs w:val="22"/>
        </w:rPr>
        <w:t>It</w:t>
      </w:r>
      <w:r w:rsidR="00841218" w:rsidRPr="00B51921">
        <w:rPr>
          <w:szCs w:val="22"/>
        </w:rPr>
        <w:t xml:space="preserve"> was</w:t>
      </w:r>
      <w:r w:rsidRPr="00B51921">
        <w:rPr>
          <w:szCs w:val="22"/>
        </w:rPr>
        <w:t xml:space="preserve"> </w:t>
      </w:r>
      <w:r w:rsidR="00C52243" w:rsidRPr="00B51921">
        <w:rPr>
          <w:szCs w:val="22"/>
        </w:rPr>
        <w:t>suggested</w:t>
      </w:r>
      <w:r w:rsidRPr="00B51921">
        <w:rPr>
          <w:szCs w:val="22"/>
        </w:rPr>
        <w:t xml:space="preserve"> that </w:t>
      </w:r>
      <w:r w:rsidR="002B2CAA" w:rsidRPr="00B51921">
        <w:rPr>
          <w:szCs w:val="22"/>
        </w:rPr>
        <w:t>a</w:t>
      </w:r>
      <w:r w:rsidR="00721ACA" w:rsidRPr="00B51921">
        <w:rPr>
          <w:szCs w:val="22"/>
        </w:rPr>
        <w:t>ny target related to biosafety should focus on commitments</w:t>
      </w:r>
      <w:r w:rsidR="001549AE" w:rsidRPr="00B51921">
        <w:rPr>
          <w:szCs w:val="22"/>
        </w:rPr>
        <w:t xml:space="preserve"> of Parties</w:t>
      </w:r>
      <w:r w:rsidR="00721ACA" w:rsidRPr="00B51921">
        <w:rPr>
          <w:szCs w:val="22"/>
        </w:rPr>
        <w:t xml:space="preserve"> under the Convention. </w:t>
      </w:r>
      <w:r w:rsidRPr="00B51921">
        <w:rPr>
          <w:szCs w:val="22"/>
        </w:rPr>
        <w:t xml:space="preserve">In this context, </w:t>
      </w:r>
      <w:r w:rsidR="002C653B" w:rsidRPr="00B51921">
        <w:rPr>
          <w:szCs w:val="22"/>
        </w:rPr>
        <w:t xml:space="preserve">reference </w:t>
      </w:r>
      <w:r w:rsidRPr="00B51921">
        <w:rPr>
          <w:szCs w:val="22"/>
        </w:rPr>
        <w:t>was made to focusing</w:t>
      </w:r>
      <w:r w:rsidR="0015613F" w:rsidRPr="00B51921">
        <w:rPr>
          <w:szCs w:val="22"/>
        </w:rPr>
        <w:t xml:space="preserve"> </w:t>
      </w:r>
      <w:r w:rsidR="00721ACA" w:rsidRPr="00B51921">
        <w:rPr>
          <w:szCs w:val="22"/>
        </w:rPr>
        <w:t>on issues addressed in the Articles of the Convention</w:t>
      </w:r>
      <w:r w:rsidR="0015613F" w:rsidRPr="00B51921">
        <w:rPr>
          <w:szCs w:val="22"/>
        </w:rPr>
        <w:t xml:space="preserve"> related to biosafety, </w:t>
      </w:r>
      <w:proofErr w:type="gramStart"/>
      <w:r w:rsidR="0015613F" w:rsidRPr="00B51921">
        <w:rPr>
          <w:szCs w:val="22"/>
        </w:rPr>
        <w:t>in particular</w:t>
      </w:r>
      <w:r w:rsidR="002C653B" w:rsidRPr="00B51921">
        <w:rPr>
          <w:szCs w:val="22"/>
        </w:rPr>
        <w:t xml:space="preserve"> to</w:t>
      </w:r>
      <w:proofErr w:type="gramEnd"/>
      <w:r w:rsidR="0015613F" w:rsidRPr="00B51921">
        <w:rPr>
          <w:szCs w:val="22"/>
        </w:rPr>
        <w:t xml:space="preserve"> </w:t>
      </w:r>
      <w:r w:rsidR="00721ACA" w:rsidRPr="00B51921">
        <w:rPr>
          <w:szCs w:val="22"/>
        </w:rPr>
        <w:t>Article 8</w:t>
      </w:r>
      <w:r w:rsidR="00474A3F" w:rsidRPr="00B51921">
        <w:rPr>
          <w:szCs w:val="22"/>
        </w:rPr>
        <w:t>(g)</w:t>
      </w:r>
      <w:r w:rsidR="004901B3" w:rsidRPr="00B51921">
        <w:rPr>
          <w:szCs w:val="22"/>
        </w:rPr>
        <w:t xml:space="preserve"> and Article 19 of the Convention. </w:t>
      </w:r>
      <w:r w:rsidR="00152378" w:rsidRPr="00B51921">
        <w:rPr>
          <w:szCs w:val="22"/>
        </w:rPr>
        <w:t xml:space="preserve">The text of Article 8(g) and Article 19 is reproduced in </w:t>
      </w:r>
      <w:r w:rsidR="00EB51CE" w:rsidRPr="00B51921">
        <w:rPr>
          <w:szCs w:val="22"/>
        </w:rPr>
        <w:t>the a</w:t>
      </w:r>
      <w:r w:rsidR="00152378" w:rsidRPr="00B51921">
        <w:rPr>
          <w:szCs w:val="22"/>
        </w:rPr>
        <w:t>nnex</w:t>
      </w:r>
      <w:r w:rsidR="007538AD" w:rsidRPr="00B51921">
        <w:rPr>
          <w:szCs w:val="22"/>
        </w:rPr>
        <w:t xml:space="preserve"> below</w:t>
      </w:r>
      <w:r w:rsidR="00152378" w:rsidRPr="00B51921">
        <w:rPr>
          <w:szCs w:val="22"/>
        </w:rPr>
        <w:t>.</w:t>
      </w:r>
    </w:p>
    <w:p w14:paraId="10672CF8" w14:textId="010ACA58" w:rsidR="007277B7" w:rsidRPr="00B51921" w:rsidRDefault="007277B7" w:rsidP="00853785">
      <w:pPr>
        <w:pStyle w:val="Para1"/>
        <w:tabs>
          <w:tab w:val="clear" w:pos="360"/>
        </w:tabs>
        <w:rPr>
          <w:szCs w:val="22"/>
          <w:shd w:val="clear" w:color="auto" w:fill="FFFFFF"/>
        </w:rPr>
      </w:pPr>
      <w:r w:rsidRPr="00B51921">
        <w:rPr>
          <w:szCs w:val="22"/>
        </w:rPr>
        <w:t xml:space="preserve">Including biosafety in the post-2020 global biodiversity framework was considered to contribute to the integration of the work under the Convention and the Protocols. </w:t>
      </w:r>
      <w:r w:rsidR="00446DB0" w:rsidRPr="00B51921">
        <w:rPr>
          <w:szCs w:val="22"/>
        </w:rPr>
        <w:t>S</w:t>
      </w:r>
      <w:r w:rsidRPr="00B51921">
        <w:rPr>
          <w:szCs w:val="22"/>
        </w:rPr>
        <w:t xml:space="preserve">uggestions were made that targets and indicators developed under the Protocol should be supportive of the post-2020 global biodiversity framework and </w:t>
      </w:r>
      <w:r w:rsidR="00446DB0" w:rsidRPr="00B51921">
        <w:rPr>
          <w:szCs w:val="22"/>
        </w:rPr>
        <w:t xml:space="preserve">that this would </w:t>
      </w:r>
      <w:r w:rsidRPr="00B51921">
        <w:rPr>
          <w:szCs w:val="22"/>
        </w:rPr>
        <w:t>contribute to integration and greater contribution</w:t>
      </w:r>
      <w:r w:rsidR="006F7A5C" w:rsidRPr="00B51921">
        <w:rPr>
          <w:szCs w:val="22"/>
        </w:rPr>
        <w:t xml:space="preserve"> of the Protocol to the achievement of the objectives of the Convention</w:t>
      </w:r>
      <w:r w:rsidRPr="00B51921">
        <w:rPr>
          <w:szCs w:val="22"/>
        </w:rPr>
        <w:t>.</w:t>
      </w:r>
      <w:r w:rsidRPr="00B51921">
        <w:rPr>
          <w:szCs w:val="22"/>
          <w:shd w:val="clear" w:color="auto" w:fill="FFFFFF"/>
        </w:rPr>
        <w:t xml:space="preserve"> The submissions generally highlighted the need to develop simple and specific, or SMART</w:t>
      </w:r>
      <w:r w:rsidR="00567A09" w:rsidRPr="00B51921">
        <w:rPr>
          <w:szCs w:val="22"/>
          <w:shd w:val="clear" w:color="auto" w:fill="FFFFFF"/>
        </w:rPr>
        <w:t>,</w:t>
      </w:r>
      <w:r w:rsidRPr="00853785">
        <w:rPr>
          <w:rStyle w:val="FootnoteReference"/>
          <w:sz w:val="22"/>
          <w:szCs w:val="22"/>
          <w:u w:val="none"/>
          <w:shd w:val="clear" w:color="auto" w:fill="FFFFFF"/>
          <w:vertAlign w:val="superscript"/>
        </w:rPr>
        <w:footnoteReference w:id="5"/>
      </w:r>
      <w:r w:rsidRPr="00B51921">
        <w:rPr>
          <w:szCs w:val="22"/>
          <w:shd w:val="clear" w:color="auto" w:fill="FFFFFF"/>
        </w:rPr>
        <w:t xml:space="preserve"> biosafety indicators in the post-2020 global biodiversity framework.</w:t>
      </w:r>
    </w:p>
    <w:p w14:paraId="07BF1035" w14:textId="16013A35" w:rsidR="00961357" w:rsidRPr="00B51921" w:rsidRDefault="009976E9" w:rsidP="00853785">
      <w:pPr>
        <w:pStyle w:val="Para1"/>
        <w:tabs>
          <w:tab w:val="clear" w:pos="360"/>
        </w:tabs>
        <w:rPr>
          <w:szCs w:val="22"/>
          <w:shd w:val="clear" w:color="auto" w:fill="FFFFFF"/>
        </w:rPr>
      </w:pPr>
      <w:r w:rsidRPr="00B51921">
        <w:rPr>
          <w:szCs w:val="22"/>
        </w:rPr>
        <w:t>Several submissions stressed the importance of c</w:t>
      </w:r>
      <w:r w:rsidR="008F1279" w:rsidRPr="00B51921">
        <w:rPr>
          <w:szCs w:val="22"/>
        </w:rPr>
        <w:t xml:space="preserve">onsidering </w:t>
      </w:r>
      <w:r w:rsidR="00686ED7" w:rsidRPr="00B51921">
        <w:rPr>
          <w:szCs w:val="22"/>
        </w:rPr>
        <w:t>new and emerging technologies, including synthetic biology and gene editing, in the development of the post-2020 global biodiversity framework</w:t>
      </w:r>
      <w:r w:rsidR="00125CF5" w:rsidRPr="00B51921">
        <w:rPr>
          <w:szCs w:val="22"/>
        </w:rPr>
        <w:t xml:space="preserve"> and its biosafety component</w:t>
      </w:r>
      <w:r w:rsidR="00686ED7" w:rsidRPr="00B51921">
        <w:rPr>
          <w:szCs w:val="22"/>
        </w:rPr>
        <w:t>.</w:t>
      </w:r>
    </w:p>
    <w:p w14:paraId="10C93DC5" w14:textId="77777777" w:rsidR="00BD33CA" w:rsidRPr="00B51921" w:rsidRDefault="00BD33CA" w:rsidP="00853785">
      <w:pPr>
        <w:pStyle w:val="Para1"/>
        <w:tabs>
          <w:tab w:val="clear" w:pos="360"/>
        </w:tabs>
        <w:rPr>
          <w:szCs w:val="22"/>
          <w:shd w:val="clear" w:color="auto" w:fill="FFFFFF"/>
        </w:rPr>
      </w:pPr>
      <w:r w:rsidRPr="00B51921">
        <w:rPr>
          <w:szCs w:val="22"/>
        </w:rPr>
        <w:t>It was suggested that addressing biosafety within the post-2020 global biodiversity framework would facilitate participation by developing countries in biotechnology research, as well as access, on mutually agreed terms, to the results and benefits arising from biotechnologies.</w:t>
      </w:r>
    </w:p>
    <w:p w14:paraId="23E2BECA" w14:textId="77F0C36D" w:rsidR="00961357" w:rsidRPr="007538AD" w:rsidRDefault="00961357" w:rsidP="00853785">
      <w:pPr>
        <w:pStyle w:val="Para1"/>
        <w:tabs>
          <w:tab w:val="clear" w:pos="360"/>
        </w:tabs>
        <w:rPr>
          <w:shd w:val="clear" w:color="auto" w:fill="FFFFFF"/>
        </w:rPr>
      </w:pPr>
      <w:r>
        <w:t xml:space="preserve">It was also suggested that a biosafety </w:t>
      </w:r>
      <w:r w:rsidRPr="00E91990">
        <w:rPr>
          <w:shd w:val="clear" w:color="auto" w:fill="FFFFFF"/>
        </w:rPr>
        <w:t>t</w:t>
      </w:r>
      <w:r w:rsidRPr="00820E75">
        <w:t xml:space="preserve">arget </w:t>
      </w:r>
      <w:r>
        <w:t>sh</w:t>
      </w:r>
      <w:r w:rsidRPr="00820E75">
        <w:t>ould</w:t>
      </w:r>
      <w:r>
        <w:t xml:space="preserve"> </w:t>
      </w:r>
      <w:r w:rsidRPr="00820E75">
        <w:t xml:space="preserve">focus on </w:t>
      </w:r>
      <w:r>
        <w:t>advancement of the number of Parties having ratified the</w:t>
      </w:r>
      <w:r w:rsidRPr="00820E75">
        <w:t xml:space="preserve"> Cartagena Protocol</w:t>
      </w:r>
      <w:r>
        <w:t xml:space="preserve"> and the</w:t>
      </w:r>
      <w:r w:rsidRPr="00820E75">
        <w:t xml:space="preserve"> Nagoya – Kuala Lumpur Supplementary Protocol on Liability and Redress.</w:t>
      </w:r>
    </w:p>
    <w:p w14:paraId="41B77AD5" w14:textId="79E53D48" w:rsidR="00086DDC" w:rsidRPr="00A34148" w:rsidRDefault="006A7DB5" w:rsidP="00853785">
      <w:pPr>
        <w:pStyle w:val="Para1"/>
        <w:tabs>
          <w:tab w:val="clear" w:pos="360"/>
        </w:tabs>
      </w:pPr>
      <w:r>
        <w:rPr>
          <w:shd w:val="clear" w:color="auto" w:fill="FFFFFF"/>
        </w:rPr>
        <w:t>In session</w:t>
      </w:r>
      <w:r w:rsidR="00FD24B1">
        <w:rPr>
          <w:shd w:val="clear" w:color="auto" w:fill="FFFFFF"/>
        </w:rPr>
        <w:t xml:space="preserve"> 3 of the </w:t>
      </w:r>
      <w:r w:rsidR="007538AD">
        <w:rPr>
          <w:shd w:val="clear" w:color="auto" w:fill="FFFFFF"/>
        </w:rPr>
        <w:t>Consultation</w:t>
      </w:r>
      <w:r w:rsidR="00FD24B1">
        <w:rPr>
          <w:shd w:val="clear" w:color="auto" w:fill="FFFFFF"/>
        </w:rPr>
        <w:t xml:space="preserve">, </w:t>
      </w:r>
      <w:r w:rsidR="00054C48">
        <w:rPr>
          <w:shd w:val="clear" w:color="auto" w:fill="FFFFFF"/>
        </w:rPr>
        <w:t>participants may wish to further expand on the issues set out above</w:t>
      </w:r>
      <w:r w:rsidR="009B16D6">
        <w:rPr>
          <w:shd w:val="clear" w:color="auto" w:fill="FFFFFF"/>
        </w:rPr>
        <w:t xml:space="preserve"> and on how </w:t>
      </w:r>
      <w:r w:rsidR="009B16D6" w:rsidDel="007B59ED">
        <w:rPr>
          <w:snapToGrid/>
          <w:kern w:val="22"/>
        </w:rPr>
        <w:t>biosafety contribute</w:t>
      </w:r>
      <w:r w:rsidR="00034C3F">
        <w:rPr>
          <w:snapToGrid/>
          <w:kern w:val="22"/>
        </w:rPr>
        <w:t>s</w:t>
      </w:r>
      <w:r w:rsidR="009B16D6" w:rsidDel="007B59ED">
        <w:rPr>
          <w:snapToGrid/>
          <w:kern w:val="22"/>
        </w:rPr>
        <w:t xml:space="preserve"> to achieving the objectives of the Convention and the 2050 vision of living in harmony with natur</w:t>
      </w:r>
      <w:r w:rsidR="00D21BF6">
        <w:rPr>
          <w:snapToGrid/>
          <w:kern w:val="22"/>
        </w:rPr>
        <w:t>e.</w:t>
      </w:r>
    </w:p>
    <w:p w14:paraId="1E6BA65E" w14:textId="6722D13C" w:rsidR="00FC76A7" w:rsidRPr="00FC76A7" w:rsidRDefault="00FC76A7" w:rsidP="00853785">
      <w:pPr>
        <w:pStyle w:val="Heading1"/>
        <w:numPr>
          <w:ilvl w:val="0"/>
          <w:numId w:val="26"/>
        </w:numPr>
        <w:tabs>
          <w:tab w:val="clear" w:pos="720"/>
          <w:tab w:val="left" w:pos="1276"/>
        </w:tabs>
        <w:spacing w:before="120"/>
        <w:ind w:left="1287"/>
        <w:jc w:val="left"/>
        <w:rPr>
          <w:snapToGrid w:val="0"/>
        </w:rPr>
      </w:pPr>
      <w:r>
        <w:rPr>
          <w:snapToGrid w:val="0"/>
        </w:rPr>
        <w:t xml:space="preserve">POSSIBLE BIOSAFETY ELEMENTS </w:t>
      </w:r>
      <w:r w:rsidR="00355E42">
        <w:rPr>
          <w:snapToGrid w:val="0"/>
        </w:rPr>
        <w:t>OF</w:t>
      </w:r>
      <w:r>
        <w:rPr>
          <w:snapToGrid w:val="0"/>
        </w:rPr>
        <w:t xml:space="preserve"> THE </w:t>
      </w:r>
      <w:r w:rsidR="00990BD9">
        <w:rPr>
          <w:snapToGrid w:val="0"/>
        </w:rPr>
        <w:t xml:space="preserve">BIOSAFETY COMPONENT OF THE </w:t>
      </w:r>
      <w:r>
        <w:rPr>
          <w:snapToGrid w:val="0"/>
        </w:rPr>
        <w:t>POST-2020 GLOBAL BIODIVERSITY FRAMEWORK</w:t>
      </w:r>
    </w:p>
    <w:p w14:paraId="6EAAAE62" w14:textId="3FAAC2C0" w:rsidR="0049345A" w:rsidRDefault="00FA52FD" w:rsidP="00853785">
      <w:pPr>
        <w:pStyle w:val="Para1"/>
        <w:tabs>
          <w:tab w:val="clear" w:pos="360"/>
        </w:tabs>
        <w:rPr>
          <w:shd w:val="clear" w:color="auto" w:fill="FFFFFF"/>
        </w:rPr>
      </w:pPr>
      <w:r>
        <w:rPr>
          <w:shd w:val="clear" w:color="auto" w:fill="FFFFFF"/>
        </w:rPr>
        <w:t xml:space="preserve">The views </w:t>
      </w:r>
      <w:r w:rsidR="00F832F2">
        <w:rPr>
          <w:shd w:val="clear" w:color="auto" w:fill="FFFFFF"/>
        </w:rPr>
        <w:t xml:space="preserve">synthesized in </w:t>
      </w:r>
      <w:r w:rsidR="00F832F2" w:rsidRPr="00770B03">
        <w:rPr>
          <w:shd w:val="clear" w:color="auto" w:fill="FFFFFF"/>
        </w:rPr>
        <w:t>document</w:t>
      </w:r>
      <w:r w:rsidR="00F832F2">
        <w:rPr>
          <w:shd w:val="clear" w:color="auto" w:fill="FFFFFF"/>
        </w:rPr>
        <w:t xml:space="preserve"> </w:t>
      </w:r>
      <w:r w:rsidR="00F832F2" w:rsidRPr="00F832F2">
        <w:t>CBD/CP/LG/</w:t>
      </w:r>
      <w:r w:rsidR="00133E6E">
        <w:t>2019/1</w:t>
      </w:r>
      <w:r w:rsidR="00F832F2" w:rsidRPr="00F832F2">
        <w:t>/INF/1</w:t>
      </w:r>
      <w:r w:rsidR="00731B75">
        <w:rPr>
          <w:shd w:val="clear" w:color="auto" w:fill="FFFFFF"/>
        </w:rPr>
        <w:t xml:space="preserve"> </w:t>
      </w:r>
      <w:r w:rsidR="00B760AF">
        <w:rPr>
          <w:shd w:val="clear" w:color="auto" w:fill="FFFFFF"/>
        </w:rPr>
        <w:t>identified</w:t>
      </w:r>
      <w:r w:rsidR="00731B75">
        <w:rPr>
          <w:shd w:val="clear" w:color="auto" w:fill="FFFFFF"/>
        </w:rPr>
        <w:t xml:space="preserve"> </w:t>
      </w:r>
      <w:proofErr w:type="gramStart"/>
      <w:r w:rsidR="00731B75">
        <w:rPr>
          <w:shd w:val="clear" w:color="auto" w:fill="FFFFFF"/>
        </w:rPr>
        <w:t>a number of</w:t>
      </w:r>
      <w:proofErr w:type="gramEnd"/>
      <w:r w:rsidR="00731B75">
        <w:rPr>
          <w:shd w:val="clear" w:color="auto" w:fill="FFFFFF"/>
        </w:rPr>
        <w:t xml:space="preserve"> </w:t>
      </w:r>
      <w:r w:rsidR="00464DA0">
        <w:rPr>
          <w:shd w:val="clear" w:color="auto" w:fill="FFFFFF"/>
        </w:rPr>
        <w:t xml:space="preserve">elements and broader issues and thematic areas for which biosafety may be of relevance. These have been summarized in subsection A below. The specific </w:t>
      </w:r>
      <w:r w:rsidR="00731B75">
        <w:rPr>
          <w:shd w:val="clear" w:color="auto" w:fill="FFFFFF"/>
        </w:rPr>
        <w:t xml:space="preserve">elements of the biosafety component </w:t>
      </w:r>
      <w:r w:rsidR="008838A5">
        <w:rPr>
          <w:shd w:val="clear" w:color="auto" w:fill="FFFFFF"/>
        </w:rPr>
        <w:t>of</w:t>
      </w:r>
      <w:r w:rsidR="0049345A">
        <w:rPr>
          <w:shd w:val="clear" w:color="auto" w:fill="FFFFFF"/>
        </w:rPr>
        <w:t xml:space="preserve"> the post-2020 global biodiversity framework</w:t>
      </w:r>
      <w:r w:rsidR="00FC1022">
        <w:rPr>
          <w:shd w:val="clear" w:color="auto" w:fill="FFFFFF"/>
        </w:rPr>
        <w:t xml:space="preserve"> </w:t>
      </w:r>
      <w:proofErr w:type="gramStart"/>
      <w:r w:rsidR="00FC1022">
        <w:rPr>
          <w:shd w:val="clear" w:color="auto" w:fill="FFFFFF"/>
        </w:rPr>
        <w:t>are</w:t>
      </w:r>
      <w:proofErr w:type="gramEnd"/>
      <w:r w:rsidR="00FC1022">
        <w:rPr>
          <w:shd w:val="clear" w:color="auto" w:fill="FFFFFF"/>
        </w:rPr>
        <w:t xml:space="preserve"> presented </w:t>
      </w:r>
      <w:r w:rsidR="00E029CA">
        <w:rPr>
          <w:shd w:val="clear" w:color="auto" w:fill="FFFFFF"/>
        </w:rPr>
        <w:t>below</w:t>
      </w:r>
      <w:r w:rsidR="008E0CFD">
        <w:rPr>
          <w:shd w:val="clear" w:color="auto" w:fill="FFFFFF"/>
        </w:rPr>
        <w:t>.</w:t>
      </w:r>
      <w:r w:rsidR="00E46C2B">
        <w:rPr>
          <w:shd w:val="clear" w:color="auto" w:fill="FFFFFF"/>
        </w:rPr>
        <w:t xml:space="preserve"> </w:t>
      </w:r>
      <w:r w:rsidR="00B760AF" w:rsidRPr="00BE26E5">
        <w:rPr>
          <w:shd w:val="clear" w:color="auto" w:fill="FFFFFF"/>
        </w:rPr>
        <w:t>T</w:t>
      </w:r>
      <w:r w:rsidR="00B11831" w:rsidRPr="00BE26E5">
        <w:rPr>
          <w:shd w:val="clear" w:color="auto" w:fill="FFFFFF"/>
        </w:rPr>
        <w:t xml:space="preserve">he </w:t>
      </w:r>
      <w:r w:rsidR="00393EEB">
        <w:rPr>
          <w:shd w:val="clear" w:color="auto" w:fill="FFFFFF"/>
        </w:rPr>
        <w:t xml:space="preserve">broader issues </w:t>
      </w:r>
      <w:r w:rsidR="00133E6E">
        <w:rPr>
          <w:shd w:val="clear" w:color="auto" w:fill="FFFFFF"/>
        </w:rPr>
        <w:t>and other thematic</w:t>
      </w:r>
      <w:r w:rsidR="00393EEB">
        <w:rPr>
          <w:shd w:val="clear" w:color="auto" w:fill="FFFFFF"/>
        </w:rPr>
        <w:t xml:space="preserve"> </w:t>
      </w:r>
      <w:r w:rsidR="009926FE">
        <w:rPr>
          <w:shd w:val="clear" w:color="auto" w:fill="FFFFFF"/>
        </w:rPr>
        <w:t>area</w:t>
      </w:r>
      <w:r w:rsidR="00393EEB">
        <w:rPr>
          <w:shd w:val="clear" w:color="auto" w:fill="FFFFFF"/>
        </w:rPr>
        <w:t xml:space="preserve">s </w:t>
      </w:r>
      <w:r w:rsidR="00B760AF" w:rsidRPr="00BE26E5">
        <w:rPr>
          <w:shd w:val="clear" w:color="auto" w:fill="FFFFFF"/>
        </w:rPr>
        <w:t>that may be addressed in the post-2020 global biodiversity framework</w:t>
      </w:r>
      <w:r w:rsidR="00464DA0">
        <w:rPr>
          <w:shd w:val="clear" w:color="auto" w:fill="FFFFFF"/>
        </w:rPr>
        <w:t xml:space="preserve"> </w:t>
      </w:r>
      <w:r w:rsidR="00C456C7">
        <w:rPr>
          <w:shd w:val="clear" w:color="auto" w:fill="FFFFFF"/>
        </w:rPr>
        <w:t xml:space="preserve">and </w:t>
      </w:r>
      <w:r w:rsidR="008E0CFD">
        <w:rPr>
          <w:shd w:val="clear" w:color="auto" w:fill="FFFFFF"/>
        </w:rPr>
        <w:t>to</w:t>
      </w:r>
      <w:r w:rsidR="008E0CFD">
        <w:rPr>
          <w:shd w:val="clear" w:color="auto" w:fill="FFFFFF"/>
        </w:rPr>
        <w:t xml:space="preserve"> </w:t>
      </w:r>
      <w:r w:rsidR="00464DA0">
        <w:rPr>
          <w:shd w:val="clear" w:color="auto" w:fill="FFFFFF"/>
        </w:rPr>
        <w:t xml:space="preserve">which biosafety may be of relevance </w:t>
      </w:r>
      <w:r w:rsidR="00E029CA">
        <w:rPr>
          <w:shd w:val="clear" w:color="auto" w:fill="FFFFFF"/>
        </w:rPr>
        <w:t>are</w:t>
      </w:r>
      <w:r w:rsidR="00E029CA" w:rsidRPr="00BE26E5">
        <w:rPr>
          <w:shd w:val="clear" w:color="auto" w:fill="FFFFFF"/>
        </w:rPr>
        <w:t xml:space="preserve"> </w:t>
      </w:r>
      <w:r w:rsidR="001C4CEB" w:rsidRPr="00BE26E5">
        <w:rPr>
          <w:shd w:val="clear" w:color="auto" w:fill="FFFFFF"/>
        </w:rPr>
        <w:t>provided in subsection</w:t>
      </w:r>
      <w:r w:rsidR="008E0CFD">
        <w:rPr>
          <w:shd w:val="clear" w:color="auto" w:fill="FFFFFF"/>
        </w:rPr>
        <w:t> </w:t>
      </w:r>
      <w:r w:rsidR="00695C48" w:rsidRPr="00853785">
        <w:rPr>
          <w:shd w:val="clear" w:color="auto" w:fill="FFFFFF"/>
        </w:rPr>
        <w:t>B</w:t>
      </w:r>
      <w:r w:rsidR="001C4CEB" w:rsidRPr="006F122F">
        <w:rPr>
          <w:shd w:val="clear" w:color="auto" w:fill="FFFFFF"/>
        </w:rPr>
        <w:t>.</w:t>
      </w:r>
      <w:r w:rsidR="00B11831" w:rsidRPr="00133E6E">
        <w:rPr>
          <w:shd w:val="clear" w:color="auto" w:fill="FFFFFF"/>
        </w:rPr>
        <w:t xml:space="preserve"> </w:t>
      </w:r>
      <w:r w:rsidR="00E76690" w:rsidRPr="00133E6E">
        <w:rPr>
          <w:shd w:val="clear" w:color="auto" w:fill="FFFFFF"/>
        </w:rPr>
        <w:t>Subsection</w:t>
      </w:r>
      <w:r w:rsidR="008E0CFD">
        <w:rPr>
          <w:shd w:val="clear" w:color="auto" w:fill="FFFFFF"/>
        </w:rPr>
        <w:t> </w:t>
      </w:r>
      <w:r w:rsidR="00695C48">
        <w:rPr>
          <w:shd w:val="clear" w:color="auto" w:fill="FFFFFF"/>
        </w:rPr>
        <w:t>C</w:t>
      </w:r>
      <w:r w:rsidR="00133E6E" w:rsidRPr="00133E6E">
        <w:rPr>
          <w:shd w:val="clear" w:color="auto" w:fill="FFFFFF"/>
        </w:rPr>
        <w:t xml:space="preserve"> </w:t>
      </w:r>
      <w:r w:rsidR="00E76690" w:rsidRPr="00133E6E">
        <w:rPr>
          <w:shd w:val="clear" w:color="auto" w:fill="FFFFFF"/>
        </w:rPr>
        <w:t xml:space="preserve">suggests an approach for </w:t>
      </w:r>
      <w:r w:rsidR="00A418B7">
        <w:rPr>
          <w:shd w:val="clear" w:color="auto" w:fill="FFFFFF"/>
        </w:rPr>
        <w:t xml:space="preserve">considering and </w:t>
      </w:r>
      <w:r w:rsidR="00E76690" w:rsidRPr="00133E6E">
        <w:rPr>
          <w:shd w:val="clear" w:color="auto" w:fill="FFFFFF"/>
        </w:rPr>
        <w:t>further expanding on the views during the Consultation.</w:t>
      </w:r>
    </w:p>
    <w:p w14:paraId="2B3D9A02" w14:textId="71E3B623" w:rsidR="00012953" w:rsidRPr="00853785" w:rsidRDefault="00464DA0" w:rsidP="00853785">
      <w:pPr>
        <w:pStyle w:val="Heading2"/>
        <w:tabs>
          <w:tab w:val="clear" w:pos="720"/>
          <w:tab w:val="left" w:pos="284"/>
        </w:tabs>
        <w:rPr>
          <w:i w:val="0"/>
          <w:shd w:val="clear" w:color="auto" w:fill="FFFFFF"/>
        </w:rPr>
      </w:pPr>
      <w:r w:rsidRPr="00853785">
        <w:rPr>
          <w:i w:val="0"/>
          <w:shd w:val="clear" w:color="auto" w:fill="FFFFFF"/>
        </w:rPr>
        <w:t>A</w:t>
      </w:r>
      <w:r w:rsidR="00695C48" w:rsidRPr="00853785">
        <w:rPr>
          <w:i w:val="0"/>
          <w:shd w:val="clear" w:color="auto" w:fill="FFFFFF"/>
        </w:rPr>
        <w:t>.</w:t>
      </w:r>
      <w:r w:rsidR="005451C8" w:rsidRPr="00853785">
        <w:rPr>
          <w:i w:val="0"/>
          <w:shd w:val="clear" w:color="auto" w:fill="FFFFFF"/>
        </w:rPr>
        <w:tab/>
      </w:r>
      <w:r w:rsidR="00012953" w:rsidRPr="00853785">
        <w:rPr>
          <w:i w:val="0"/>
          <w:shd w:val="clear" w:color="auto" w:fill="FFFFFF"/>
        </w:rPr>
        <w:t xml:space="preserve">Specific </w:t>
      </w:r>
      <w:r w:rsidR="009E2720" w:rsidRPr="00853785">
        <w:rPr>
          <w:i w:val="0"/>
          <w:shd w:val="clear" w:color="auto" w:fill="FFFFFF"/>
        </w:rPr>
        <w:t xml:space="preserve">biosafety </w:t>
      </w:r>
      <w:r w:rsidR="00012953" w:rsidRPr="00853785">
        <w:rPr>
          <w:i w:val="0"/>
          <w:shd w:val="clear" w:color="auto" w:fill="FFFFFF"/>
        </w:rPr>
        <w:t xml:space="preserve">elements </w:t>
      </w:r>
      <w:r w:rsidR="009A6D15" w:rsidRPr="00853785">
        <w:rPr>
          <w:i w:val="0"/>
          <w:shd w:val="clear" w:color="auto" w:fill="FFFFFF"/>
        </w:rPr>
        <w:t>identified in the submissions</w:t>
      </w:r>
    </w:p>
    <w:p w14:paraId="727DA5F0" w14:textId="79E74CA2" w:rsidR="006D1F42" w:rsidRDefault="00616F30" w:rsidP="00853785">
      <w:pPr>
        <w:pStyle w:val="Para1"/>
        <w:tabs>
          <w:tab w:val="clear" w:pos="360"/>
        </w:tabs>
        <w:rPr>
          <w:shd w:val="clear" w:color="auto" w:fill="FFFFFF"/>
        </w:rPr>
      </w:pPr>
      <w:r w:rsidRPr="006D1F42">
        <w:rPr>
          <w:shd w:val="clear" w:color="auto" w:fill="FFFFFF"/>
        </w:rPr>
        <w:t>T</w:t>
      </w:r>
      <w:r w:rsidR="006375DC" w:rsidRPr="006D1F42">
        <w:rPr>
          <w:shd w:val="clear" w:color="auto" w:fill="FFFFFF"/>
        </w:rPr>
        <w:t xml:space="preserve">he views submitted suggested the inclusion of </w:t>
      </w:r>
      <w:r w:rsidR="00CA4B79" w:rsidRPr="006D1F42">
        <w:rPr>
          <w:shd w:val="clear" w:color="auto" w:fill="FFFFFF"/>
        </w:rPr>
        <w:t xml:space="preserve">specific </w:t>
      </w:r>
      <w:r w:rsidR="006D1F42" w:rsidRPr="006D1F42">
        <w:rPr>
          <w:shd w:val="clear" w:color="auto" w:fill="FFFFFF"/>
        </w:rPr>
        <w:t xml:space="preserve">biosafety </w:t>
      </w:r>
      <w:r w:rsidR="00CA4B79" w:rsidRPr="006D1F42">
        <w:rPr>
          <w:shd w:val="clear" w:color="auto" w:fill="FFFFFF"/>
        </w:rPr>
        <w:t xml:space="preserve">elements in the </w:t>
      </w:r>
      <w:r w:rsidR="006375DC" w:rsidRPr="006D1F42">
        <w:rPr>
          <w:shd w:val="clear" w:color="auto" w:fill="FFFFFF"/>
        </w:rPr>
        <w:t>post-2020 global biodiversity framework</w:t>
      </w:r>
      <w:r w:rsidR="00197894" w:rsidRPr="006D1F42">
        <w:rPr>
          <w:shd w:val="clear" w:color="auto" w:fill="FFFFFF"/>
        </w:rPr>
        <w:t>, in particular:</w:t>
      </w:r>
      <w:r w:rsidR="00CA4B79" w:rsidRPr="006D1F42">
        <w:rPr>
          <w:shd w:val="clear" w:color="auto" w:fill="FFFFFF"/>
        </w:rPr>
        <w:t xml:space="preserve"> the development of legal and administrative frameworks; risk assessment and risk management, including in relation to new technologies; and detection and identification of living modified organisms, </w:t>
      </w:r>
      <w:proofErr w:type="gramStart"/>
      <w:r w:rsidR="00CA4B79" w:rsidRPr="006D1F42">
        <w:rPr>
          <w:shd w:val="clear" w:color="auto" w:fill="FFFFFF"/>
        </w:rPr>
        <w:t>in particular of</w:t>
      </w:r>
      <w:proofErr w:type="gramEnd"/>
      <w:r w:rsidR="00CA4B79" w:rsidRPr="006D1F42">
        <w:rPr>
          <w:shd w:val="clear" w:color="auto" w:fill="FFFFFF"/>
        </w:rPr>
        <w:t xml:space="preserve"> those living modified organisms that cannot be detected with existing methods. Other specific areas that were suggested to be included in the biosafety component relate to: </w:t>
      </w:r>
      <w:r w:rsidR="00E029CA">
        <w:rPr>
          <w:shd w:val="clear" w:color="auto" w:fill="FFFFFF"/>
        </w:rPr>
        <w:t xml:space="preserve">(a) </w:t>
      </w:r>
      <w:r w:rsidR="00CA4B79" w:rsidRPr="006D1F42">
        <w:rPr>
          <w:shd w:val="clear" w:color="auto" w:fill="FFFFFF"/>
        </w:rPr>
        <w:t xml:space="preserve">analysis of the effects of </w:t>
      </w:r>
      <w:r w:rsidR="00A40A00">
        <w:rPr>
          <w:shd w:val="clear" w:color="auto" w:fill="FFFFFF"/>
        </w:rPr>
        <w:t>living modified organisms</w:t>
      </w:r>
      <w:r w:rsidR="00A40A00" w:rsidRPr="006D1F42">
        <w:rPr>
          <w:shd w:val="clear" w:color="auto" w:fill="FFFFFF"/>
        </w:rPr>
        <w:t xml:space="preserve"> </w:t>
      </w:r>
      <w:r w:rsidR="00CA4B79" w:rsidRPr="006D1F42">
        <w:rPr>
          <w:shd w:val="clear" w:color="auto" w:fill="FFFFFF"/>
        </w:rPr>
        <w:t>on the conservation and sustainable use of biological diversity</w:t>
      </w:r>
      <w:r w:rsidR="00A85185" w:rsidRPr="006D1F42">
        <w:rPr>
          <w:shd w:val="clear" w:color="auto" w:fill="FFFFFF"/>
        </w:rPr>
        <w:t>, including of organisms developed through new technologies</w:t>
      </w:r>
      <w:r w:rsidR="00CA4B79" w:rsidRPr="006D1F42">
        <w:rPr>
          <w:shd w:val="clear" w:color="auto" w:fill="FFFFFF"/>
        </w:rPr>
        <w:t xml:space="preserve">; </w:t>
      </w:r>
      <w:r w:rsidR="00E029CA">
        <w:rPr>
          <w:shd w:val="clear" w:color="auto" w:fill="FFFFFF"/>
        </w:rPr>
        <w:t xml:space="preserve">(b) </w:t>
      </w:r>
      <w:r w:rsidR="00CA4B79" w:rsidRPr="006D1F42">
        <w:rPr>
          <w:shd w:val="clear" w:color="auto" w:fill="FFFFFF"/>
        </w:rPr>
        <w:t xml:space="preserve">information sharing; and </w:t>
      </w:r>
      <w:r w:rsidR="00E029CA">
        <w:rPr>
          <w:shd w:val="clear" w:color="auto" w:fill="FFFFFF"/>
        </w:rPr>
        <w:t xml:space="preserve">(c) </w:t>
      </w:r>
      <w:r w:rsidR="00CA4B79" w:rsidRPr="006D1F42">
        <w:rPr>
          <w:shd w:val="clear" w:color="auto" w:fill="FFFFFF"/>
        </w:rPr>
        <w:t>liability and redress.</w:t>
      </w:r>
    </w:p>
    <w:p w14:paraId="23DE1034" w14:textId="65F8A6FB" w:rsidR="009B53F7" w:rsidRPr="00861BED" w:rsidRDefault="009E2720" w:rsidP="00853785">
      <w:pPr>
        <w:pStyle w:val="Para1"/>
        <w:tabs>
          <w:tab w:val="clear" w:pos="360"/>
        </w:tabs>
        <w:rPr>
          <w:shd w:val="clear" w:color="auto" w:fill="FFFFFF"/>
        </w:rPr>
      </w:pPr>
      <w:r>
        <w:rPr>
          <w:kern w:val="22"/>
          <w:szCs w:val="22"/>
        </w:rPr>
        <w:t>In addition, some submissions suggested s</w:t>
      </w:r>
      <w:r w:rsidR="00861BED">
        <w:rPr>
          <w:shd w:val="clear" w:color="auto" w:fill="FFFFFF"/>
        </w:rPr>
        <w:t>pecific wording for a biosafety target</w:t>
      </w:r>
      <w:r w:rsidR="007E1D45">
        <w:rPr>
          <w:shd w:val="clear" w:color="auto" w:fill="FFFFFF"/>
        </w:rPr>
        <w:t>, as follows</w:t>
      </w:r>
      <w:r w:rsidR="009B53F7" w:rsidRPr="00861BED">
        <w:rPr>
          <w:shd w:val="clear" w:color="auto" w:fill="FFFFFF"/>
        </w:rPr>
        <w:t>:</w:t>
      </w:r>
    </w:p>
    <w:p w14:paraId="1920690B" w14:textId="78BE2647" w:rsidR="009B53F7" w:rsidRPr="0015613F" w:rsidRDefault="009B53F7" w:rsidP="009B53F7">
      <w:pPr>
        <w:pStyle w:val="Para1"/>
        <w:numPr>
          <w:ilvl w:val="1"/>
          <w:numId w:val="4"/>
        </w:numPr>
        <w:rPr>
          <w:shd w:val="clear" w:color="auto" w:fill="FFFFFF"/>
        </w:rPr>
      </w:pPr>
      <w:r w:rsidRPr="00820E75">
        <w:t>“</w:t>
      </w:r>
      <w:r>
        <w:t>A</w:t>
      </w:r>
      <w:r w:rsidRPr="00820E75">
        <w:t>ll Parties possess and maintain the regulatory framework and the capacity to regulate, manage or control the risks associated with the use and release of living modified organisms which are likely to have adverse environmental impacts that could affect the conservation and sustainable use of biological diversity, taking also into account the risks to human health”</w:t>
      </w:r>
      <w:r w:rsidR="00C456C7">
        <w:t>;</w:t>
      </w:r>
    </w:p>
    <w:p w14:paraId="054B0A9A" w14:textId="7F36C4C7" w:rsidR="00BC36A6" w:rsidRPr="00133E6E" w:rsidRDefault="00BD66AA" w:rsidP="00133E6E">
      <w:pPr>
        <w:pStyle w:val="Para1"/>
        <w:numPr>
          <w:ilvl w:val="1"/>
          <w:numId w:val="4"/>
        </w:numPr>
        <w:rPr>
          <w:shd w:val="clear" w:color="auto" w:fill="FFFFFF"/>
        </w:rPr>
      </w:pPr>
      <w:r>
        <w:t>“</w:t>
      </w:r>
      <w:r w:rsidR="009B53F7" w:rsidRPr="00CE280C">
        <w:t>By 2030</w:t>
      </w:r>
      <w:r w:rsidR="007D26FB">
        <w:t>,</w:t>
      </w:r>
      <w:r w:rsidR="009B53F7" w:rsidRPr="00CE280C">
        <w:t xml:space="preserve"> all Parties have in place means to regulate, manage or control the risks associated with the use and release of </w:t>
      </w:r>
      <w:r w:rsidR="00C456C7" w:rsidRPr="00820E75">
        <w:t xml:space="preserve">living modified organisms </w:t>
      </w:r>
      <w:r w:rsidR="009B53F7" w:rsidRPr="00CE280C">
        <w:t>which are likely to have adverse environmental impacts that could affect the conservation and sustainable use of biological diversity</w:t>
      </w:r>
      <w:r w:rsidR="007D26FB">
        <w:t>,</w:t>
      </w:r>
      <w:r w:rsidR="009B53F7" w:rsidRPr="00CE280C">
        <w:t xml:space="preserve"> taking also into account the risks to human health. This can be achieved by implementing different approaches and modalities, </w:t>
      </w:r>
      <w:r w:rsidR="007D26FB">
        <w:t xml:space="preserve">an </w:t>
      </w:r>
      <w:r w:rsidR="007D26FB" w:rsidRPr="00CE280C">
        <w:t xml:space="preserve">important </w:t>
      </w:r>
      <w:r w:rsidR="007D26FB">
        <w:t>one</w:t>
      </w:r>
      <w:r w:rsidR="009B53F7" w:rsidRPr="00CE280C">
        <w:t xml:space="preserve"> being the Cartagena Protocol on Biosafety and its specific Implementation Plan.</w:t>
      </w:r>
      <w:r>
        <w:t>”</w:t>
      </w:r>
    </w:p>
    <w:p w14:paraId="2EC089FC" w14:textId="7327F6E8" w:rsidR="00CA2090" w:rsidRPr="00853785" w:rsidRDefault="00695C48" w:rsidP="00853785">
      <w:pPr>
        <w:pStyle w:val="Heading2"/>
        <w:tabs>
          <w:tab w:val="clear" w:pos="720"/>
          <w:tab w:val="left" w:pos="284"/>
        </w:tabs>
        <w:rPr>
          <w:i w:val="0"/>
          <w:shd w:val="clear" w:color="auto" w:fill="FFFFFF"/>
        </w:rPr>
      </w:pPr>
      <w:r>
        <w:rPr>
          <w:i w:val="0"/>
          <w:shd w:val="clear" w:color="auto" w:fill="FFFFFF"/>
        </w:rPr>
        <w:t>B</w:t>
      </w:r>
      <w:r w:rsidR="005451C8" w:rsidRPr="00853785">
        <w:rPr>
          <w:i w:val="0"/>
          <w:shd w:val="clear" w:color="auto" w:fill="FFFFFF"/>
        </w:rPr>
        <w:t>.</w:t>
      </w:r>
      <w:r w:rsidR="005451C8" w:rsidRPr="00853785">
        <w:rPr>
          <w:i w:val="0"/>
          <w:shd w:val="clear" w:color="auto" w:fill="FFFFFF"/>
        </w:rPr>
        <w:tab/>
      </w:r>
      <w:r w:rsidR="009A6D15" w:rsidRPr="00853785">
        <w:rPr>
          <w:i w:val="0"/>
          <w:shd w:val="clear" w:color="auto" w:fill="FFFFFF"/>
        </w:rPr>
        <w:t>Issues and t</w:t>
      </w:r>
      <w:r w:rsidR="00F12DB6" w:rsidRPr="00853785">
        <w:rPr>
          <w:i w:val="0"/>
          <w:shd w:val="clear" w:color="auto" w:fill="FFFFFF"/>
        </w:rPr>
        <w:t>hematic areas</w:t>
      </w:r>
      <w:r w:rsidR="009A6D15" w:rsidRPr="00853785">
        <w:rPr>
          <w:i w:val="0"/>
          <w:shd w:val="clear" w:color="auto" w:fill="FFFFFF"/>
        </w:rPr>
        <w:t xml:space="preserve"> of relevance to biosafety </w:t>
      </w:r>
      <w:r w:rsidR="00F12DB6" w:rsidRPr="00853785">
        <w:rPr>
          <w:i w:val="0"/>
          <w:shd w:val="clear" w:color="auto" w:fill="FFFFFF"/>
        </w:rPr>
        <w:t>identified in the submissions</w:t>
      </w:r>
    </w:p>
    <w:p w14:paraId="77598B81" w14:textId="5F3822C8" w:rsidR="00AE3681" w:rsidRPr="008F4E82" w:rsidRDefault="00F47096" w:rsidP="00853785">
      <w:pPr>
        <w:pStyle w:val="Para1"/>
        <w:tabs>
          <w:tab w:val="clear" w:pos="360"/>
        </w:tabs>
        <w:kinsoku w:val="0"/>
        <w:overflowPunct w:val="0"/>
        <w:autoSpaceDE w:val="0"/>
        <w:autoSpaceDN w:val="0"/>
        <w:adjustRightInd w:val="0"/>
        <w:snapToGrid w:val="0"/>
        <w:rPr>
          <w:kern w:val="22"/>
          <w:szCs w:val="22"/>
        </w:rPr>
      </w:pPr>
      <w:r w:rsidRPr="008F4E82">
        <w:rPr>
          <w:kern w:val="22"/>
          <w:szCs w:val="22"/>
        </w:rPr>
        <w:t>T</w:t>
      </w:r>
      <w:r w:rsidR="009139B0" w:rsidRPr="008F4E82">
        <w:rPr>
          <w:kern w:val="22"/>
          <w:szCs w:val="22"/>
        </w:rPr>
        <w:t>he submissions in response to notification 2019-008</w:t>
      </w:r>
      <w:r w:rsidR="00532709" w:rsidRPr="008F4E82">
        <w:rPr>
          <w:kern w:val="22"/>
          <w:szCs w:val="22"/>
        </w:rPr>
        <w:t xml:space="preserve"> </w:t>
      </w:r>
      <w:r w:rsidR="00D5397B" w:rsidRPr="008F4E82">
        <w:rPr>
          <w:kern w:val="22"/>
          <w:szCs w:val="22"/>
        </w:rPr>
        <w:t>recognized that biosafety is of relevance to</w:t>
      </w:r>
      <w:r w:rsidR="004C5BF0" w:rsidRPr="008F4E82">
        <w:rPr>
          <w:kern w:val="22"/>
          <w:szCs w:val="22"/>
        </w:rPr>
        <w:t xml:space="preserve"> </w:t>
      </w:r>
      <w:r w:rsidR="0041443A" w:rsidRPr="008F4E82">
        <w:rPr>
          <w:kern w:val="22"/>
          <w:szCs w:val="22"/>
        </w:rPr>
        <w:t>several</w:t>
      </w:r>
      <w:r w:rsidR="00532709" w:rsidRPr="008F4E82">
        <w:rPr>
          <w:kern w:val="22"/>
          <w:szCs w:val="22"/>
        </w:rPr>
        <w:t xml:space="preserve"> </w:t>
      </w:r>
      <w:r w:rsidR="00512DF6">
        <w:rPr>
          <w:kern w:val="22"/>
          <w:szCs w:val="22"/>
        </w:rPr>
        <w:t xml:space="preserve">issues and </w:t>
      </w:r>
      <w:r w:rsidR="002576BF" w:rsidRPr="008F4E82">
        <w:rPr>
          <w:kern w:val="22"/>
          <w:szCs w:val="22"/>
        </w:rPr>
        <w:t>thematic areas</w:t>
      </w:r>
      <w:r w:rsidR="00622284" w:rsidRPr="008F4E82">
        <w:rPr>
          <w:kern w:val="22"/>
          <w:szCs w:val="22"/>
        </w:rPr>
        <w:t xml:space="preserve"> </w:t>
      </w:r>
      <w:r w:rsidR="00D5397B" w:rsidRPr="008F4E82">
        <w:rPr>
          <w:kern w:val="22"/>
          <w:szCs w:val="22"/>
        </w:rPr>
        <w:t xml:space="preserve">that may be </w:t>
      </w:r>
      <w:r w:rsidR="00A55F20" w:rsidRPr="008F4E82">
        <w:rPr>
          <w:kern w:val="22"/>
          <w:szCs w:val="22"/>
        </w:rPr>
        <w:t>included in the post-2020 global biodiversity framework</w:t>
      </w:r>
      <w:r w:rsidR="00532709" w:rsidRPr="008F4E82">
        <w:rPr>
          <w:kern w:val="22"/>
          <w:szCs w:val="22"/>
        </w:rPr>
        <w:t xml:space="preserve">. </w:t>
      </w:r>
      <w:r w:rsidR="00FC607B" w:rsidRPr="006D1F42">
        <w:rPr>
          <w:kern w:val="22"/>
          <w:szCs w:val="22"/>
        </w:rPr>
        <w:t>The</w:t>
      </w:r>
      <w:r w:rsidR="00A55F20" w:rsidRPr="006D1F42">
        <w:rPr>
          <w:kern w:val="22"/>
          <w:szCs w:val="22"/>
        </w:rPr>
        <w:t xml:space="preserve"> submissions</w:t>
      </w:r>
      <w:r w:rsidR="00FC607B" w:rsidRPr="006D1F42">
        <w:rPr>
          <w:kern w:val="22"/>
          <w:szCs w:val="22"/>
        </w:rPr>
        <w:t xml:space="preserve"> </w:t>
      </w:r>
      <w:r w:rsidR="00CE24B3" w:rsidRPr="006D1F42">
        <w:rPr>
          <w:kern w:val="22"/>
          <w:szCs w:val="22"/>
        </w:rPr>
        <w:t xml:space="preserve">indicated </w:t>
      </w:r>
      <w:r w:rsidR="00956E81" w:rsidRPr="006D1F42">
        <w:rPr>
          <w:kern w:val="22"/>
          <w:szCs w:val="22"/>
        </w:rPr>
        <w:t>that</w:t>
      </w:r>
      <w:r w:rsidR="003E2B5B" w:rsidRPr="006D1F42">
        <w:rPr>
          <w:kern w:val="22"/>
          <w:szCs w:val="22"/>
        </w:rPr>
        <w:t xml:space="preserve"> </w:t>
      </w:r>
      <w:r w:rsidR="00500B17" w:rsidRPr="006D1F42">
        <w:rPr>
          <w:kern w:val="22"/>
          <w:szCs w:val="22"/>
        </w:rPr>
        <w:t xml:space="preserve">biosafety </w:t>
      </w:r>
      <w:r w:rsidR="003E2B5B" w:rsidRPr="006D1F42">
        <w:rPr>
          <w:kern w:val="22"/>
          <w:szCs w:val="22"/>
        </w:rPr>
        <w:t>contribute</w:t>
      </w:r>
      <w:r w:rsidR="00956E81" w:rsidRPr="006D1F42">
        <w:rPr>
          <w:kern w:val="22"/>
          <w:szCs w:val="22"/>
        </w:rPr>
        <w:t>s</w:t>
      </w:r>
      <w:r w:rsidR="003E2B5B" w:rsidRPr="006D1F42">
        <w:rPr>
          <w:kern w:val="22"/>
          <w:szCs w:val="22"/>
        </w:rPr>
        <w:t xml:space="preserve"> to the attainment of</w:t>
      </w:r>
      <w:r w:rsidR="00956E81" w:rsidRPr="006D1F42">
        <w:rPr>
          <w:kern w:val="22"/>
          <w:szCs w:val="22"/>
        </w:rPr>
        <w:t xml:space="preserve"> </w:t>
      </w:r>
      <w:r w:rsidR="004912C7" w:rsidRPr="006D1F42">
        <w:rPr>
          <w:kern w:val="22"/>
          <w:szCs w:val="22"/>
        </w:rPr>
        <w:t>the</w:t>
      </w:r>
      <w:r w:rsidR="00FC0BC4" w:rsidRPr="006D1F42">
        <w:rPr>
          <w:kern w:val="22"/>
          <w:szCs w:val="22"/>
        </w:rPr>
        <w:t xml:space="preserve"> objectives of the Convention</w:t>
      </w:r>
      <w:r w:rsidR="00F05F9F" w:rsidRPr="006D1F42">
        <w:rPr>
          <w:kern w:val="22"/>
          <w:szCs w:val="22"/>
        </w:rPr>
        <w:t xml:space="preserve"> </w:t>
      </w:r>
      <w:r w:rsidR="00801792" w:rsidRPr="006D1F42">
        <w:rPr>
          <w:kern w:val="22"/>
          <w:szCs w:val="22"/>
        </w:rPr>
        <w:t xml:space="preserve">and </w:t>
      </w:r>
      <w:r w:rsidR="00441483" w:rsidRPr="006D1F42">
        <w:rPr>
          <w:kern w:val="22"/>
          <w:szCs w:val="22"/>
        </w:rPr>
        <w:t xml:space="preserve">to </w:t>
      </w:r>
      <w:r w:rsidR="00801792" w:rsidRPr="006D1F42">
        <w:rPr>
          <w:kern w:val="22"/>
          <w:szCs w:val="22"/>
        </w:rPr>
        <w:t>wider frameworks, such as the Sustainable Development Goals</w:t>
      </w:r>
      <w:r w:rsidR="006D1F42">
        <w:rPr>
          <w:kern w:val="22"/>
          <w:szCs w:val="22"/>
        </w:rPr>
        <w:t xml:space="preserve"> (see also </w:t>
      </w:r>
      <w:r w:rsidR="000C1C6F">
        <w:rPr>
          <w:kern w:val="22"/>
          <w:szCs w:val="22"/>
        </w:rPr>
        <w:t>paras. </w:t>
      </w:r>
      <w:r w:rsidR="000C1C6F">
        <w:rPr>
          <w:kern w:val="22"/>
          <w:szCs w:val="22"/>
        </w:rPr>
        <w:fldChar w:fldCharType="begin"/>
      </w:r>
      <w:r w:rsidR="000C1C6F">
        <w:rPr>
          <w:kern w:val="22"/>
          <w:szCs w:val="22"/>
        </w:rPr>
        <w:instrText xml:space="preserve"> REF _Ref14365059 \r \h </w:instrText>
      </w:r>
      <w:r w:rsidR="000C1C6F">
        <w:rPr>
          <w:kern w:val="22"/>
          <w:szCs w:val="22"/>
        </w:rPr>
      </w:r>
      <w:r w:rsidR="000C1C6F">
        <w:rPr>
          <w:kern w:val="22"/>
          <w:szCs w:val="22"/>
        </w:rPr>
        <w:fldChar w:fldCharType="separate"/>
      </w:r>
      <w:r w:rsidR="000C1C6F">
        <w:rPr>
          <w:kern w:val="22"/>
          <w:szCs w:val="22"/>
        </w:rPr>
        <w:t>26</w:t>
      </w:r>
      <w:r w:rsidR="000C1C6F">
        <w:rPr>
          <w:kern w:val="22"/>
          <w:szCs w:val="22"/>
        </w:rPr>
        <w:fldChar w:fldCharType="end"/>
      </w:r>
      <w:r w:rsidR="000C1C6F">
        <w:rPr>
          <w:kern w:val="22"/>
          <w:szCs w:val="22"/>
        </w:rPr>
        <w:t>-</w:t>
      </w:r>
      <w:r w:rsidR="000C1C6F">
        <w:rPr>
          <w:kern w:val="22"/>
          <w:szCs w:val="22"/>
        </w:rPr>
        <w:fldChar w:fldCharType="begin"/>
      </w:r>
      <w:r w:rsidR="000C1C6F">
        <w:rPr>
          <w:kern w:val="22"/>
          <w:szCs w:val="22"/>
        </w:rPr>
        <w:instrText xml:space="preserve"> REF _Ref14365074 \r \h </w:instrText>
      </w:r>
      <w:r w:rsidR="000C1C6F">
        <w:rPr>
          <w:kern w:val="22"/>
          <w:szCs w:val="22"/>
        </w:rPr>
      </w:r>
      <w:r w:rsidR="000C1C6F">
        <w:rPr>
          <w:kern w:val="22"/>
          <w:szCs w:val="22"/>
        </w:rPr>
        <w:fldChar w:fldCharType="separate"/>
      </w:r>
      <w:r w:rsidR="000C1C6F">
        <w:rPr>
          <w:kern w:val="22"/>
          <w:szCs w:val="22"/>
        </w:rPr>
        <w:t>27</w:t>
      </w:r>
      <w:r w:rsidR="000C1C6F">
        <w:rPr>
          <w:kern w:val="22"/>
          <w:szCs w:val="22"/>
        </w:rPr>
        <w:fldChar w:fldCharType="end"/>
      </w:r>
      <w:r w:rsidR="000C1C6F">
        <w:rPr>
          <w:kern w:val="22"/>
          <w:szCs w:val="22"/>
        </w:rPr>
        <w:t> </w:t>
      </w:r>
      <w:r w:rsidR="006D1F42">
        <w:rPr>
          <w:kern w:val="22"/>
          <w:szCs w:val="22"/>
        </w:rPr>
        <w:t>above)</w:t>
      </w:r>
      <w:r w:rsidR="003E2B5B" w:rsidRPr="006D1F42">
        <w:rPr>
          <w:kern w:val="22"/>
          <w:szCs w:val="22"/>
        </w:rPr>
        <w:t>.</w:t>
      </w:r>
    </w:p>
    <w:p w14:paraId="23D97F94" w14:textId="079B4048" w:rsidR="0012449B" w:rsidRDefault="00CF4C25" w:rsidP="00853785">
      <w:pPr>
        <w:pStyle w:val="Para1"/>
        <w:tabs>
          <w:tab w:val="clear" w:pos="360"/>
        </w:tabs>
        <w:kinsoku w:val="0"/>
        <w:overflowPunct w:val="0"/>
        <w:autoSpaceDE w:val="0"/>
        <w:autoSpaceDN w:val="0"/>
        <w:adjustRightInd w:val="0"/>
        <w:snapToGrid w:val="0"/>
      </w:pPr>
      <w:r w:rsidRPr="004A7749">
        <w:rPr>
          <w:kern w:val="22"/>
          <w:szCs w:val="22"/>
        </w:rPr>
        <w:t>T</w:t>
      </w:r>
      <w:r w:rsidR="00DC1B67" w:rsidRPr="004A7749">
        <w:rPr>
          <w:kern w:val="22"/>
          <w:szCs w:val="22"/>
        </w:rPr>
        <w:t xml:space="preserve">he importance of biosafety </w:t>
      </w:r>
      <w:r w:rsidR="00814909" w:rsidRPr="004A7749">
        <w:rPr>
          <w:kern w:val="22"/>
          <w:szCs w:val="22"/>
        </w:rPr>
        <w:t xml:space="preserve">in the context of </w:t>
      </w:r>
      <w:r w:rsidR="00DC1B67" w:rsidRPr="004A7749">
        <w:rPr>
          <w:kern w:val="22"/>
          <w:szCs w:val="22"/>
        </w:rPr>
        <w:t>conservation of biological diversity and for the sustainable use of its components was</w:t>
      </w:r>
      <w:r w:rsidR="00814909" w:rsidRPr="004A7749">
        <w:rPr>
          <w:kern w:val="22"/>
          <w:szCs w:val="22"/>
        </w:rPr>
        <w:t xml:space="preserve"> </w:t>
      </w:r>
      <w:r w:rsidR="00DC1B67" w:rsidRPr="004A7749">
        <w:rPr>
          <w:kern w:val="22"/>
          <w:szCs w:val="22"/>
        </w:rPr>
        <w:t>brought up</w:t>
      </w:r>
      <w:r w:rsidR="00814909" w:rsidRPr="004A7749">
        <w:rPr>
          <w:kern w:val="22"/>
          <w:szCs w:val="22"/>
        </w:rPr>
        <w:t xml:space="preserve"> in many submissions</w:t>
      </w:r>
      <w:r w:rsidR="00DC1B67" w:rsidRPr="004A7749">
        <w:rPr>
          <w:kern w:val="22"/>
          <w:szCs w:val="22"/>
        </w:rPr>
        <w:t xml:space="preserve">. </w:t>
      </w:r>
      <w:r w:rsidR="004A7749">
        <w:rPr>
          <w:kern w:val="22"/>
          <w:szCs w:val="22"/>
        </w:rPr>
        <w:t xml:space="preserve">Several underlined the importance of </w:t>
      </w:r>
      <w:r w:rsidR="004E6D15" w:rsidRPr="004A7749">
        <w:rPr>
          <w:kern w:val="22"/>
          <w:szCs w:val="22"/>
        </w:rPr>
        <w:t>biosafety for sustainable agricultural development</w:t>
      </w:r>
      <w:r w:rsidR="004A7749">
        <w:rPr>
          <w:kern w:val="22"/>
          <w:szCs w:val="22"/>
        </w:rPr>
        <w:t xml:space="preserve">. Some submissions noted </w:t>
      </w:r>
      <w:r w:rsidR="000976A5">
        <w:rPr>
          <w:kern w:val="22"/>
          <w:szCs w:val="22"/>
        </w:rPr>
        <w:t>t</w:t>
      </w:r>
      <w:r w:rsidR="004A7749">
        <w:rPr>
          <w:kern w:val="22"/>
          <w:szCs w:val="22"/>
        </w:rPr>
        <w:t xml:space="preserve">he importance of biosafety for </w:t>
      </w:r>
      <w:r w:rsidR="004E6D15" w:rsidRPr="00820E75">
        <w:t>increasing agricultural diversity</w:t>
      </w:r>
      <w:r w:rsidR="004E6D15">
        <w:t xml:space="preserve"> and</w:t>
      </w:r>
      <w:r w:rsidR="004E6D15" w:rsidRPr="00820E75">
        <w:t xml:space="preserve"> for enhancing resilience and productivity</w:t>
      </w:r>
      <w:r w:rsidR="00F80EBB">
        <w:t xml:space="preserve">. </w:t>
      </w:r>
      <w:r w:rsidR="00685741">
        <w:t xml:space="preserve">Furthermore, </w:t>
      </w:r>
      <w:r w:rsidR="00F80EBB">
        <w:t xml:space="preserve">biosafety </w:t>
      </w:r>
      <w:r w:rsidR="00F07262">
        <w:t>in connection with the</w:t>
      </w:r>
      <w:r w:rsidR="00F80EBB">
        <w:t xml:space="preserve"> further development and application of new technologies </w:t>
      </w:r>
      <w:r w:rsidR="00685741">
        <w:t xml:space="preserve">was </w:t>
      </w:r>
      <w:r w:rsidR="00FD2EEE">
        <w:t xml:space="preserve">considered </w:t>
      </w:r>
      <w:r w:rsidR="00E221EC">
        <w:t xml:space="preserve">by some </w:t>
      </w:r>
      <w:r w:rsidR="00FD2EEE">
        <w:t>to contribute to</w:t>
      </w:r>
      <w:r w:rsidR="00EE107F">
        <w:t xml:space="preserve"> </w:t>
      </w:r>
      <w:r w:rsidR="00F80EBB">
        <w:t xml:space="preserve">sustainable agriculture, </w:t>
      </w:r>
      <w:r w:rsidR="00290F36">
        <w:t xml:space="preserve">development of </w:t>
      </w:r>
      <w:r w:rsidR="00F80EBB">
        <w:t>livelihoods and the</w:t>
      </w:r>
      <w:r w:rsidR="00290F36">
        <w:t xml:space="preserve"> conservation of the</w:t>
      </w:r>
      <w:r w:rsidR="00F80EBB">
        <w:t xml:space="preserve"> environment.</w:t>
      </w:r>
    </w:p>
    <w:p w14:paraId="0DAD9CA4" w14:textId="69FDB3AA" w:rsidR="00B760AF" w:rsidRPr="00133E6E" w:rsidRDefault="0012449B" w:rsidP="00853785">
      <w:pPr>
        <w:pStyle w:val="Para1"/>
        <w:tabs>
          <w:tab w:val="clear" w:pos="360"/>
        </w:tabs>
        <w:kinsoku w:val="0"/>
        <w:overflowPunct w:val="0"/>
        <w:autoSpaceDE w:val="0"/>
        <w:autoSpaceDN w:val="0"/>
        <w:adjustRightInd w:val="0"/>
        <w:snapToGrid w:val="0"/>
        <w:rPr>
          <w:kern w:val="22"/>
          <w:szCs w:val="22"/>
        </w:rPr>
      </w:pPr>
      <w:r>
        <w:t xml:space="preserve">The relevance of biosafety </w:t>
      </w:r>
      <w:r w:rsidR="00AE4C67">
        <w:t xml:space="preserve">for its role </w:t>
      </w:r>
      <w:r w:rsidRPr="00820E75">
        <w:t xml:space="preserve">in providing global risk assessment and risk management </w:t>
      </w:r>
      <w:r w:rsidRPr="00133E6E">
        <w:t>frameworks for emerging technologies</w:t>
      </w:r>
      <w:r w:rsidR="00AE4C67" w:rsidRPr="00133E6E">
        <w:t xml:space="preserve"> was also underlined.</w:t>
      </w:r>
    </w:p>
    <w:p w14:paraId="3A7DBBA6" w14:textId="44E272B9" w:rsidR="000C45EA" w:rsidRPr="00853785" w:rsidRDefault="00695C48" w:rsidP="00853785">
      <w:pPr>
        <w:pStyle w:val="Heading2"/>
        <w:tabs>
          <w:tab w:val="clear" w:pos="720"/>
          <w:tab w:val="left" w:pos="284"/>
        </w:tabs>
        <w:rPr>
          <w:i w:val="0"/>
          <w:szCs w:val="22"/>
          <w:shd w:val="clear" w:color="auto" w:fill="FFFFFF"/>
        </w:rPr>
      </w:pPr>
      <w:r w:rsidRPr="00853785">
        <w:rPr>
          <w:i w:val="0"/>
          <w:szCs w:val="22"/>
          <w:shd w:val="clear" w:color="auto" w:fill="FFFFFF"/>
        </w:rPr>
        <w:t>C</w:t>
      </w:r>
      <w:r w:rsidR="005451C8" w:rsidRPr="00853785">
        <w:rPr>
          <w:i w:val="0"/>
          <w:szCs w:val="22"/>
          <w:shd w:val="clear" w:color="auto" w:fill="FFFFFF"/>
        </w:rPr>
        <w:t>.</w:t>
      </w:r>
      <w:r w:rsidR="005451C8" w:rsidRPr="00853785">
        <w:rPr>
          <w:i w:val="0"/>
          <w:szCs w:val="22"/>
          <w:shd w:val="clear" w:color="auto" w:fill="FFFFFF"/>
        </w:rPr>
        <w:tab/>
      </w:r>
      <w:r w:rsidR="00542121" w:rsidRPr="00853785">
        <w:rPr>
          <w:i w:val="0"/>
          <w:szCs w:val="22"/>
          <w:shd w:val="clear" w:color="auto" w:fill="FFFFFF"/>
        </w:rPr>
        <w:t xml:space="preserve">Suggested approach for the Consultation to </w:t>
      </w:r>
      <w:r w:rsidR="00816A77" w:rsidRPr="00853785">
        <w:rPr>
          <w:i w:val="0"/>
          <w:szCs w:val="22"/>
          <w:shd w:val="clear" w:color="auto" w:fill="FFFFFF"/>
        </w:rPr>
        <w:t xml:space="preserve">consider and </w:t>
      </w:r>
      <w:r w:rsidR="00542121" w:rsidRPr="00853785">
        <w:rPr>
          <w:i w:val="0"/>
          <w:szCs w:val="22"/>
          <w:shd w:val="clear" w:color="auto" w:fill="FFFFFF"/>
        </w:rPr>
        <w:t>expand on the views submitted</w:t>
      </w:r>
    </w:p>
    <w:p w14:paraId="67ECCAB3" w14:textId="3D82B96D" w:rsidR="00F96CE4" w:rsidRPr="00B51921" w:rsidRDefault="006A7DB5" w:rsidP="00853785">
      <w:pPr>
        <w:pStyle w:val="Para1"/>
        <w:tabs>
          <w:tab w:val="clear" w:pos="360"/>
        </w:tabs>
        <w:kinsoku w:val="0"/>
        <w:overflowPunct w:val="0"/>
        <w:autoSpaceDE w:val="0"/>
        <w:autoSpaceDN w:val="0"/>
        <w:adjustRightInd w:val="0"/>
        <w:snapToGrid w:val="0"/>
        <w:rPr>
          <w:kern w:val="22"/>
          <w:szCs w:val="22"/>
        </w:rPr>
      </w:pPr>
      <w:r w:rsidRPr="00B51921">
        <w:rPr>
          <w:kern w:val="22"/>
          <w:szCs w:val="22"/>
        </w:rPr>
        <w:t>In session</w:t>
      </w:r>
      <w:r w:rsidR="00F96CE4" w:rsidRPr="00B51921">
        <w:rPr>
          <w:kern w:val="22"/>
          <w:szCs w:val="22"/>
        </w:rPr>
        <w:t xml:space="preserve"> 4 of the </w:t>
      </w:r>
      <w:r w:rsidR="00F96CE4" w:rsidRPr="00B51921">
        <w:rPr>
          <w:szCs w:val="22"/>
          <w:shd w:val="clear" w:color="auto" w:fill="FFFFFF"/>
        </w:rPr>
        <w:t>Consultation</w:t>
      </w:r>
      <w:r w:rsidR="00F832F2" w:rsidRPr="00B51921">
        <w:rPr>
          <w:szCs w:val="22"/>
          <w:shd w:val="clear" w:color="auto" w:fill="FFFFFF"/>
        </w:rPr>
        <w:t>, participants</w:t>
      </w:r>
      <w:r w:rsidR="00F96CE4" w:rsidRPr="00B51921">
        <w:rPr>
          <w:szCs w:val="22"/>
          <w:shd w:val="clear" w:color="auto" w:fill="FFFFFF"/>
        </w:rPr>
        <w:t xml:space="preserve"> may wish to</w:t>
      </w:r>
      <w:r w:rsidR="008C2B4F" w:rsidRPr="00B51921">
        <w:rPr>
          <w:szCs w:val="22"/>
          <w:shd w:val="clear" w:color="auto" w:fill="FFFFFF"/>
        </w:rPr>
        <w:t xml:space="preserve"> reflect on</w:t>
      </w:r>
      <w:r w:rsidR="00F96CE4" w:rsidRPr="00B51921">
        <w:rPr>
          <w:szCs w:val="22"/>
          <w:shd w:val="clear" w:color="auto" w:fill="FFFFFF"/>
        </w:rPr>
        <w:t xml:space="preserve"> </w:t>
      </w:r>
      <w:r w:rsidR="00F96CE4" w:rsidRPr="00B51921">
        <w:rPr>
          <w:kern w:val="22"/>
          <w:szCs w:val="22"/>
        </w:rPr>
        <w:t>the suggestions made for a biosafety target within the post-2020 global biodiversity framework and discuss whether the suggested wording</w:t>
      </w:r>
      <w:r w:rsidR="000C14A6" w:rsidRPr="00B51921">
        <w:rPr>
          <w:kern w:val="22"/>
          <w:szCs w:val="22"/>
        </w:rPr>
        <w:t xml:space="preserve"> for a possible biosafety target within the post-2020 global biodiversity framework, reflected</w:t>
      </w:r>
      <w:r w:rsidR="00F96CE4" w:rsidRPr="00B51921">
        <w:rPr>
          <w:kern w:val="22"/>
          <w:szCs w:val="22"/>
        </w:rPr>
        <w:t xml:space="preserve"> in paragraph </w:t>
      </w:r>
      <w:r w:rsidR="00BF45DC" w:rsidRPr="00853785">
        <w:rPr>
          <w:kern w:val="22"/>
          <w:szCs w:val="22"/>
        </w:rPr>
        <w:t>3</w:t>
      </w:r>
      <w:r w:rsidR="00054E90" w:rsidRPr="00853785">
        <w:rPr>
          <w:kern w:val="22"/>
          <w:szCs w:val="22"/>
        </w:rPr>
        <w:t>7</w:t>
      </w:r>
      <w:r w:rsidR="00BF45DC" w:rsidRPr="00B51921">
        <w:rPr>
          <w:kern w:val="22"/>
          <w:szCs w:val="22"/>
        </w:rPr>
        <w:t xml:space="preserve"> </w:t>
      </w:r>
      <w:r w:rsidR="00F96CE4" w:rsidRPr="00B51921">
        <w:rPr>
          <w:kern w:val="22"/>
          <w:szCs w:val="22"/>
        </w:rPr>
        <w:t>above</w:t>
      </w:r>
      <w:r w:rsidR="000C14A6" w:rsidRPr="00B51921">
        <w:rPr>
          <w:kern w:val="22"/>
          <w:szCs w:val="22"/>
        </w:rPr>
        <w:t>,</w:t>
      </w:r>
      <w:r w:rsidR="00F96CE4" w:rsidRPr="00B51921">
        <w:rPr>
          <w:kern w:val="22"/>
          <w:szCs w:val="22"/>
        </w:rPr>
        <w:t xml:space="preserve"> broadly covers the elements of the biosafety component</w:t>
      </w:r>
      <w:r w:rsidR="00754D58" w:rsidRPr="00B51921">
        <w:rPr>
          <w:kern w:val="22"/>
          <w:szCs w:val="22"/>
        </w:rPr>
        <w:t>.</w:t>
      </w:r>
      <w:r w:rsidR="00C63F95" w:rsidRPr="00B51921">
        <w:rPr>
          <w:kern w:val="22"/>
          <w:szCs w:val="22"/>
        </w:rPr>
        <w:t xml:space="preserve"> </w:t>
      </w:r>
      <w:r w:rsidR="00EE096A" w:rsidRPr="00B51921">
        <w:rPr>
          <w:kern w:val="22"/>
          <w:szCs w:val="22"/>
        </w:rPr>
        <w:t>It must be noted</w:t>
      </w:r>
      <w:r w:rsidR="004940C5" w:rsidRPr="00B51921">
        <w:rPr>
          <w:kern w:val="22"/>
          <w:szCs w:val="22"/>
        </w:rPr>
        <w:t xml:space="preserve"> </w:t>
      </w:r>
      <w:r w:rsidR="005E4451" w:rsidRPr="00B51921">
        <w:rPr>
          <w:kern w:val="22"/>
          <w:szCs w:val="22"/>
        </w:rPr>
        <w:t>that</w:t>
      </w:r>
      <w:r w:rsidR="004940C5" w:rsidRPr="00B51921">
        <w:rPr>
          <w:kern w:val="22"/>
          <w:szCs w:val="22"/>
        </w:rPr>
        <w:t xml:space="preserve"> </w:t>
      </w:r>
      <w:r w:rsidR="00DD2D5F" w:rsidRPr="00B51921">
        <w:rPr>
          <w:kern w:val="22"/>
          <w:szCs w:val="22"/>
        </w:rPr>
        <w:t xml:space="preserve">any </w:t>
      </w:r>
      <w:r w:rsidR="004940C5" w:rsidRPr="00B51921">
        <w:rPr>
          <w:kern w:val="22"/>
          <w:szCs w:val="22"/>
        </w:rPr>
        <w:t xml:space="preserve">discussion on </w:t>
      </w:r>
      <w:r w:rsidR="00487109" w:rsidRPr="00B51921">
        <w:rPr>
          <w:kern w:val="22"/>
          <w:szCs w:val="22"/>
        </w:rPr>
        <w:t>specific</w:t>
      </w:r>
      <w:r w:rsidR="004940C5" w:rsidRPr="00B51921">
        <w:rPr>
          <w:kern w:val="22"/>
          <w:szCs w:val="22"/>
        </w:rPr>
        <w:t xml:space="preserve"> wording of the biosafety component </w:t>
      </w:r>
      <w:r w:rsidR="000629E1" w:rsidRPr="00B51921">
        <w:rPr>
          <w:kern w:val="22"/>
          <w:szCs w:val="22"/>
        </w:rPr>
        <w:t>may be subject to further changes in future negotiations</w:t>
      </w:r>
      <w:r w:rsidR="00B125CD" w:rsidRPr="00B51921">
        <w:rPr>
          <w:kern w:val="22"/>
          <w:szCs w:val="22"/>
        </w:rPr>
        <w:t xml:space="preserve">, including in the </w:t>
      </w:r>
      <w:r w:rsidR="00776BA7" w:rsidRPr="00B51921">
        <w:rPr>
          <w:kern w:val="22"/>
          <w:szCs w:val="22"/>
        </w:rPr>
        <w:t>Open-ended Working Group on the Post-2020 Global Biodiversity Framework</w:t>
      </w:r>
      <w:r w:rsidR="000629E1" w:rsidRPr="00B51921">
        <w:rPr>
          <w:kern w:val="22"/>
          <w:szCs w:val="22"/>
        </w:rPr>
        <w:t xml:space="preserve">. </w:t>
      </w:r>
      <w:r w:rsidR="00D05EBF" w:rsidRPr="00B51921">
        <w:rPr>
          <w:kern w:val="22"/>
          <w:szCs w:val="22"/>
        </w:rPr>
        <w:t xml:space="preserve">Identifying elements of the biosafety component contributes to understanding </w:t>
      </w:r>
      <w:r w:rsidR="00D05EBF" w:rsidRPr="00B51921">
        <w:rPr>
          <w:i/>
          <w:kern w:val="22"/>
          <w:szCs w:val="22"/>
        </w:rPr>
        <w:t xml:space="preserve">how </w:t>
      </w:r>
      <w:r w:rsidR="00D05EBF" w:rsidRPr="00B51921">
        <w:rPr>
          <w:kern w:val="22"/>
          <w:szCs w:val="22"/>
        </w:rPr>
        <w:t xml:space="preserve">biosafety </w:t>
      </w:r>
      <w:r w:rsidR="00270F11">
        <w:rPr>
          <w:kern w:val="22"/>
          <w:szCs w:val="22"/>
        </w:rPr>
        <w:t>can</w:t>
      </w:r>
      <w:r w:rsidR="00270F11" w:rsidRPr="00B51921">
        <w:rPr>
          <w:kern w:val="22"/>
          <w:szCs w:val="22"/>
        </w:rPr>
        <w:t xml:space="preserve"> </w:t>
      </w:r>
      <w:r w:rsidR="00D05EBF" w:rsidRPr="00B51921">
        <w:rPr>
          <w:kern w:val="22"/>
          <w:szCs w:val="22"/>
        </w:rPr>
        <w:t>be addressed within the post-2020 global biodiversity framework.</w:t>
      </w:r>
    </w:p>
    <w:p w14:paraId="5ECD1D43" w14:textId="5B105886" w:rsidR="002A5595" w:rsidRPr="00194F4B" w:rsidRDefault="001A1C67" w:rsidP="00853785">
      <w:pPr>
        <w:pStyle w:val="Para1"/>
        <w:tabs>
          <w:tab w:val="clear" w:pos="360"/>
        </w:tabs>
        <w:kinsoku w:val="0"/>
        <w:overflowPunct w:val="0"/>
        <w:autoSpaceDE w:val="0"/>
        <w:autoSpaceDN w:val="0"/>
        <w:adjustRightInd w:val="0"/>
        <w:snapToGrid w:val="0"/>
        <w:rPr>
          <w:kern w:val="22"/>
          <w:szCs w:val="22"/>
        </w:rPr>
      </w:pPr>
      <w:r w:rsidRPr="00194F4B">
        <w:rPr>
          <w:kern w:val="22"/>
          <w:szCs w:val="22"/>
        </w:rPr>
        <w:lastRenderedPageBreak/>
        <w:t xml:space="preserve">While the </w:t>
      </w:r>
      <w:r w:rsidR="006C673F" w:rsidRPr="00194F4B">
        <w:rPr>
          <w:kern w:val="22"/>
          <w:szCs w:val="22"/>
        </w:rPr>
        <w:t xml:space="preserve">elements of the post-2020 global biodiversity </w:t>
      </w:r>
      <w:r w:rsidR="000C14A6" w:rsidRPr="00194F4B">
        <w:rPr>
          <w:kern w:val="22"/>
          <w:szCs w:val="22"/>
        </w:rPr>
        <w:t xml:space="preserve">framework </w:t>
      </w:r>
      <w:r w:rsidR="006C673F" w:rsidRPr="00194F4B">
        <w:rPr>
          <w:kern w:val="22"/>
          <w:szCs w:val="22"/>
        </w:rPr>
        <w:t xml:space="preserve">have not yet been determined, </w:t>
      </w:r>
      <w:r w:rsidR="000C14A6" w:rsidRPr="00194F4B">
        <w:rPr>
          <w:kern w:val="22"/>
          <w:szCs w:val="22"/>
        </w:rPr>
        <w:t>many of the submissions on the post-2020 global biodiversity framework</w:t>
      </w:r>
      <w:r w:rsidR="00B71458" w:rsidRPr="00853785">
        <w:rPr>
          <w:rStyle w:val="FootnoteReference"/>
          <w:kern w:val="22"/>
          <w:sz w:val="22"/>
          <w:szCs w:val="22"/>
          <w:u w:val="none"/>
          <w:vertAlign w:val="superscript"/>
        </w:rPr>
        <w:footnoteReference w:id="6"/>
      </w:r>
      <w:r w:rsidR="000C14A6" w:rsidRPr="00194F4B">
        <w:rPr>
          <w:kern w:val="22"/>
          <w:szCs w:val="22"/>
        </w:rPr>
        <w:t xml:space="preserve"> emphasized that the starting point for targets should be those in the Strategic Plan for Biodiversity 2011-2020 </w:t>
      </w:r>
      <w:r w:rsidR="0088620F" w:rsidRPr="00194F4B">
        <w:rPr>
          <w:kern w:val="22"/>
          <w:szCs w:val="22"/>
        </w:rPr>
        <w:t xml:space="preserve">and that issues addressed in the current </w:t>
      </w:r>
      <w:r w:rsidR="00271F2B" w:rsidRPr="00194F4B">
        <w:rPr>
          <w:kern w:val="22"/>
          <w:szCs w:val="22"/>
        </w:rPr>
        <w:t xml:space="preserve">Strategic Plan for Biodiversity </w:t>
      </w:r>
      <w:r w:rsidR="0088620F" w:rsidRPr="00194F4B">
        <w:rPr>
          <w:kern w:val="22"/>
          <w:szCs w:val="22"/>
        </w:rPr>
        <w:t xml:space="preserve">remain relevant and should be reflected in some way in the post-2020 global biodiversity framework. </w:t>
      </w:r>
      <w:r w:rsidR="00237A36" w:rsidRPr="00194F4B">
        <w:rPr>
          <w:kern w:val="22"/>
          <w:szCs w:val="22"/>
        </w:rPr>
        <w:t>Furthermore, i</w:t>
      </w:r>
      <w:r w:rsidR="00B71458" w:rsidRPr="00194F4B">
        <w:rPr>
          <w:kern w:val="22"/>
          <w:szCs w:val="22"/>
        </w:rPr>
        <w:t>n</w:t>
      </w:r>
      <w:r w:rsidR="006A7DB5" w:rsidRPr="00194F4B">
        <w:rPr>
          <w:kern w:val="22"/>
          <w:szCs w:val="22"/>
        </w:rPr>
        <w:t xml:space="preserve"> session</w:t>
      </w:r>
      <w:r w:rsidR="00B71458" w:rsidRPr="00194F4B">
        <w:rPr>
          <w:kern w:val="22"/>
          <w:szCs w:val="22"/>
        </w:rPr>
        <w:t xml:space="preserve"> 4</w:t>
      </w:r>
      <w:r w:rsidR="006A7DB5" w:rsidRPr="00194F4B">
        <w:rPr>
          <w:kern w:val="22"/>
          <w:szCs w:val="22"/>
        </w:rPr>
        <w:t>, the C</w:t>
      </w:r>
      <w:r w:rsidR="00FF160F" w:rsidRPr="00194F4B">
        <w:rPr>
          <w:kern w:val="22"/>
          <w:szCs w:val="22"/>
        </w:rPr>
        <w:t xml:space="preserve">onsultation may </w:t>
      </w:r>
      <w:r w:rsidR="00F666FB" w:rsidRPr="00194F4B">
        <w:rPr>
          <w:kern w:val="22"/>
          <w:szCs w:val="22"/>
        </w:rPr>
        <w:t xml:space="preserve">also </w:t>
      </w:r>
      <w:r w:rsidR="00FF160F" w:rsidRPr="00194F4B">
        <w:rPr>
          <w:kern w:val="22"/>
          <w:szCs w:val="22"/>
        </w:rPr>
        <w:t xml:space="preserve">wish to reflect on whether any of the issues addressed in the current Strategic Plan for Biodiversity </w:t>
      </w:r>
      <w:r w:rsidR="00417101" w:rsidRPr="00194F4B">
        <w:rPr>
          <w:kern w:val="22"/>
          <w:szCs w:val="22"/>
        </w:rPr>
        <w:t xml:space="preserve">and the Aichi Targets </w:t>
      </w:r>
      <w:r w:rsidR="00FF160F" w:rsidRPr="00194F4B">
        <w:rPr>
          <w:kern w:val="22"/>
          <w:szCs w:val="22"/>
        </w:rPr>
        <w:t>would have relevance for biosafety and whether addressing biosafety within these issues in the post-2020 global biodiversity framework would be beneficial.</w:t>
      </w:r>
    </w:p>
    <w:p w14:paraId="6097A53F" w14:textId="67E0E18C" w:rsidR="005179E3" w:rsidRPr="00194F4B" w:rsidRDefault="00237A36" w:rsidP="00853785">
      <w:pPr>
        <w:pStyle w:val="Para1"/>
        <w:tabs>
          <w:tab w:val="clear" w:pos="360"/>
        </w:tabs>
        <w:kinsoku w:val="0"/>
        <w:overflowPunct w:val="0"/>
        <w:autoSpaceDE w:val="0"/>
        <w:autoSpaceDN w:val="0"/>
        <w:adjustRightInd w:val="0"/>
        <w:snapToGrid w:val="0"/>
        <w:rPr>
          <w:kern w:val="22"/>
          <w:szCs w:val="22"/>
        </w:rPr>
      </w:pPr>
      <w:r w:rsidRPr="00194F4B">
        <w:rPr>
          <w:kern w:val="22"/>
          <w:szCs w:val="22"/>
        </w:rPr>
        <w:t xml:space="preserve">In addition, </w:t>
      </w:r>
      <w:r w:rsidR="005E77E5" w:rsidRPr="00194F4B">
        <w:rPr>
          <w:kern w:val="22"/>
          <w:szCs w:val="22"/>
        </w:rPr>
        <w:t>t</w:t>
      </w:r>
      <w:r w:rsidR="002D055F" w:rsidRPr="00194F4B">
        <w:rPr>
          <w:kern w:val="22"/>
          <w:szCs w:val="22"/>
        </w:rPr>
        <w:t xml:space="preserve">he Consultation may </w:t>
      </w:r>
      <w:r w:rsidR="00AE2CA3" w:rsidRPr="00194F4B">
        <w:rPr>
          <w:kern w:val="22"/>
          <w:szCs w:val="22"/>
        </w:rPr>
        <w:t xml:space="preserve">also </w:t>
      </w:r>
      <w:r w:rsidR="002D055F" w:rsidRPr="00194F4B">
        <w:rPr>
          <w:kern w:val="22"/>
          <w:szCs w:val="22"/>
        </w:rPr>
        <w:t xml:space="preserve">wish to </w:t>
      </w:r>
      <w:r w:rsidR="00271F2B" w:rsidRPr="00194F4B">
        <w:rPr>
          <w:kern w:val="22"/>
          <w:szCs w:val="22"/>
        </w:rPr>
        <w:t xml:space="preserve">reflect on </w:t>
      </w:r>
      <w:r w:rsidR="002D055F" w:rsidRPr="00194F4B">
        <w:rPr>
          <w:kern w:val="22"/>
          <w:szCs w:val="22"/>
        </w:rPr>
        <w:t xml:space="preserve">whether any </w:t>
      </w:r>
      <w:r w:rsidR="00D4089A" w:rsidRPr="00194F4B">
        <w:rPr>
          <w:kern w:val="22"/>
          <w:szCs w:val="22"/>
        </w:rPr>
        <w:t>additional issues suggested for inclusion in the post-2020 global biodiversity framework</w:t>
      </w:r>
      <w:r w:rsidR="00610A3A" w:rsidRPr="00194F4B">
        <w:rPr>
          <w:kern w:val="22"/>
          <w:szCs w:val="22"/>
        </w:rPr>
        <w:t xml:space="preserve"> </w:t>
      </w:r>
      <w:r w:rsidR="002D055F" w:rsidRPr="00194F4B">
        <w:rPr>
          <w:kern w:val="22"/>
          <w:szCs w:val="22"/>
        </w:rPr>
        <w:t>would have relevance for biosafety</w:t>
      </w:r>
      <w:r w:rsidR="008044E1" w:rsidRPr="00194F4B">
        <w:rPr>
          <w:kern w:val="22"/>
          <w:szCs w:val="22"/>
        </w:rPr>
        <w:t xml:space="preserve"> and whether </w:t>
      </w:r>
      <w:r w:rsidR="00822B5B" w:rsidRPr="00194F4B">
        <w:rPr>
          <w:kern w:val="22"/>
          <w:szCs w:val="22"/>
        </w:rPr>
        <w:t>addressing biosafety within these issues in the post-2020 global biodiversity framework would be beneficial</w:t>
      </w:r>
      <w:r w:rsidR="002D055F" w:rsidRPr="00194F4B">
        <w:rPr>
          <w:kern w:val="22"/>
          <w:szCs w:val="22"/>
        </w:rPr>
        <w:t>.</w:t>
      </w:r>
      <w:r w:rsidR="002A5595" w:rsidRPr="00194F4B">
        <w:rPr>
          <w:kern w:val="22"/>
          <w:szCs w:val="22"/>
        </w:rPr>
        <w:t xml:space="preserve"> </w:t>
      </w:r>
      <w:r w:rsidR="00A76B92" w:rsidRPr="00194F4B">
        <w:rPr>
          <w:kern w:val="22"/>
          <w:szCs w:val="22"/>
        </w:rPr>
        <w:t>These a</w:t>
      </w:r>
      <w:r w:rsidR="005179E3" w:rsidRPr="00194F4B">
        <w:rPr>
          <w:kern w:val="22"/>
          <w:szCs w:val="22"/>
        </w:rPr>
        <w:t xml:space="preserve">dditional issues </w:t>
      </w:r>
      <w:r w:rsidR="00A76B92" w:rsidRPr="00194F4B">
        <w:rPr>
          <w:kern w:val="22"/>
          <w:szCs w:val="22"/>
        </w:rPr>
        <w:t xml:space="preserve">were </w:t>
      </w:r>
      <w:r w:rsidR="004B5089" w:rsidRPr="00194F4B">
        <w:rPr>
          <w:kern w:val="22"/>
          <w:szCs w:val="22"/>
        </w:rPr>
        <w:t xml:space="preserve">raised </w:t>
      </w:r>
      <w:r w:rsidR="00A76B92" w:rsidRPr="00194F4B">
        <w:rPr>
          <w:kern w:val="22"/>
          <w:szCs w:val="22"/>
        </w:rPr>
        <w:t>in</w:t>
      </w:r>
      <w:r w:rsidR="005179E3" w:rsidRPr="00194F4B">
        <w:rPr>
          <w:kern w:val="22"/>
          <w:szCs w:val="22"/>
        </w:rPr>
        <w:t xml:space="preserve"> the views submitted in response to notification 2019-008 </w:t>
      </w:r>
      <w:r w:rsidR="004B5089" w:rsidRPr="00194F4B">
        <w:rPr>
          <w:kern w:val="22"/>
          <w:szCs w:val="22"/>
        </w:rPr>
        <w:t xml:space="preserve">and have been reflected in </w:t>
      </w:r>
      <w:r w:rsidR="00C414EB" w:rsidRPr="00194F4B">
        <w:rPr>
          <w:kern w:val="22"/>
          <w:szCs w:val="22"/>
        </w:rPr>
        <w:t>CBD/POST2020/PREP/1/INF/2</w:t>
      </w:r>
      <w:r w:rsidR="00C414EB">
        <w:rPr>
          <w:kern w:val="22"/>
          <w:szCs w:val="22"/>
        </w:rPr>
        <w:t xml:space="preserve">, </w:t>
      </w:r>
      <w:r w:rsidR="005179E3" w:rsidRPr="00194F4B">
        <w:rPr>
          <w:kern w:val="22"/>
          <w:szCs w:val="22"/>
        </w:rPr>
        <w:t>paragraph</w:t>
      </w:r>
      <w:r w:rsidR="00C414EB">
        <w:rPr>
          <w:kern w:val="22"/>
          <w:szCs w:val="22"/>
        </w:rPr>
        <w:t>s</w:t>
      </w:r>
      <w:r w:rsidR="005179E3" w:rsidRPr="00194F4B">
        <w:rPr>
          <w:kern w:val="22"/>
          <w:szCs w:val="22"/>
        </w:rPr>
        <w:t xml:space="preserve"> 57 and 88.</w:t>
      </w:r>
    </w:p>
    <w:p w14:paraId="7D35F533" w14:textId="5E547E9F" w:rsidR="002D055F" w:rsidRPr="00194F4B" w:rsidRDefault="00CE10F9" w:rsidP="00853785">
      <w:pPr>
        <w:pStyle w:val="Para1"/>
        <w:tabs>
          <w:tab w:val="clear" w:pos="360"/>
        </w:tabs>
        <w:kinsoku w:val="0"/>
        <w:overflowPunct w:val="0"/>
        <w:autoSpaceDE w:val="0"/>
        <w:autoSpaceDN w:val="0"/>
        <w:adjustRightInd w:val="0"/>
        <w:snapToGrid w:val="0"/>
        <w:rPr>
          <w:kern w:val="22"/>
          <w:szCs w:val="22"/>
        </w:rPr>
      </w:pPr>
      <w:r w:rsidRPr="00194F4B">
        <w:rPr>
          <w:kern w:val="22"/>
          <w:szCs w:val="22"/>
        </w:rPr>
        <w:t xml:space="preserve">The discussions referred to in paragraphs </w:t>
      </w:r>
      <w:r w:rsidR="004D477C" w:rsidRPr="00853785">
        <w:rPr>
          <w:kern w:val="22"/>
          <w:szCs w:val="22"/>
        </w:rPr>
        <w:t>42</w:t>
      </w:r>
      <w:r w:rsidR="004D477C" w:rsidRPr="00194F4B">
        <w:rPr>
          <w:kern w:val="22"/>
          <w:szCs w:val="22"/>
        </w:rPr>
        <w:t xml:space="preserve"> </w:t>
      </w:r>
      <w:r w:rsidRPr="00194F4B">
        <w:rPr>
          <w:kern w:val="22"/>
          <w:szCs w:val="22"/>
        </w:rPr>
        <w:t xml:space="preserve">and </w:t>
      </w:r>
      <w:r w:rsidR="004D477C" w:rsidRPr="00853785">
        <w:rPr>
          <w:kern w:val="22"/>
          <w:szCs w:val="22"/>
        </w:rPr>
        <w:t>43</w:t>
      </w:r>
      <w:r w:rsidR="004D477C" w:rsidRPr="00194F4B">
        <w:rPr>
          <w:kern w:val="22"/>
          <w:szCs w:val="22"/>
        </w:rPr>
        <w:t xml:space="preserve"> </w:t>
      </w:r>
      <w:r w:rsidR="00C1512D">
        <w:rPr>
          <w:kern w:val="22"/>
          <w:szCs w:val="22"/>
        </w:rPr>
        <w:t xml:space="preserve">above </w:t>
      </w:r>
      <w:r w:rsidRPr="00194F4B">
        <w:rPr>
          <w:kern w:val="22"/>
          <w:szCs w:val="22"/>
        </w:rPr>
        <w:t xml:space="preserve">could be relevant </w:t>
      </w:r>
      <w:r w:rsidR="00250F27" w:rsidRPr="00194F4B">
        <w:rPr>
          <w:kern w:val="22"/>
          <w:szCs w:val="22"/>
        </w:rPr>
        <w:t xml:space="preserve">to clarifying </w:t>
      </w:r>
      <w:r w:rsidR="00250F27" w:rsidRPr="00194F4B">
        <w:rPr>
          <w:i/>
          <w:kern w:val="22"/>
          <w:szCs w:val="22"/>
        </w:rPr>
        <w:t>where</w:t>
      </w:r>
      <w:r w:rsidR="0045075C" w:rsidRPr="00194F4B">
        <w:rPr>
          <w:i/>
          <w:kern w:val="22"/>
          <w:szCs w:val="22"/>
        </w:rPr>
        <w:t xml:space="preserve"> </w:t>
      </w:r>
      <w:r w:rsidR="0045075C" w:rsidRPr="00194F4B">
        <w:rPr>
          <w:kern w:val="22"/>
          <w:szCs w:val="22"/>
        </w:rPr>
        <w:t>biosafety could be addressed within the post-2020 global biodiversity framework.</w:t>
      </w:r>
    </w:p>
    <w:p w14:paraId="08F1CCB2" w14:textId="3F468176" w:rsidR="000F537D" w:rsidRPr="00B51921" w:rsidRDefault="000F537D" w:rsidP="00B51921">
      <w:pPr>
        <w:pStyle w:val="Para1"/>
        <w:numPr>
          <w:ilvl w:val="0"/>
          <w:numId w:val="0"/>
        </w:numPr>
        <w:kinsoku w:val="0"/>
        <w:overflowPunct w:val="0"/>
        <w:autoSpaceDE w:val="0"/>
        <w:autoSpaceDN w:val="0"/>
        <w:adjustRightInd w:val="0"/>
        <w:snapToGrid w:val="0"/>
        <w:rPr>
          <w:kern w:val="22"/>
          <w:szCs w:val="22"/>
        </w:rPr>
      </w:pPr>
    </w:p>
    <w:p w14:paraId="64F2DE45" w14:textId="77777777" w:rsidR="007C7F68" w:rsidRDefault="007C7F68">
      <w:pPr>
        <w:jc w:val="left"/>
        <w:rPr>
          <w:snapToGrid w:val="0"/>
          <w:kern w:val="22"/>
          <w:szCs w:val="22"/>
        </w:rPr>
      </w:pPr>
      <w:r>
        <w:rPr>
          <w:kern w:val="22"/>
          <w:szCs w:val="22"/>
        </w:rPr>
        <w:br w:type="page"/>
      </w:r>
    </w:p>
    <w:p w14:paraId="0F6006B4" w14:textId="0C9AB38F" w:rsidR="000F537D" w:rsidRPr="00853785" w:rsidRDefault="000F537D" w:rsidP="00853785">
      <w:pPr>
        <w:pStyle w:val="Para1"/>
        <w:numPr>
          <w:ilvl w:val="0"/>
          <w:numId w:val="0"/>
        </w:numPr>
        <w:kinsoku w:val="0"/>
        <w:overflowPunct w:val="0"/>
        <w:autoSpaceDE w:val="0"/>
        <w:autoSpaceDN w:val="0"/>
        <w:adjustRightInd w:val="0"/>
        <w:snapToGrid w:val="0"/>
        <w:jc w:val="center"/>
        <w:rPr>
          <w:kern w:val="22"/>
          <w:szCs w:val="22"/>
        </w:rPr>
      </w:pPr>
      <w:r w:rsidRPr="00853785">
        <w:rPr>
          <w:i/>
          <w:kern w:val="22"/>
          <w:szCs w:val="22"/>
        </w:rPr>
        <w:t>Annex</w:t>
      </w:r>
    </w:p>
    <w:p w14:paraId="3B7A061C" w14:textId="5349227C" w:rsidR="002C653B" w:rsidRPr="00B51921" w:rsidRDefault="00B13CB0" w:rsidP="00853785">
      <w:pPr>
        <w:pStyle w:val="Heading1"/>
        <w:spacing w:before="120"/>
        <w:rPr>
          <w:szCs w:val="22"/>
          <w:shd w:val="clear" w:color="auto" w:fill="FFFFFF"/>
        </w:rPr>
      </w:pPr>
      <w:r w:rsidRPr="00B51921">
        <w:rPr>
          <w:szCs w:val="22"/>
          <w:shd w:val="clear" w:color="auto" w:fill="FFFFFF"/>
        </w:rPr>
        <w:t>Selected provisions of the Convention on Biological Diversity</w:t>
      </w:r>
    </w:p>
    <w:p w14:paraId="65B03929" w14:textId="66C1FFAA" w:rsidR="00B13CB0" w:rsidRPr="00853785" w:rsidRDefault="00B13CB0" w:rsidP="00B51921">
      <w:pPr>
        <w:pStyle w:val="Para1"/>
        <w:numPr>
          <w:ilvl w:val="0"/>
          <w:numId w:val="0"/>
        </w:numPr>
        <w:rPr>
          <w:szCs w:val="22"/>
          <w:shd w:val="clear" w:color="auto" w:fill="FFFFFF"/>
        </w:rPr>
      </w:pPr>
      <w:r w:rsidRPr="00853785">
        <w:rPr>
          <w:szCs w:val="22"/>
          <w:shd w:val="clear" w:color="auto" w:fill="FFFFFF"/>
        </w:rPr>
        <w:t>Article 8. In situ conservation</w:t>
      </w:r>
    </w:p>
    <w:p w14:paraId="348DC92A" w14:textId="77777777" w:rsidR="00B13CB0" w:rsidRPr="00853785" w:rsidRDefault="00B13CB0" w:rsidP="00B13CB0">
      <w:pPr>
        <w:pStyle w:val="Para1"/>
        <w:numPr>
          <w:ilvl w:val="0"/>
          <w:numId w:val="0"/>
        </w:numPr>
        <w:rPr>
          <w:szCs w:val="22"/>
          <w:shd w:val="clear" w:color="auto" w:fill="FFFFFF"/>
        </w:rPr>
      </w:pPr>
      <w:r w:rsidRPr="00853785">
        <w:rPr>
          <w:szCs w:val="22"/>
          <w:shd w:val="clear" w:color="auto" w:fill="FFFFFF"/>
        </w:rPr>
        <w:t>Each Contracting Party shall, as far as possible and as appropriate:</w:t>
      </w:r>
    </w:p>
    <w:p w14:paraId="3E6B1FFB" w14:textId="77777777" w:rsidR="00B13CB0" w:rsidRPr="00853785" w:rsidRDefault="00B13CB0" w:rsidP="00B13CB0">
      <w:pPr>
        <w:pStyle w:val="Para1"/>
        <w:numPr>
          <w:ilvl w:val="0"/>
          <w:numId w:val="0"/>
        </w:numPr>
        <w:rPr>
          <w:szCs w:val="22"/>
          <w:shd w:val="clear" w:color="auto" w:fill="FFFFFF"/>
        </w:rPr>
      </w:pPr>
      <w:r w:rsidRPr="00853785">
        <w:rPr>
          <w:szCs w:val="22"/>
          <w:shd w:val="clear" w:color="auto" w:fill="FFFFFF"/>
        </w:rPr>
        <w:t>[…]</w:t>
      </w:r>
    </w:p>
    <w:p w14:paraId="2EB6C437" w14:textId="77777777" w:rsidR="00B13CB0" w:rsidRPr="00853785" w:rsidRDefault="00B13CB0" w:rsidP="00B13CB0">
      <w:pPr>
        <w:pStyle w:val="Para1"/>
        <w:numPr>
          <w:ilvl w:val="0"/>
          <w:numId w:val="0"/>
        </w:numPr>
        <w:ind w:left="720"/>
        <w:rPr>
          <w:shd w:val="clear" w:color="auto" w:fill="FFFFFF"/>
        </w:rPr>
      </w:pPr>
      <w:r w:rsidRPr="00853785">
        <w:rPr>
          <w:shd w:val="clear" w:color="auto" w:fill="FFFFFF"/>
        </w:rPr>
        <w:t>(g) Establish or maintain means to regulate, manage or control the risks associated with the use and release of living modified organisms resulting from biotechnology which are likely to have adverse environmental impacts that could affect the conservation and sustainable use of biological diversity, taking also into account the risks to human health;</w:t>
      </w:r>
    </w:p>
    <w:p w14:paraId="34923844" w14:textId="77777777" w:rsidR="00B13CB0" w:rsidRPr="00853785" w:rsidRDefault="00B13CB0" w:rsidP="00B13CB0">
      <w:pPr>
        <w:pStyle w:val="Para1"/>
        <w:numPr>
          <w:ilvl w:val="0"/>
          <w:numId w:val="0"/>
        </w:numPr>
        <w:rPr>
          <w:shd w:val="clear" w:color="auto" w:fill="FFFFFF"/>
        </w:rPr>
      </w:pPr>
      <w:r w:rsidRPr="00853785">
        <w:rPr>
          <w:shd w:val="clear" w:color="auto" w:fill="FFFFFF"/>
        </w:rPr>
        <w:t>[…]</w:t>
      </w:r>
    </w:p>
    <w:p w14:paraId="68854AB6" w14:textId="77777777" w:rsidR="00B13CB0" w:rsidRPr="00853785" w:rsidRDefault="00B13CB0" w:rsidP="00B13CB0">
      <w:pPr>
        <w:pStyle w:val="Para1"/>
        <w:numPr>
          <w:ilvl w:val="0"/>
          <w:numId w:val="0"/>
        </w:numPr>
        <w:rPr>
          <w:shd w:val="clear" w:color="auto" w:fill="FFFFFF"/>
        </w:rPr>
      </w:pPr>
      <w:r w:rsidRPr="00853785">
        <w:rPr>
          <w:shd w:val="clear" w:color="auto" w:fill="FFFFFF"/>
        </w:rPr>
        <w:t>Article 19. Handling of biotechnology and distribution of its benefits</w:t>
      </w:r>
    </w:p>
    <w:p w14:paraId="5C90294B" w14:textId="25E72534" w:rsidR="00B13CB0" w:rsidRPr="00853785" w:rsidRDefault="00B13CB0" w:rsidP="00B13CB0">
      <w:pPr>
        <w:pStyle w:val="Para1"/>
        <w:numPr>
          <w:ilvl w:val="0"/>
          <w:numId w:val="0"/>
        </w:numPr>
        <w:ind w:left="720"/>
        <w:rPr>
          <w:shd w:val="clear" w:color="auto" w:fill="FFFFFF"/>
        </w:rPr>
      </w:pPr>
      <w:r w:rsidRPr="00853785">
        <w:rPr>
          <w:shd w:val="clear" w:color="auto" w:fill="FFFFFF"/>
        </w:rPr>
        <w:t>1.</w:t>
      </w:r>
      <w:r w:rsidR="00F212FA">
        <w:rPr>
          <w:shd w:val="clear" w:color="auto" w:fill="FFFFFF"/>
        </w:rPr>
        <w:tab/>
      </w:r>
      <w:r w:rsidRPr="00853785">
        <w:rPr>
          <w:shd w:val="clear" w:color="auto" w:fill="FFFFFF"/>
        </w:rPr>
        <w:t>Each Contracting Party shall take legislative, administrative or policy measures, as appropriate, to provide for the effective participation in biotechnological research activities by those Contracting Parties, especially developing countries, which provide the genetic resources for such research, and where feasible in such Contracting Parties.</w:t>
      </w:r>
    </w:p>
    <w:p w14:paraId="218D01C8" w14:textId="2F8B14D5" w:rsidR="00B13CB0" w:rsidRPr="00853785" w:rsidRDefault="00B13CB0" w:rsidP="00B13CB0">
      <w:pPr>
        <w:pStyle w:val="Para1"/>
        <w:numPr>
          <w:ilvl w:val="0"/>
          <w:numId w:val="0"/>
        </w:numPr>
        <w:ind w:left="720"/>
        <w:rPr>
          <w:shd w:val="clear" w:color="auto" w:fill="FFFFFF"/>
        </w:rPr>
      </w:pPr>
      <w:r w:rsidRPr="00853785">
        <w:rPr>
          <w:shd w:val="clear" w:color="auto" w:fill="FFFFFF"/>
        </w:rPr>
        <w:t>2.</w:t>
      </w:r>
      <w:r w:rsidR="00F212FA">
        <w:rPr>
          <w:shd w:val="clear" w:color="auto" w:fill="FFFFFF"/>
        </w:rPr>
        <w:tab/>
      </w:r>
      <w:r w:rsidRPr="00853785">
        <w:rPr>
          <w:shd w:val="clear" w:color="auto" w:fill="FFFFFF"/>
        </w:rPr>
        <w:t>Each Contracting Party shall take all practicable measures to promote and advance priority access on a fair and equitable basis by Contracting Parties, especially developing countries, to the results and benefits arising from biotechnologies based upon genetic resources provided by those Contracting Parties. Such access shall be on mutually agreed terms.</w:t>
      </w:r>
    </w:p>
    <w:p w14:paraId="398A1FD6" w14:textId="05AAFA29" w:rsidR="00B13CB0" w:rsidRPr="00853785" w:rsidRDefault="00B13CB0" w:rsidP="00B13CB0">
      <w:pPr>
        <w:pStyle w:val="Para1"/>
        <w:numPr>
          <w:ilvl w:val="0"/>
          <w:numId w:val="0"/>
        </w:numPr>
        <w:ind w:left="720"/>
        <w:rPr>
          <w:shd w:val="clear" w:color="auto" w:fill="FFFFFF"/>
        </w:rPr>
      </w:pPr>
      <w:r w:rsidRPr="00853785">
        <w:rPr>
          <w:shd w:val="clear" w:color="auto" w:fill="FFFFFF"/>
        </w:rPr>
        <w:t>3.</w:t>
      </w:r>
      <w:r w:rsidR="00F212FA">
        <w:rPr>
          <w:shd w:val="clear" w:color="auto" w:fill="FFFFFF"/>
        </w:rPr>
        <w:tab/>
      </w:r>
      <w:r w:rsidRPr="00853785">
        <w:rPr>
          <w:shd w:val="clear" w:color="auto" w:fill="FFFFFF"/>
        </w:rPr>
        <w:t>The Parties shall consider the need for and modalities of a protocol setting out appropriate procedures, including</w:t>
      </w:r>
      <w:proofErr w:type="gramStart"/>
      <w:r w:rsidRPr="00853785">
        <w:rPr>
          <w:shd w:val="clear" w:color="auto" w:fill="FFFFFF"/>
        </w:rPr>
        <w:t>, in particular, advance</w:t>
      </w:r>
      <w:proofErr w:type="gramEnd"/>
      <w:r w:rsidRPr="00853785">
        <w:rPr>
          <w:shd w:val="clear" w:color="auto" w:fill="FFFFFF"/>
        </w:rPr>
        <w:t xml:space="preserve"> informed agreement, in the field of the safe transfer, handling and use of any living modified organism resulting from biotechnology that may have adverse effect on the conservation and sustainable use of biological diversity.</w:t>
      </w:r>
    </w:p>
    <w:p w14:paraId="356A5B5B" w14:textId="60634452" w:rsidR="00417101" w:rsidRDefault="00B13CB0" w:rsidP="00853785">
      <w:pPr>
        <w:pStyle w:val="Para1"/>
        <w:numPr>
          <w:ilvl w:val="0"/>
          <w:numId w:val="0"/>
        </w:numPr>
        <w:ind w:left="720"/>
      </w:pPr>
      <w:r w:rsidRPr="00853785">
        <w:rPr>
          <w:shd w:val="clear" w:color="auto" w:fill="FFFFFF"/>
        </w:rPr>
        <w:t>4.</w:t>
      </w:r>
      <w:r w:rsidR="00F212FA">
        <w:rPr>
          <w:shd w:val="clear" w:color="auto" w:fill="FFFFFF"/>
        </w:rPr>
        <w:tab/>
      </w:r>
      <w:r w:rsidRPr="00853785">
        <w:rPr>
          <w:shd w:val="clear" w:color="auto" w:fill="FFFFFF"/>
        </w:rPr>
        <w:t xml:space="preserve">Each Contracting Party shall, directly or by requiring any natural or legal person under its jurisdiction providing the organisms referred to in paragraph 3 above, provide any available </w:t>
      </w:r>
      <w:r w:rsidRPr="00853785">
        <w:rPr>
          <w:shd w:val="clear" w:color="auto" w:fill="FFFFFF"/>
        </w:rPr>
        <w:lastRenderedPageBreak/>
        <w:t>information about the use and safety regulations required by that Contracting Party in handling such organisms, as well as any available information on the potential adverse impact of the specific organisms concerned to the Contracting Party into which those organisms are to be introduced.</w:t>
      </w:r>
    </w:p>
    <w:p w14:paraId="48323164" w14:textId="016C5E4D" w:rsidR="00130BB2" w:rsidRPr="00143174" w:rsidRDefault="000F512E" w:rsidP="00417101">
      <w:pPr>
        <w:jc w:val="center"/>
        <w:rPr>
          <w:kern w:val="22"/>
        </w:rPr>
      </w:pPr>
      <w:r w:rsidRPr="00143174">
        <w:rPr>
          <w:kern w:val="22"/>
        </w:rPr>
        <w:t>_________</w:t>
      </w:r>
    </w:p>
    <w:p w14:paraId="489DA0B2" w14:textId="77777777" w:rsidR="00B3369F" w:rsidRPr="00143174" w:rsidRDefault="00B3369F" w:rsidP="00190CAF">
      <w:pPr>
        <w:kinsoku w:val="0"/>
        <w:overflowPunct w:val="0"/>
        <w:autoSpaceDE w:val="0"/>
        <w:autoSpaceDN w:val="0"/>
        <w:jc w:val="center"/>
        <w:rPr>
          <w:kern w:val="22"/>
        </w:rPr>
      </w:pPr>
    </w:p>
    <w:sectPr w:rsidR="00B3369F" w:rsidRPr="00143174" w:rsidSect="00660370">
      <w:headerReference w:type="even" r:id="rId19"/>
      <w:headerReference w:type="default" r:id="rId20"/>
      <w:pgSz w:w="12240" w:h="15840"/>
      <w:pgMar w:top="567" w:right="1389" w:bottom="1134" w:left="1389"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Veronique Lefebvre" w:date="2019-07-16T16:46:00Z" w:initials="VL">
    <w:p w14:paraId="27AA9CC4" w14:textId="59B27B2D" w:rsidR="00A1420A" w:rsidRDefault="00A1420A">
      <w:pPr>
        <w:pStyle w:val="CommentText"/>
      </w:pPr>
      <w:r>
        <w:rPr>
          <w:rStyle w:val="CommentReference"/>
        </w:rPr>
        <w:annotationRef/>
      </w:r>
      <w:r w:rsidR="00745EE4">
        <w:rPr>
          <w:noProof/>
        </w:rPr>
        <w:t>Is this the right ref?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AA9CC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477F0" w14:textId="77777777" w:rsidR="009F0733" w:rsidRDefault="009F0733" w:rsidP="00CF1848">
      <w:r>
        <w:separator/>
      </w:r>
    </w:p>
  </w:endnote>
  <w:endnote w:type="continuationSeparator" w:id="0">
    <w:p w14:paraId="74F41D21" w14:textId="77777777" w:rsidR="009F0733" w:rsidRDefault="009F073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024B2" w14:textId="77777777" w:rsidR="009F0733" w:rsidRDefault="009F0733" w:rsidP="00CF1848">
      <w:r>
        <w:separator/>
      </w:r>
    </w:p>
  </w:footnote>
  <w:footnote w:type="continuationSeparator" w:id="0">
    <w:p w14:paraId="54104E72" w14:textId="77777777" w:rsidR="009F0733" w:rsidRDefault="009F0733" w:rsidP="00CF1848">
      <w:r>
        <w:continuationSeparator/>
      </w:r>
    </w:p>
  </w:footnote>
  <w:footnote w:id="1">
    <w:p w14:paraId="377BF417" w14:textId="098446BD" w:rsidR="003C0217" w:rsidRPr="00853785" w:rsidRDefault="003C0217" w:rsidP="00853785">
      <w:pPr>
        <w:pStyle w:val="FootnoteText"/>
        <w:ind w:firstLine="0"/>
        <w:jc w:val="left"/>
        <w:rPr>
          <w:kern w:val="18"/>
          <w:lang w:val="en-CA"/>
        </w:rPr>
      </w:pPr>
      <w:r w:rsidRPr="00853785">
        <w:rPr>
          <w:rStyle w:val="FootnoteReference"/>
          <w:kern w:val="18"/>
          <w:u w:val="none"/>
          <w:vertAlign w:val="superscript"/>
        </w:rPr>
        <w:footnoteRef/>
      </w:r>
      <w:r w:rsidRPr="00853785">
        <w:rPr>
          <w:kern w:val="18"/>
        </w:rPr>
        <w:t xml:space="preserve"> The full text of the submissions is available at: </w:t>
      </w:r>
      <w:hyperlink r:id="rId1" w:history="1">
        <w:r w:rsidRPr="00853785">
          <w:rPr>
            <w:rStyle w:val="Hyperlink"/>
            <w:kern w:val="18"/>
          </w:rPr>
          <w:t>http://bch.cbd.int/protocol/post2020/submissions.shtml</w:t>
        </w:r>
      </w:hyperlink>
      <w:r w:rsidRPr="00853785">
        <w:rPr>
          <w:kern w:val="18"/>
        </w:rPr>
        <w:t xml:space="preserve">. </w:t>
      </w:r>
    </w:p>
  </w:footnote>
  <w:footnote w:id="2">
    <w:p w14:paraId="337D52F7" w14:textId="6FCA864C" w:rsidR="00472191" w:rsidRPr="00853785" w:rsidRDefault="00472191" w:rsidP="00853785">
      <w:pPr>
        <w:pStyle w:val="FootnoteText"/>
        <w:ind w:firstLine="0"/>
        <w:jc w:val="left"/>
        <w:rPr>
          <w:lang w:val="en-CA"/>
        </w:rPr>
      </w:pPr>
      <w:r w:rsidRPr="00853785">
        <w:rPr>
          <w:rStyle w:val="FootnoteReference"/>
          <w:u w:val="none"/>
          <w:vertAlign w:val="superscript"/>
        </w:rPr>
        <w:footnoteRef/>
      </w:r>
      <w:r w:rsidRPr="00472191">
        <w:t xml:space="preserve"> </w:t>
      </w:r>
      <w:r w:rsidRPr="00853785">
        <w:rPr>
          <w:rStyle w:val="ng-binding"/>
          <w:bCs/>
        </w:rPr>
        <w:t>CBD/POST2020/PREP/1/INF/1</w:t>
      </w:r>
      <w:r w:rsidRPr="00853785">
        <w:rPr>
          <w:rStyle w:val="ng-binding"/>
          <w:bCs/>
        </w:rPr>
        <w:t xml:space="preserve"> and 2.</w:t>
      </w:r>
    </w:p>
  </w:footnote>
  <w:footnote w:id="3">
    <w:p w14:paraId="0A06A8C2" w14:textId="6C576498" w:rsidR="00BF45DC" w:rsidRPr="00853785" w:rsidRDefault="00BF45DC" w:rsidP="00853785">
      <w:pPr>
        <w:pStyle w:val="FootnoteText"/>
        <w:ind w:firstLine="0"/>
        <w:jc w:val="left"/>
        <w:rPr>
          <w:kern w:val="18"/>
          <w:lang w:val="en-US"/>
        </w:rPr>
      </w:pPr>
      <w:r w:rsidRPr="00853785">
        <w:rPr>
          <w:rStyle w:val="FootnoteReference"/>
          <w:kern w:val="18"/>
          <w:u w:val="none"/>
          <w:vertAlign w:val="superscript"/>
        </w:rPr>
        <w:footnoteRef/>
      </w:r>
      <w:r w:rsidRPr="00853785">
        <w:rPr>
          <w:kern w:val="18"/>
        </w:rPr>
        <w:t xml:space="preserve"> </w:t>
      </w:r>
      <w:r w:rsidRPr="00853785">
        <w:rPr>
          <w:kern w:val="18"/>
          <w:lang w:val="en-US"/>
        </w:rPr>
        <w:t xml:space="preserve">The Cartagena Protocol on Biosafety and the Nagoya Protocol on Access to Genetic Resources and the Fair and Equitable Sharing of Benefits Arising from their Utilization to the Convention on Biological Diversity. A complete synthesis of the views is available in </w:t>
      </w:r>
      <w:r w:rsidR="00A40A00" w:rsidRPr="00853785">
        <w:rPr>
          <w:kern w:val="18"/>
          <w:lang w:val="en-US"/>
        </w:rPr>
        <w:t>CBD/POST2020/PREP/1/INF/2</w:t>
      </w:r>
      <w:r w:rsidRPr="00853785">
        <w:rPr>
          <w:kern w:val="18"/>
          <w:lang w:val="en-US"/>
        </w:rPr>
        <w:t>.</w:t>
      </w:r>
    </w:p>
  </w:footnote>
  <w:footnote w:id="4">
    <w:p w14:paraId="6BCDF4AF" w14:textId="3AF1EBB7" w:rsidR="00E25126" w:rsidRPr="00853785" w:rsidRDefault="00E25126" w:rsidP="00853785">
      <w:pPr>
        <w:pStyle w:val="FootnoteText"/>
        <w:ind w:firstLine="0"/>
        <w:jc w:val="left"/>
        <w:rPr>
          <w:kern w:val="18"/>
          <w:lang w:val="en-US"/>
        </w:rPr>
      </w:pPr>
      <w:r w:rsidRPr="00853785">
        <w:rPr>
          <w:rStyle w:val="FootnoteReference"/>
          <w:kern w:val="18"/>
          <w:u w:val="none"/>
          <w:vertAlign w:val="superscript"/>
        </w:rPr>
        <w:footnoteRef/>
      </w:r>
      <w:r w:rsidRPr="00853785">
        <w:rPr>
          <w:kern w:val="18"/>
        </w:rPr>
        <w:t xml:space="preserve"> In contrast, biodiversity and access and benefit-sharing are reflected explicitly. Goal 15 relates</w:t>
      </w:r>
      <w:r w:rsidR="003E1236" w:rsidRPr="00853785">
        <w:rPr>
          <w:kern w:val="18"/>
        </w:rPr>
        <w:t>,</w:t>
      </w:r>
      <w:r w:rsidRPr="00853785">
        <w:rPr>
          <w:kern w:val="18"/>
        </w:rPr>
        <w:t xml:space="preserve"> among other</w:t>
      </w:r>
      <w:r w:rsidR="003E1236" w:rsidRPr="00853785">
        <w:rPr>
          <w:kern w:val="18"/>
        </w:rPr>
        <w:t xml:space="preserve"> thing</w:t>
      </w:r>
      <w:r w:rsidRPr="00853785">
        <w:rPr>
          <w:kern w:val="18"/>
        </w:rPr>
        <w:t>s</w:t>
      </w:r>
      <w:r w:rsidR="003E1236" w:rsidRPr="00853785">
        <w:rPr>
          <w:kern w:val="18"/>
        </w:rPr>
        <w:t>,</w:t>
      </w:r>
      <w:r w:rsidRPr="00853785">
        <w:rPr>
          <w:kern w:val="18"/>
        </w:rPr>
        <w:t xml:space="preserve"> to halting biodiversity loss</w:t>
      </w:r>
      <w:r w:rsidR="003E1236" w:rsidRPr="00853785">
        <w:rPr>
          <w:kern w:val="18"/>
        </w:rPr>
        <w:t>,</w:t>
      </w:r>
      <w:r w:rsidRPr="00853785">
        <w:rPr>
          <w:kern w:val="18"/>
        </w:rPr>
        <w:t xml:space="preserve"> and several related targets address biodiversity.</w:t>
      </w:r>
      <w:r w:rsidR="007538AD" w:rsidRPr="00853785">
        <w:rPr>
          <w:kern w:val="18"/>
        </w:rPr>
        <w:t xml:space="preserve"> Both</w:t>
      </w:r>
      <w:r w:rsidRPr="00853785">
        <w:rPr>
          <w:kern w:val="18"/>
        </w:rPr>
        <w:t xml:space="preserve"> </w:t>
      </w:r>
      <w:r w:rsidR="007538AD" w:rsidRPr="00853785">
        <w:rPr>
          <w:kern w:val="18"/>
        </w:rPr>
        <w:t>t</w:t>
      </w:r>
      <w:r w:rsidRPr="00853785">
        <w:rPr>
          <w:kern w:val="18"/>
        </w:rPr>
        <w:t xml:space="preserve">arget 5 under Goal 2 </w:t>
      </w:r>
      <w:r w:rsidR="007538AD" w:rsidRPr="00853785">
        <w:rPr>
          <w:kern w:val="18"/>
        </w:rPr>
        <w:t>and target 6 under Goal 15 are</w:t>
      </w:r>
      <w:r w:rsidRPr="00853785">
        <w:rPr>
          <w:kern w:val="18"/>
        </w:rPr>
        <w:t xml:space="preserve"> dedicated specifically to the</w:t>
      </w:r>
      <w:r w:rsidRPr="00853785">
        <w:rPr>
          <w:kern w:val="18"/>
          <w:shd w:val="clear" w:color="auto" w:fill="FFFFFF"/>
        </w:rPr>
        <w:t xml:space="preserve"> promotion of access to</w:t>
      </w:r>
      <w:r w:rsidR="007538AD" w:rsidRPr="00853785">
        <w:rPr>
          <w:kern w:val="18"/>
          <w:shd w:val="clear" w:color="auto" w:fill="FFFFFF"/>
        </w:rPr>
        <w:t xml:space="preserve"> genetic resources</w:t>
      </w:r>
      <w:r w:rsidRPr="00853785">
        <w:rPr>
          <w:kern w:val="18"/>
          <w:shd w:val="clear" w:color="auto" w:fill="FFFFFF"/>
        </w:rPr>
        <w:t xml:space="preserve"> and fair and equitable sharing of benefits arising from the utilization of genetic resources.</w:t>
      </w:r>
    </w:p>
  </w:footnote>
  <w:footnote w:id="5">
    <w:p w14:paraId="6134DBD1" w14:textId="77777777" w:rsidR="00E25126" w:rsidRPr="00853785" w:rsidRDefault="00E25126" w:rsidP="00853785">
      <w:pPr>
        <w:pStyle w:val="FootnoteText"/>
        <w:ind w:firstLine="0"/>
        <w:jc w:val="left"/>
        <w:rPr>
          <w:kern w:val="18"/>
          <w:lang w:val="en-US"/>
        </w:rPr>
      </w:pPr>
      <w:r w:rsidRPr="00853785">
        <w:rPr>
          <w:rStyle w:val="FootnoteReference"/>
          <w:kern w:val="18"/>
          <w:u w:val="none"/>
          <w:vertAlign w:val="superscript"/>
        </w:rPr>
        <w:footnoteRef/>
      </w:r>
      <w:r w:rsidRPr="00853785">
        <w:rPr>
          <w:kern w:val="18"/>
          <w:vertAlign w:val="superscript"/>
        </w:rPr>
        <w:t xml:space="preserve"> </w:t>
      </w:r>
      <w:r w:rsidRPr="00853785">
        <w:rPr>
          <w:kern w:val="18"/>
          <w:lang w:val="en-US"/>
        </w:rPr>
        <w:t>Specific, measurable, attainable, realistic and timely.</w:t>
      </w:r>
    </w:p>
  </w:footnote>
  <w:footnote w:id="6">
    <w:p w14:paraId="6F2BE1DF" w14:textId="76856215" w:rsidR="00B71458" w:rsidRPr="00853785" w:rsidRDefault="00B71458" w:rsidP="00853785">
      <w:pPr>
        <w:pStyle w:val="FootnoteText"/>
        <w:ind w:firstLine="0"/>
        <w:jc w:val="left"/>
        <w:rPr>
          <w:kern w:val="18"/>
          <w:lang w:val="en-US"/>
        </w:rPr>
      </w:pPr>
      <w:r w:rsidRPr="00853785">
        <w:rPr>
          <w:rStyle w:val="FootnoteReference"/>
          <w:kern w:val="18"/>
          <w:u w:val="none"/>
          <w:vertAlign w:val="superscript"/>
        </w:rPr>
        <w:footnoteRef/>
      </w:r>
      <w:r w:rsidRPr="00853785">
        <w:rPr>
          <w:kern w:val="18"/>
        </w:rPr>
        <w:t xml:space="preserve"> </w:t>
      </w:r>
      <w:r w:rsidRPr="00853785">
        <w:rPr>
          <w:kern w:val="18"/>
          <w:lang w:val="en-US"/>
        </w:rPr>
        <w:t xml:space="preserve">Submitted following notification 2019-008. See also paragraph </w:t>
      </w:r>
      <w:r w:rsidR="007237A0">
        <w:rPr>
          <w:kern w:val="18"/>
          <w:lang w:val="en-US"/>
        </w:rPr>
        <w:fldChar w:fldCharType="begin"/>
      </w:r>
      <w:r w:rsidR="007237A0">
        <w:rPr>
          <w:kern w:val="18"/>
          <w:lang w:val="en-US"/>
        </w:rPr>
        <w:instrText xml:space="preserve"> REF _Ref14366422 \r \h </w:instrText>
      </w:r>
      <w:r w:rsidR="007237A0">
        <w:rPr>
          <w:kern w:val="18"/>
          <w:lang w:val="en-US"/>
        </w:rPr>
      </w:r>
      <w:r w:rsidR="007237A0">
        <w:rPr>
          <w:kern w:val="18"/>
          <w:lang w:val="en-US"/>
        </w:rPr>
        <w:fldChar w:fldCharType="separate"/>
      </w:r>
      <w:r w:rsidR="007237A0">
        <w:rPr>
          <w:kern w:val="18"/>
          <w:lang w:val="en-US"/>
        </w:rPr>
        <w:t>23</w:t>
      </w:r>
      <w:r w:rsidR="007237A0">
        <w:rPr>
          <w:kern w:val="18"/>
          <w:lang w:val="en-US"/>
        </w:rPr>
        <w:fldChar w:fldCharType="end"/>
      </w:r>
      <w:r w:rsidR="00003227">
        <w:rPr>
          <w:kern w:val="18"/>
          <w:lang w:val="en-US"/>
        </w:rPr>
        <w:t> </w:t>
      </w:r>
      <w:r w:rsidRPr="00853785">
        <w:rPr>
          <w:kern w:val="18"/>
          <w:lang w:val="en-US"/>
        </w:rPr>
        <w:t>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2A3FEC" w14:textId="5B40F586" w:rsidR="00E25126" w:rsidRPr="0057433C" w:rsidRDefault="00695C48" w:rsidP="00534681">
        <w:pPr>
          <w:pStyle w:val="Header"/>
          <w:rPr>
            <w:lang w:val="fr-CA"/>
          </w:rPr>
        </w:pPr>
        <w:r>
          <w:rPr>
            <w:lang w:val="fr-CA"/>
          </w:rPr>
          <w:t>CBD/POST2020/</w:t>
        </w:r>
        <w:proofErr w:type="spellStart"/>
        <w:r>
          <w:rPr>
            <w:lang w:val="fr-CA"/>
          </w:rPr>
          <w:t>WS</w:t>
        </w:r>
        <w:proofErr w:type="spellEnd"/>
        <w:r>
          <w:rPr>
            <w:lang w:val="fr-CA"/>
          </w:rPr>
          <w:t>/2019/7/2</w:t>
        </w:r>
      </w:p>
    </w:sdtContent>
  </w:sdt>
  <w:p w14:paraId="19E31C39" w14:textId="77777777" w:rsidR="00E25126" w:rsidRPr="0057433C" w:rsidRDefault="00E25126" w:rsidP="00534681">
    <w:pPr>
      <w:pStyle w:val="Header"/>
      <w:rPr>
        <w:lang w:val="fr-CA"/>
      </w:rPr>
    </w:pPr>
    <w:r w:rsidRPr="0057433C">
      <w:rPr>
        <w:lang w:val="fr-CA"/>
      </w:rPr>
      <w:t xml:space="preserve">Page </w:t>
    </w:r>
    <w:r>
      <w:fldChar w:fldCharType="begin"/>
    </w:r>
    <w:r w:rsidRPr="0057433C">
      <w:rPr>
        <w:lang w:val="fr-CA"/>
      </w:rPr>
      <w:instrText xml:space="preserve"> PAGE   \* MERGEFORMAT </w:instrText>
    </w:r>
    <w:r>
      <w:fldChar w:fldCharType="separate"/>
    </w:r>
    <w:r w:rsidR="004D4352">
      <w:rPr>
        <w:noProof/>
        <w:lang w:val="fr-CA"/>
      </w:rPr>
      <w:t>2</w:t>
    </w:r>
    <w:r>
      <w:rPr>
        <w:noProof/>
      </w:rPr>
      <w:fldChar w:fldCharType="end"/>
    </w:r>
  </w:p>
  <w:p w14:paraId="38BE883B" w14:textId="77777777" w:rsidR="00E25126" w:rsidRPr="0057433C" w:rsidRDefault="00E2512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CA"/>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58177CEE" w14:textId="6617F98F" w:rsidR="00E25126" w:rsidRPr="0057433C" w:rsidRDefault="00695C48" w:rsidP="009505C9">
        <w:pPr>
          <w:pStyle w:val="Header"/>
          <w:jc w:val="right"/>
          <w:rPr>
            <w:lang w:val="fr-CA"/>
          </w:rPr>
        </w:pPr>
        <w:r>
          <w:rPr>
            <w:lang w:val="fr-CA"/>
          </w:rPr>
          <w:t>CBD/POST2020/</w:t>
        </w:r>
        <w:proofErr w:type="spellStart"/>
        <w:r>
          <w:rPr>
            <w:lang w:val="fr-CA"/>
          </w:rPr>
          <w:t>WS</w:t>
        </w:r>
        <w:proofErr w:type="spellEnd"/>
        <w:r>
          <w:rPr>
            <w:lang w:val="fr-CA"/>
          </w:rPr>
          <w:t>/2019/7/2</w:t>
        </w:r>
      </w:p>
    </w:sdtContent>
  </w:sdt>
  <w:p w14:paraId="1820A7D5" w14:textId="77777777" w:rsidR="00E25126" w:rsidRPr="0057433C" w:rsidRDefault="00E25126" w:rsidP="009505C9">
    <w:pPr>
      <w:pStyle w:val="Header"/>
      <w:jc w:val="right"/>
      <w:rPr>
        <w:lang w:val="fr-CA"/>
      </w:rPr>
    </w:pPr>
    <w:r w:rsidRPr="0057433C">
      <w:rPr>
        <w:lang w:val="fr-CA"/>
      </w:rPr>
      <w:t xml:space="preserve">Page </w:t>
    </w:r>
    <w:r>
      <w:fldChar w:fldCharType="begin"/>
    </w:r>
    <w:r w:rsidRPr="0057433C">
      <w:rPr>
        <w:lang w:val="fr-CA"/>
      </w:rPr>
      <w:instrText xml:space="preserve"> PAGE   \* MERGEFORMAT </w:instrText>
    </w:r>
    <w:r>
      <w:fldChar w:fldCharType="separate"/>
    </w:r>
    <w:r w:rsidR="004D4352">
      <w:rPr>
        <w:noProof/>
        <w:lang w:val="fr-CA"/>
      </w:rPr>
      <w:t>7</w:t>
    </w:r>
    <w:r>
      <w:rPr>
        <w:noProof/>
      </w:rPr>
      <w:fldChar w:fldCharType="end"/>
    </w:r>
  </w:p>
  <w:p w14:paraId="37D34E80" w14:textId="77777777" w:rsidR="00E25126" w:rsidRPr="0057433C" w:rsidRDefault="00E25126">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C58"/>
    <w:multiLevelType w:val="hybridMultilevel"/>
    <w:tmpl w:val="D05CDBE4"/>
    <w:lvl w:ilvl="0" w:tplc="1AB88D40">
      <w:start w:val="1"/>
      <w:numFmt w:val="decimal"/>
      <w:lvlText w:val="%1."/>
      <w:lvlJc w:val="left"/>
      <w:pPr>
        <w:ind w:left="1800" w:hanging="360"/>
      </w:pPr>
      <w:rPr>
        <w:b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7308CF"/>
    <w:multiLevelType w:val="hybridMultilevel"/>
    <w:tmpl w:val="D76C0960"/>
    <w:lvl w:ilvl="0" w:tplc="1864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B90826"/>
    <w:multiLevelType w:val="hybridMultilevel"/>
    <w:tmpl w:val="5D7E0DAE"/>
    <w:lvl w:ilvl="0" w:tplc="1864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C43E10"/>
    <w:multiLevelType w:val="hybridMultilevel"/>
    <w:tmpl w:val="D76C0960"/>
    <w:lvl w:ilvl="0" w:tplc="1864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93ADD"/>
    <w:multiLevelType w:val="hybridMultilevel"/>
    <w:tmpl w:val="98C67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23561"/>
    <w:multiLevelType w:val="hybridMultilevel"/>
    <w:tmpl w:val="80247250"/>
    <w:lvl w:ilvl="0" w:tplc="4718F17E">
      <w:start w:val="1"/>
      <w:numFmt w:val="lowerRoman"/>
      <w:lvlText w:val="(%1)"/>
      <w:lvlJc w:val="right"/>
      <w:pPr>
        <w:ind w:left="1440" w:hanging="360"/>
      </w:pPr>
      <w:rPr>
        <w:rFonts w:hint="default"/>
      </w:rPr>
    </w:lvl>
    <w:lvl w:ilvl="1" w:tplc="E37CD26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45D0E08"/>
    <w:multiLevelType w:val="hybridMultilevel"/>
    <w:tmpl w:val="01EE4B0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A41F1"/>
    <w:multiLevelType w:val="hybridMultilevel"/>
    <w:tmpl w:val="598CC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A4FF4"/>
    <w:multiLevelType w:val="hybridMultilevel"/>
    <w:tmpl w:val="D76C0960"/>
    <w:lvl w:ilvl="0" w:tplc="1864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66D43"/>
    <w:multiLevelType w:val="hybridMultilevel"/>
    <w:tmpl w:val="BA782E04"/>
    <w:lvl w:ilvl="0" w:tplc="8CC00CE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163038"/>
    <w:multiLevelType w:val="hybridMultilevel"/>
    <w:tmpl w:val="7E32AF24"/>
    <w:lvl w:ilvl="0" w:tplc="EA6832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71F2682"/>
    <w:multiLevelType w:val="hybridMultilevel"/>
    <w:tmpl w:val="E76CC66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69BCACA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E547892"/>
    <w:multiLevelType w:val="hybridMultilevel"/>
    <w:tmpl w:val="A2B46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80661"/>
    <w:multiLevelType w:val="hybridMultilevel"/>
    <w:tmpl w:val="EB8A9D96"/>
    <w:lvl w:ilvl="0" w:tplc="470C1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E519F"/>
    <w:multiLevelType w:val="hybridMultilevel"/>
    <w:tmpl w:val="3252D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46128"/>
    <w:multiLevelType w:val="hybridMultilevel"/>
    <w:tmpl w:val="1E3406AE"/>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4"/>
  </w:num>
  <w:num w:numId="4">
    <w:abstractNumId w:val="17"/>
  </w:num>
  <w:num w:numId="5">
    <w:abstractNumId w:val="16"/>
  </w:num>
  <w:num w:numId="6">
    <w:abstractNumId w:val="2"/>
  </w:num>
  <w:num w:numId="7">
    <w:abstractNumId w:val="4"/>
  </w:num>
  <w:num w:numId="8">
    <w:abstractNumId w:val="14"/>
    <w:lvlOverride w:ilvl="0">
      <w:startOverride w:val="1"/>
    </w:lvlOverride>
  </w:num>
  <w:num w:numId="9">
    <w:abstractNumId w:val="22"/>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7"/>
  </w:num>
  <w:num w:numId="15">
    <w:abstractNumId w:val="19"/>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
  </w:num>
  <w:num w:numId="27">
    <w:abstractNumId w:val="11"/>
  </w:num>
  <w:num w:numId="28">
    <w:abstractNumId w:val="17"/>
  </w:num>
  <w:num w:numId="29">
    <w:abstractNumId w:val="5"/>
  </w:num>
  <w:num w:numId="30">
    <w:abstractNumId w:val="17"/>
  </w:num>
  <w:num w:numId="31">
    <w:abstractNumId w:val="1"/>
  </w:num>
  <w:num w:numId="32">
    <w:abstractNumId w:val="17"/>
  </w:num>
  <w:num w:numId="33">
    <w:abstractNumId w:val="0"/>
  </w:num>
  <w:num w:numId="34">
    <w:abstractNumId w:val="17"/>
  </w:num>
  <w:num w:numId="35">
    <w:abstractNumId w:val="6"/>
  </w:num>
  <w:num w:numId="36">
    <w:abstractNumId w:val="17"/>
  </w:num>
  <w:num w:numId="37">
    <w:abstractNumId w:val="17"/>
  </w:num>
  <w:num w:numId="38">
    <w:abstractNumId w:val="15"/>
  </w:num>
  <w:num w:numId="39">
    <w:abstractNumId w:val="20"/>
  </w:num>
  <w:num w:numId="40">
    <w:abstractNumId w:val="21"/>
  </w:num>
  <w:num w:numId="41">
    <w:abstractNumId w:val="17"/>
  </w:num>
  <w:num w:numId="42">
    <w:abstractNumId w:val="17"/>
  </w:num>
  <w:num w:numId="43">
    <w:abstractNumId w:val="18"/>
  </w:num>
  <w:num w:numId="44">
    <w:abstractNumId w:val="1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46">
    <w:abstractNumId w:val="7"/>
  </w:num>
  <w:num w:numId="47">
    <w:abstractNumId w:val="17"/>
  </w:num>
  <w:num w:numId="48">
    <w:abstractNumId w:val="17"/>
  </w:num>
  <w:num w:numId="49">
    <w:abstractNumId w:val="17"/>
  </w:num>
  <w:num w:numId="50">
    <w:abstractNumId w:val="17"/>
  </w:num>
  <w:num w:numId="51">
    <w:abstractNumId w:val="12"/>
    <w:lvlOverride w:ilvl="0">
      <w:startOverride w:val="1"/>
    </w:lvlOverride>
  </w:num>
  <w:num w:numId="52">
    <w:abstractNumId w:val="13"/>
  </w:num>
  <w:num w:numId="53">
    <w:abstractNumId w:val="9"/>
  </w:num>
  <w:num w:numId="54">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None" w15:userId="Veronique Lefebv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revisionView w:markup="0" w:formatting="0"/>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34D"/>
    <w:rsid w:val="000010D6"/>
    <w:rsid w:val="0000289C"/>
    <w:rsid w:val="00002D78"/>
    <w:rsid w:val="00003076"/>
    <w:rsid w:val="00003227"/>
    <w:rsid w:val="000047B9"/>
    <w:rsid w:val="00004E96"/>
    <w:rsid w:val="00005F79"/>
    <w:rsid w:val="000073CF"/>
    <w:rsid w:val="00010070"/>
    <w:rsid w:val="00010BF0"/>
    <w:rsid w:val="00012953"/>
    <w:rsid w:val="0001318B"/>
    <w:rsid w:val="0001375A"/>
    <w:rsid w:val="00016139"/>
    <w:rsid w:val="00016931"/>
    <w:rsid w:val="00016CDB"/>
    <w:rsid w:val="00016F69"/>
    <w:rsid w:val="000172AE"/>
    <w:rsid w:val="00021AD1"/>
    <w:rsid w:val="00021BB1"/>
    <w:rsid w:val="00022A2E"/>
    <w:rsid w:val="000277A4"/>
    <w:rsid w:val="000307AA"/>
    <w:rsid w:val="0003087E"/>
    <w:rsid w:val="00034C3F"/>
    <w:rsid w:val="000353AD"/>
    <w:rsid w:val="0003709C"/>
    <w:rsid w:val="00040038"/>
    <w:rsid w:val="00040F81"/>
    <w:rsid w:val="00041382"/>
    <w:rsid w:val="00042717"/>
    <w:rsid w:val="000459E5"/>
    <w:rsid w:val="000463C4"/>
    <w:rsid w:val="00046771"/>
    <w:rsid w:val="00047F7B"/>
    <w:rsid w:val="000516C3"/>
    <w:rsid w:val="00053AEB"/>
    <w:rsid w:val="00054BFD"/>
    <w:rsid w:val="00054C01"/>
    <w:rsid w:val="00054C48"/>
    <w:rsid w:val="00054E90"/>
    <w:rsid w:val="00056493"/>
    <w:rsid w:val="00056945"/>
    <w:rsid w:val="0006015A"/>
    <w:rsid w:val="00060ABC"/>
    <w:rsid w:val="000629E1"/>
    <w:rsid w:val="00063197"/>
    <w:rsid w:val="00063745"/>
    <w:rsid w:val="00064FD7"/>
    <w:rsid w:val="00065173"/>
    <w:rsid w:val="0006583C"/>
    <w:rsid w:val="000665CA"/>
    <w:rsid w:val="000673C9"/>
    <w:rsid w:val="0007084B"/>
    <w:rsid w:val="00071CB0"/>
    <w:rsid w:val="00072729"/>
    <w:rsid w:val="00072EBF"/>
    <w:rsid w:val="00072FFC"/>
    <w:rsid w:val="0007384B"/>
    <w:rsid w:val="00075D67"/>
    <w:rsid w:val="000822E1"/>
    <w:rsid w:val="0008241D"/>
    <w:rsid w:val="00082DD4"/>
    <w:rsid w:val="00084A94"/>
    <w:rsid w:val="0008557F"/>
    <w:rsid w:val="00086DDC"/>
    <w:rsid w:val="00091F2D"/>
    <w:rsid w:val="00091FAE"/>
    <w:rsid w:val="00094B3F"/>
    <w:rsid w:val="000976A5"/>
    <w:rsid w:val="000A0AC1"/>
    <w:rsid w:val="000A2641"/>
    <w:rsid w:val="000A2EB4"/>
    <w:rsid w:val="000A4968"/>
    <w:rsid w:val="000A5918"/>
    <w:rsid w:val="000A5ACB"/>
    <w:rsid w:val="000A6640"/>
    <w:rsid w:val="000B0688"/>
    <w:rsid w:val="000B55CD"/>
    <w:rsid w:val="000B5A7A"/>
    <w:rsid w:val="000C0CFC"/>
    <w:rsid w:val="000C0ECF"/>
    <w:rsid w:val="000C14A6"/>
    <w:rsid w:val="000C1551"/>
    <w:rsid w:val="000C1851"/>
    <w:rsid w:val="000C1C6F"/>
    <w:rsid w:val="000C2CCA"/>
    <w:rsid w:val="000C3EC0"/>
    <w:rsid w:val="000C45EA"/>
    <w:rsid w:val="000C5255"/>
    <w:rsid w:val="000C6536"/>
    <w:rsid w:val="000C6923"/>
    <w:rsid w:val="000C7289"/>
    <w:rsid w:val="000C791F"/>
    <w:rsid w:val="000D004F"/>
    <w:rsid w:val="000D0461"/>
    <w:rsid w:val="000D1338"/>
    <w:rsid w:val="000D3F66"/>
    <w:rsid w:val="000D56BF"/>
    <w:rsid w:val="000D603C"/>
    <w:rsid w:val="000D6CFC"/>
    <w:rsid w:val="000E34BF"/>
    <w:rsid w:val="000E4C21"/>
    <w:rsid w:val="000E6517"/>
    <w:rsid w:val="000E671B"/>
    <w:rsid w:val="000E673A"/>
    <w:rsid w:val="000F512E"/>
    <w:rsid w:val="000F537D"/>
    <w:rsid w:val="000F67B3"/>
    <w:rsid w:val="000F74F5"/>
    <w:rsid w:val="00100DC6"/>
    <w:rsid w:val="00102268"/>
    <w:rsid w:val="00102DF7"/>
    <w:rsid w:val="00103D43"/>
    <w:rsid w:val="00105372"/>
    <w:rsid w:val="00110EBC"/>
    <w:rsid w:val="001112FC"/>
    <w:rsid w:val="001124E9"/>
    <w:rsid w:val="00113814"/>
    <w:rsid w:val="0011387A"/>
    <w:rsid w:val="001138F6"/>
    <w:rsid w:val="00113DE8"/>
    <w:rsid w:val="001172C1"/>
    <w:rsid w:val="00120436"/>
    <w:rsid w:val="001208D0"/>
    <w:rsid w:val="00121F95"/>
    <w:rsid w:val="00122A97"/>
    <w:rsid w:val="0012449B"/>
    <w:rsid w:val="00124633"/>
    <w:rsid w:val="00124B76"/>
    <w:rsid w:val="00125AB8"/>
    <w:rsid w:val="00125CF5"/>
    <w:rsid w:val="00126959"/>
    <w:rsid w:val="00127183"/>
    <w:rsid w:val="00127A2D"/>
    <w:rsid w:val="00130A10"/>
    <w:rsid w:val="00130BB2"/>
    <w:rsid w:val="00130CF0"/>
    <w:rsid w:val="00131A95"/>
    <w:rsid w:val="00131E7A"/>
    <w:rsid w:val="00132B71"/>
    <w:rsid w:val="00133B82"/>
    <w:rsid w:val="00133E6E"/>
    <w:rsid w:val="00136D0D"/>
    <w:rsid w:val="00140C27"/>
    <w:rsid w:val="00143174"/>
    <w:rsid w:val="001444DC"/>
    <w:rsid w:val="00145E0B"/>
    <w:rsid w:val="001465ED"/>
    <w:rsid w:val="001505AF"/>
    <w:rsid w:val="00150BF9"/>
    <w:rsid w:val="00151A4E"/>
    <w:rsid w:val="00152378"/>
    <w:rsid w:val="0015282F"/>
    <w:rsid w:val="001531EA"/>
    <w:rsid w:val="001549AE"/>
    <w:rsid w:val="00155F16"/>
    <w:rsid w:val="0015613F"/>
    <w:rsid w:val="001561F9"/>
    <w:rsid w:val="00157C7F"/>
    <w:rsid w:val="0016315A"/>
    <w:rsid w:val="00163980"/>
    <w:rsid w:val="00163C8D"/>
    <w:rsid w:val="001656AF"/>
    <w:rsid w:val="00166490"/>
    <w:rsid w:val="00171409"/>
    <w:rsid w:val="00171695"/>
    <w:rsid w:val="00172AF6"/>
    <w:rsid w:val="00172F4B"/>
    <w:rsid w:val="00176CEE"/>
    <w:rsid w:val="00177DDB"/>
    <w:rsid w:val="00180A34"/>
    <w:rsid w:val="00180AD0"/>
    <w:rsid w:val="00181D87"/>
    <w:rsid w:val="00183E4E"/>
    <w:rsid w:val="001867A1"/>
    <w:rsid w:val="0018708C"/>
    <w:rsid w:val="00187826"/>
    <w:rsid w:val="001908AE"/>
    <w:rsid w:val="00190CAF"/>
    <w:rsid w:val="00192199"/>
    <w:rsid w:val="00192FF8"/>
    <w:rsid w:val="001930A2"/>
    <w:rsid w:val="00194F4B"/>
    <w:rsid w:val="00195BF5"/>
    <w:rsid w:val="00196CE4"/>
    <w:rsid w:val="00197140"/>
    <w:rsid w:val="00197894"/>
    <w:rsid w:val="00197A9F"/>
    <w:rsid w:val="001A1C67"/>
    <w:rsid w:val="001A293C"/>
    <w:rsid w:val="001A47A5"/>
    <w:rsid w:val="001A5133"/>
    <w:rsid w:val="001B147E"/>
    <w:rsid w:val="001B297A"/>
    <w:rsid w:val="001B2BF2"/>
    <w:rsid w:val="001B3A21"/>
    <w:rsid w:val="001B3E16"/>
    <w:rsid w:val="001B47AE"/>
    <w:rsid w:val="001B57D5"/>
    <w:rsid w:val="001B5B92"/>
    <w:rsid w:val="001B79B2"/>
    <w:rsid w:val="001C083C"/>
    <w:rsid w:val="001C19D3"/>
    <w:rsid w:val="001C2DCD"/>
    <w:rsid w:val="001C35C0"/>
    <w:rsid w:val="001C4CEB"/>
    <w:rsid w:val="001C59F4"/>
    <w:rsid w:val="001C6459"/>
    <w:rsid w:val="001C6904"/>
    <w:rsid w:val="001C733D"/>
    <w:rsid w:val="001D008B"/>
    <w:rsid w:val="001D0EC0"/>
    <w:rsid w:val="001D1163"/>
    <w:rsid w:val="001D1344"/>
    <w:rsid w:val="001D184A"/>
    <w:rsid w:val="001D3106"/>
    <w:rsid w:val="001D3560"/>
    <w:rsid w:val="001D44EC"/>
    <w:rsid w:val="001D46C0"/>
    <w:rsid w:val="001D6CD4"/>
    <w:rsid w:val="001E0223"/>
    <w:rsid w:val="001E1E78"/>
    <w:rsid w:val="001E2CEE"/>
    <w:rsid w:val="001E5B8C"/>
    <w:rsid w:val="001E5FE3"/>
    <w:rsid w:val="001E6071"/>
    <w:rsid w:val="001E6E5E"/>
    <w:rsid w:val="001E7427"/>
    <w:rsid w:val="001E7C00"/>
    <w:rsid w:val="001F16C5"/>
    <w:rsid w:val="001F3F36"/>
    <w:rsid w:val="001F6D4C"/>
    <w:rsid w:val="002004EF"/>
    <w:rsid w:val="00200ADA"/>
    <w:rsid w:val="00202657"/>
    <w:rsid w:val="002026D3"/>
    <w:rsid w:val="00202D9A"/>
    <w:rsid w:val="00202FA0"/>
    <w:rsid w:val="0020337D"/>
    <w:rsid w:val="00203D5E"/>
    <w:rsid w:val="00204870"/>
    <w:rsid w:val="00205637"/>
    <w:rsid w:val="0020607E"/>
    <w:rsid w:val="002065F0"/>
    <w:rsid w:val="002076EA"/>
    <w:rsid w:val="0021115A"/>
    <w:rsid w:val="00211810"/>
    <w:rsid w:val="0021390A"/>
    <w:rsid w:val="00213F35"/>
    <w:rsid w:val="002153A7"/>
    <w:rsid w:val="0021681F"/>
    <w:rsid w:val="002171CA"/>
    <w:rsid w:val="002211C5"/>
    <w:rsid w:val="002223A5"/>
    <w:rsid w:val="00222877"/>
    <w:rsid w:val="00225690"/>
    <w:rsid w:val="0023015C"/>
    <w:rsid w:val="00230700"/>
    <w:rsid w:val="0023158B"/>
    <w:rsid w:val="002319E8"/>
    <w:rsid w:val="00231AC3"/>
    <w:rsid w:val="002333E5"/>
    <w:rsid w:val="0023443D"/>
    <w:rsid w:val="00234670"/>
    <w:rsid w:val="00237A36"/>
    <w:rsid w:val="00237C6F"/>
    <w:rsid w:val="0024400D"/>
    <w:rsid w:val="0024443F"/>
    <w:rsid w:val="0024455B"/>
    <w:rsid w:val="00245D9A"/>
    <w:rsid w:val="00246619"/>
    <w:rsid w:val="002468C6"/>
    <w:rsid w:val="00250237"/>
    <w:rsid w:val="00250BC5"/>
    <w:rsid w:val="00250F27"/>
    <w:rsid w:val="0025119C"/>
    <w:rsid w:val="00251D50"/>
    <w:rsid w:val="0025497E"/>
    <w:rsid w:val="00254982"/>
    <w:rsid w:val="002576BF"/>
    <w:rsid w:val="0025778C"/>
    <w:rsid w:val="002601AD"/>
    <w:rsid w:val="00262694"/>
    <w:rsid w:val="00264265"/>
    <w:rsid w:val="00264585"/>
    <w:rsid w:val="00266679"/>
    <w:rsid w:val="00266B2F"/>
    <w:rsid w:val="00266E6E"/>
    <w:rsid w:val="00270C7E"/>
    <w:rsid w:val="00270F11"/>
    <w:rsid w:val="00271F2B"/>
    <w:rsid w:val="002724DA"/>
    <w:rsid w:val="00273C4B"/>
    <w:rsid w:val="0027418B"/>
    <w:rsid w:val="00276625"/>
    <w:rsid w:val="00276B35"/>
    <w:rsid w:val="00276FF9"/>
    <w:rsid w:val="00280928"/>
    <w:rsid w:val="0028382A"/>
    <w:rsid w:val="002853DD"/>
    <w:rsid w:val="00290F36"/>
    <w:rsid w:val="00291BE7"/>
    <w:rsid w:val="002926E9"/>
    <w:rsid w:val="00294690"/>
    <w:rsid w:val="002950A9"/>
    <w:rsid w:val="002A03E9"/>
    <w:rsid w:val="002A2D3A"/>
    <w:rsid w:val="002A4212"/>
    <w:rsid w:val="002A45D2"/>
    <w:rsid w:val="002A54BB"/>
    <w:rsid w:val="002A5595"/>
    <w:rsid w:val="002A74B1"/>
    <w:rsid w:val="002B0CB0"/>
    <w:rsid w:val="002B0F50"/>
    <w:rsid w:val="002B1499"/>
    <w:rsid w:val="002B2CAA"/>
    <w:rsid w:val="002B3AAA"/>
    <w:rsid w:val="002B4119"/>
    <w:rsid w:val="002B60DD"/>
    <w:rsid w:val="002B67C9"/>
    <w:rsid w:val="002B6B58"/>
    <w:rsid w:val="002B6DD2"/>
    <w:rsid w:val="002B7370"/>
    <w:rsid w:val="002C10F3"/>
    <w:rsid w:val="002C2372"/>
    <w:rsid w:val="002C27D0"/>
    <w:rsid w:val="002C371A"/>
    <w:rsid w:val="002C4D5E"/>
    <w:rsid w:val="002C4DD9"/>
    <w:rsid w:val="002C653B"/>
    <w:rsid w:val="002D055F"/>
    <w:rsid w:val="002D31A5"/>
    <w:rsid w:val="002D3309"/>
    <w:rsid w:val="002D332F"/>
    <w:rsid w:val="002D3687"/>
    <w:rsid w:val="002D3818"/>
    <w:rsid w:val="002D4036"/>
    <w:rsid w:val="002D4B1C"/>
    <w:rsid w:val="002D744C"/>
    <w:rsid w:val="002E1AD7"/>
    <w:rsid w:val="002E1ED4"/>
    <w:rsid w:val="002E36E2"/>
    <w:rsid w:val="002E66AE"/>
    <w:rsid w:val="002E75F5"/>
    <w:rsid w:val="002F1299"/>
    <w:rsid w:val="002F2D38"/>
    <w:rsid w:val="002F3E79"/>
    <w:rsid w:val="002F3F7A"/>
    <w:rsid w:val="002F4813"/>
    <w:rsid w:val="002F6D2A"/>
    <w:rsid w:val="00300B59"/>
    <w:rsid w:val="00301495"/>
    <w:rsid w:val="00302B55"/>
    <w:rsid w:val="0030312D"/>
    <w:rsid w:val="00303E78"/>
    <w:rsid w:val="003042CC"/>
    <w:rsid w:val="0030466A"/>
    <w:rsid w:val="00310BB2"/>
    <w:rsid w:val="00311AEF"/>
    <w:rsid w:val="003129F4"/>
    <w:rsid w:val="00313517"/>
    <w:rsid w:val="00321763"/>
    <w:rsid w:val="00322278"/>
    <w:rsid w:val="0032275E"/>
    <w:rsid w:val="00324A87"/>
    <w:rsid w:val="00325372"/>
    <w:rsid w:val="00325D2A"/>
    <w:rsid w:val="0032640D"/>
    <w:rsid w:val="00327150"/>
    <w:rsid w:val="00331C25"/>
    <w:rsid w:val="00332F79"/>
    <w:rsid w:val="00336B32"/>
    <w:rsid w:val="00336FCF"/>
    <w:rsid w:val="0033725A"/>
    <w:rsid w:val="0034057F"/>
    <w:rsid w:val="00340DB1"/>
    <w:rsid w:val="00342495"/>
    <w:rsid w:val="003426D3"/>
    <w:rsid w:val="00345315"/>
    <w:rsid w:val="003454DD"/>
    <w:rsid w:val="0035015E"/>
    <w:rsid w:val="00350204"/>
    <w:rsid w:val="00351126"/>
    <w:rsid w:val="00351A17"/>
    <w:rsid w:val="003525CB"/>
    <w:rsid w:val="00353DAD"/>
    <w:rsid w:val="00355046"/>
    <w:rsid w:val="00355E42"/>
    <w:rsid w:val="003571DA"/>
    <w:rsid w:val="00357944"/>
    <w:rsid w:val="00360DC5"/>
    <w:rsid w:val="00361A4E"/>
    <w:rsid w:val="00362642"/>
    <w:rsid w:val="00362C94"/>
    <w:rsid w:val="003639EF"/>
    <w:rsid w:val="00365399"/>
    <w:rsid w:val="003655F7"/>
    <w:rsid w:val="003662CA"/>
    <w:rsid w:val="00366FB0"/>
    <w:rsid w:val="0036713E"/>
    <w:rsid w:val="00372F74"/>
    <w:rsid w:val="003748AD"/>
    <w:rsid w:val="00374DD2"/>
    <w:rsid w:val="00375458"/>
    <w:rsid w:val="00375A7B"/>
    <w:rsid w:val="00375A83"/>
    <w:rsid w:val="003765C1"/>
    <w:rsid w:val="00376D51"/>
    <w:rsid w:val="003772B2"/>
    <w:rsid w:val="003779AA"/>
    <w:rsid w:val="0038325E"/>
    <w:rsid w:val="003835F5"/>
    <w:rsid w:val="00383D93"/>
    <w:rsid w:val="00384F1E"/>
    <w:rsid w:val="00385E3B"/>
    <w:rsid w:val="00386226"/>
    <w:rsid w:val="0038626B"/>
    <w:rsid w:val="00386A23"/>
    <w:rsid w:val="00386A44"/>
    <w:rsid w:val="00386BC5"/>
    <w:rsid w:val="00386D5F"/>
    <w:rsid w:val="00387EC6"/>
    <w:rsid w:val="00393EA7"/>
    <w:rsid w:val="00393EEB"/>
    <w:rsid w:val="0039420D"/>
    <w:rsid w:val="0039545E"/>
    <w:rsid w:val="0039642A"/>
    <w:rsid w:val="0039691B"/>
    <w:rsid w:val="00396CCE"/>
    <w:rsid w:val="003978F1"/>
    <w:rsid w:val="003A010D"/>
    <w:rsid w:val="003A0600"/>
    <w:rsid w:val="003A14D1"/>
    <w:rsid w:val="003A3177"/>
    <w:rsid w:val="003A5186"/>
    <w:rsid w:val="003A53F2"/>
    <w:rsid w:val="003A591C"/>
    <w:rsid w:val="003B3013"/>
    <w:rsid w:val="003B373D"/>
    <w:rsid w:val="003B387C"/>
    <w:rsid w:val="003B5335"/>
    <w:rsid w:val="003B57B9"/>
    <w:rsid w:val="003B615E"/>
    <w:rsid w:val="003B6CC2"/>
    <w:rsid w:val="003B7FD7"/>
    <w:rsid w:val="003C0217"/>
    <w:rsid w:val="003C139C"/>
    <w:rsid w:val="003C2952"/>
    <w:rsid w:val="003C4AB0"/>
    <w:rsid w:val="003D0597"/>
    <w:rsid w:val="003D194E"/>
    <w:rsid w:val="003D20AF"/>
    <w:rsid w:val="003D43B5"/>
    <w:rsid w:val="003D4549"/>
    <w:rsid w:val="003D5661"/>
    <w:rsid w:val="003D7B64"/>
    <w:rsid w:val="003D7D50"/>
    <w:rsid w:val="003D7E43"/>
    <w:rsid w:val="003E1200"/>
    <w:rsid w:val="003E1236"/>
    <w:rsid w:val="003E216F"/>
    <w:rsid w:val="003E2B5B"/>
    <w:rsid w:val="003E4D69"/>
    <w:rsid w:val="003E5081"/>
    <w:rsid w:val="003E5AEE"/>
    <w:rsid w:val="003F1571"/>
    <w:rsid w:val="003F15F9"/>
    <w:rsid w:val="003F17D1"/>
    <w:rsid w:val="003F56D5"/>
    <w:rsid w:val="003F5ADB"/>
    <w:rsid w:val="003F5EBE"/>
    <w:rsid w:val="003F6A91"/>
    <w:rsid w:val="0040179B"/>
    <w:rsid w:val="0040241D"/>
    <w:rsid w:val="004027C9"/>
    <w:rsid w:val="00404FE8"/>
    <w:rsid w:val="00406D63"/>
    <w:rsid w:val="00406DA0"/>
    <w:rsid w:val="004079B8"/>
    <w:rsid w:val="00410380"/>
    <w:rsid w:val="00410855"/>
    <w:rsid w:val="00410DD8"/>
    <w:rsid w:val="00411249"/>
    <w:rsid w:val="004115D5"/>
    <w:rsid w:val="00411CCC"/>
    <w:rsid w:val="0041297D"/>
    <w:rsid w:val="004130D9"/>
    <w:rsid w:val="0041443A"/>
    <w:rsid w:val="00415390"/>
    <w:rsid w:val="00416B8A"/>
    <w:rsid w:val="00417101"/>
    <w:rsid w:val="004212BB"/>
    <w:rsid w:val="00422838"/>
    <w:rsid w:val="004256C1"/>
    <w:rsid w:val="004273C9"/>
    <w:rsid w:val="00430050"/>
    <w:rsid w:val="00432C06"/>
    <w:rsid w:val="00434C02"/>
    <w:rsid w:val="004372AA"/>
    <w:rsid w:val="00437317"/>
    <w:rsid w:val="00440837"/>
    <w:rsid w:val="00440C1A"/>
    <w:rsid w:val="00441483"/>
    <w:rsid w:val="00441767"/>
    <w:rsid w:val="00442FF5"/>
    <w:rsid w:val="00445345"/>
    <w:rsid w:val="00446DB0"/>
    <w:rsid w:val="00447CBE"/>
    <w:rsid w:val="0045075C"/>
    <w:rsid w:val="004513E4"/>
    <w:rsid w:val="004517E1"/>
    <w:rsid w:val="00452C8F"/>
    <w:rsid w:val="00452DC5"/>
    <w:rsid w:val="00456DDC"/>
    <w:rsid w:val="00460392"/>
    <w:rsid w:val="004644C2"/>
    <w:rsid w:val="004646A6"/>
    <w:rsid w:val="0046483D"/>
    <w:rsid w:val="00464DA0"/>
    <w:rsid w:val="004654AF"/>
    <w:rsid w:val="00465D50"/>
    <w:rsid w:val="004669BC"/>
    <w:rsid w:val="004712C3"/>
    <w:rsid w:val="00471BFF"/>
    <w:rsid w:val="00472191"/>
    <w:rsid w:val="00472422"/>
    <w:rsid w:val="004725E3"/>
    <w:rsid w:val="00473925"/>
    <w:rsid w:val="00474A3F"/>
    <w:rsid w:val="0047694B"/>
    <w:rsid w:val="00476F43"/>
    <w:rsid w:val="00481C5F"/>
    <w:rsid w:val="00482E7D"/>
    <w:rsid w:val="004831FC"/>
    <w:rsid w:val="00483E20"/>
    <w:rsid w:val="00484D75"/>
    <w:rsid w:val="00484F38"/>
    <w:rsid w:val="00485704"/>
    <w:rsid w:val="00487109"/>
    <w:rsid w:val="004901B3"/>
    <w:rsid w:val="00490592"/>
    <w:rsid w:val="004912C7"/>
    <w:rsid w:val="0049345A"/>
    <w:rsid w:val="004940C5"/>
    <w:rsid w:val="00494AAA"/>
    <w:rsid w:val="00495738"/>
    <w:rsid w:val="004960F8"/>
    <w:rsid w:val="004969D3"/>
    <w:rsid w:val="00497D6E"/>
    <w:rsid w:val="004A1FDC"/>
    <w:rsid w:val="004A3CE3"/>
    <w:rsid w:val="004A6213"/>
    <w:rsid w:val="004A7749"/>
    <w:rsid w:val="004A7991"/>
    <w:rsid w:val="004A7E41"/>
    <w:rsid w:val="004B002A"/>
    <w:rsid w:val="004B16FF"/>
    <w:rsid w:val="004B2630"/>
    <w:rsid w:val="004B2693"/>
    <w:rsid w:val="004B42AB"/>
    <w:rsid w:val="004B436D"/>
    <w:rsid w:val="004B5089"/>
    <w:rsid w:val="004B51C7"/>
    <w:rsid w:val="004B668A"/>
    <w:rsid w:val="004B7105"/>
    <w:rsid w:val="004C0BCE"/>
    <w:rsid w:val="004C30B3"/>
    <w:rsid w:val="004C3E36"/>
    <w:rsid w:val="004C56D6"/>
    <w:rsid w:val="004C5BF0"/>
    <w:rsid w:val="004C7C3A"/>
    <w:rsid w:val="004D0920"/>
    <w:rsid w:val="004D13DF"/>
    <w:rsid w:val="004D29E9"/>
    <w:rsid w:val="004D38CF"/>
    <w:rsid w:val="004D4352"/>
    <w:rsid w:val="004D4602"/>
    <w:rsid w:val="004D477C"/>
    <w:rsid w:val="004D5204"/>
    <w:rsid w:val="004E1D3D"/>
    <w:rsid w:val="004E24AB"/>
    <w:rsid w:val="004E5951"/>
    <w:rsid w:val="004E6D15"/>
    <w:rsid w:val="004F022C"/>
    <w:rsid w:val="004F0890"/>
    <w:rsid w:val="004F0C88"/>
    <w:rsid w:val="004F1826"/>
    <w:rsid w:val="004F2B4D"/>
    <w:rsid w:val="004F2E6A"/>
    <w:rsid w:val="004F32B6"/>
    <w:rsid w:val="004F4139"/>
    <w:rsid w:val="004F41A3"/>
    <w:rsid w:val="00500B17"/>
    <w:rsid w:val="00501444"/>
    <w:rsid w:val="00501AFA"/>
    <w:rsid w:val="005043D8"/>
    <w:rsid w:val="00505825"/>
    <w:rsid w:val="00511700"/>
    <w:rsid w:val="00511C5A"/>
    <w:rsid w:val="0051226F"/>
    <w:rsid w:val="0051265B"/>
    <w:rsid w:val="00512DF6"/>
    <w:rsid w:val="0051796A"/>
    <w:rsid w:val="005179E3"/>
    <w:rsid w:val="00520856"/>
    <w:rsid w:val="00523C4A"/>
    <w:rsid w:val="0052443C"/>
    <w:rsid w:val="00524557"/>
    <w:rsid w:val="00524D70"/>
    <w:rsid w:val="005261CB"/>
    <w:rsid w:val="0052654D"/>
    <w:rsid w:val="00530C36"/>
    <w:rsid w:val="005316FE"/>
    <w:rsid w:val="005319D2"/>
    <w:rsid w:val="00532709"/>
    <w:rsid w:val="005328F5"/>
    <w:rsid w:val="00532F7E"/>
    <w:rsid w:val="00534681"/>
    <w:rsid w:val="005348C9"/>
    <w:rsid w:val="005364C0"/>
    <w:rsid w:val="00537898"/>
    <w:rsid w:val="0054003A"/>
    <w:rsid w:val="00540E7A"/>
    <w:rsid w:val="00542121"/>
    <w:rsid w:val="00542748"/>
    <w:rsid w:val="0054290F"/>
    <w:rsid w:val="00543EE2"/>
    <w:rsid w:val="0054410F"/>
    <w:rsid w:val="0054508A"/>
    <w:rsid w:val="00545192"/>
    <w:rsid w:val="005451C8"/>
    <w:rsid w:val="005453ED"/>
    <w:rsid w:val="00546D22"/>
    <w:rsid w:val="00550398"/>
    <w:rsid w:val="00550731"/>
    <w:rsid w:val="0055087E"/>
    <w:rsid w:val="00552B90"/>
    <w:rsid w:val="005532BD"/>
    <w:rsid w:val="00553DA6"/>
    <w:rsid w:val="005558E0"/>
    <w:rsid w:val="005562A0"/>
    <w:rsid w:val="00556F1E"/>
    <w:rsid w:val="00560BB0"/>
    <w:rsid w:val="0056157E"/>
    <w:rsid w:val="005640CD"/>
    <w:rsid w:val="005645D5"/>
    <w:rsid w:val="00565494"/>
    <w:rsid w:val="005656FA"/>
    <w:rsid w:val="00567A09"/>
    <w:rsid w:val="005713DE"/>
    <w:rsid w:val="00571C33"/>
    <w:rsid w:val="00574091"/>
    <w:rsid w:val="0057433C"/>
    <w:rsid w:val="00574437"/>
    <w:rsid w:val="005746A4"/>
    <w:rsid w:val="005748E4"/>
    <w:rsid w:val="0057499B"/>
    <w:rsid w:val="0057526F"/>
    <w:rsid w:val="00575BD7"/>
    <w:rsid w:val="00580CE2"/>
    <w:rsid w:val="00584AC9"/>
    <w:rsid w:val="00584DE8"/>
    <w:rsid w:val="00586AF0"/>
    <w:rsid w:val="005874ED"/>
    <w:rsid w:val="00587787"/>
    <w:rsid w:val="005909DE"/>
    <w:rsid w:val="005935EC"/>
    <w:rsid w:val="005954D1"/>
    <w:rsid w:val="00595FF2"/>
    <w:rsid w:val="0059652B"/>
    <w:rsid w:val="00596C26"/>
    <w:rsid w:val="0059770A"/>
    <w:rsid w:val="005A180E"/>
    <w:rsid w:val="005A28A1"/>
    <w:rsid w:val="005A3D01"/>
    <w:rsid w:val="005A59A4"/>
    <w:rsid w:val="005A65C6"/>
    <w:rsid w:val="005A77CA"/>
    <w:rsid w:val="005B01B4"/>
    <w:rsid w:val="005B0E1B"/>
    <w:rsid w:val="005B19A9"/>
    <w:rsid w:val="005B1B98"/>
    <w:rsid w:val="005B2ACD"/>
    <w:rsid w:val="005B3666"/>
    <w:rsid w:val="005B4969"/>
    <w:rsid w:val="005B4BF1"/>
    <w:rsid w:val="005C4132"/>
    <w:rsid w:val="005C4F9C"/>
    <w:rsid w:val="005C524A"/>
    <w:rsid w:val="005C5C21"/>
    <w:rsid w:val="005C623F"/>
    <w:rsid w:val="005C7600"/>
    <w:rsid w:val="005D1D25"/>
    <w:rsid w:val="005D3319"/>
    <w:rsid w:val="005D4CBB"/>
    <w:rsid w:val="005D5E57"/>
    <w:rsid w:val="005D5F6F"/>
    <w:rsid w:val="005D6684"/>
    <w:rsid w:val="005D6703"/>
    <w:rsid w:val="005E01ED"/>
    <w:rsid w:val="005E0FBA"/>
    <w:rsid w:val="005E29B9"/>
    <w:rsid w:val="005E4451"/>
    <w:rsid w:val="005E4B75"/>
    <w:rsid w:val="005E4C22"/>
    <w:rsid w:val="005E53F3"/>
    <w:rsid w:val="005E590A"/>
    <w:rsid w:val="005E6193"/>
    <w:rsid w:val="005E6277"/>
    <w:rsid w:val="005E62B6"/>
    <w:rsid w:val="005E77E5"/>
    <w:rsid w:val="005F0D92"/>
    <w:rsid w:val="005F54D8"/>
    <w:rsid w:val="005F64A2"/>
    <w:rsid w:val="005F681B"/>
    <w:rsid w:val="00602A31"/>
    <w:rsid w:val="006039DB"/>
    <w:rsid w:val="006049A1"/>
    <w:rsid w:val="00604B1B"/>
    <w:rsid w:val="00605010"/>
    <w:rsid w:val="00607A12"/>
    <w:rsid w:val="00607F59"/>
    <w:rsid w:val="00610A3A"/>
    <w:rsid w:val="00614388"/>
    <w:rsid w:val="0061668E"/>
    <w:rsid w:val="00616F30"/>
    <w:rsid w:val="0061716A"/>
    <w:rsid w:val="0061774C"/>
    <w:rsid w:val="0062037B"/>
    <w:rsid w:val="00621A9B"/>
    <w:rsid w:val="00622284"/>
    <w:rsid w:val="00624508"/>
    <w:rsid w:val="00625AEA"/>
    <w:rsid w:val="00627439"/>
    <w:rsid w:val="00627AA4"/>
    <w:rsid w:val="00630009"/>
    <w:rsid w:val="00631096"/>
    <w:rsid w:val="00631924"/>
    <w:rsid w:val="00633716"/>
    <w:rsid w:val="006340C4"/>
    <w:rsid w:val="00634EA6"/>
    <w:rsid w:val="00634F78"/>
    <w:rsid w:val="0063552B"/>
    <w:rsid w:val="00635CD9"/>
    <w:rsid w:val="0063640E"/>
    <w:rsid w:val="0063695A"/>
    <w:rsid w:val="006375DC"/>
    <w:rsid w:val="00640E79"/>
    <w:rsid w:val="0064249D"/>
    <w:rsid w:val="006462D6"/>
    <w:rsid w:val="0064665A"/>
    <w:rsid w:val="00646959"/>
    <w:rsid w:val="006471CE"/>
    <w:rsid w:val="00647778"/>
    <w:rsid w:val="00651681"/>
    <w:rsid w:val="0065189A"/>
    <w:rsid w:val="00653CD5"/>
    <w:rsid w:val="00655E60"/>
    <w:rsid w:val="00660370"/>
    <w:rsid w:val="00660637"/>
    <w:rsid w:val="006616B6"/>
    <w:rsid w:val="00661FA0"/>
    <w:rsid w:val="00662555"/>
    <w:rsid w:val="006639A1"/>
    <w:rsid w:val="00663CEC"/>
    <w:rsid w:val="00664ADB"/>
    <w:rsid w:val="00665A38"/>
    <w:rsid w:val="0067166A"/>
    <w:rsid w:val="00672F7F"/>
    <w:rsid w:val="00673348"/>
    <w:rsid w:val="00673C2F"/>
    <w:rsid w:val="00673F66"/>
    <w:rsid w:val="006740EA"/>
    <w:rsid w:val="006753EC"/>
    <w:rsid w:val="0068066B"/>
    <w:rsid w:val="00681EC5"/>
    <w:rsid w:val="00682262"/>
    <w:rsid w:val="00682347"/>
    <w:rsid w:val="0068341B"/>
    <w:rsid w:val="0068415D"/>
    <w:rsid w:val="006849BA"/>
    <w:rsid w:val="00685741"/>
    <w:rsid w:val="00685AE4"/>
    <w:rsid w:val="006864D2"/>
    <w:rsid w:val="00686C63"/>
    <w:rsid w:val="00686ED7"/>
    <w:rsid w:val="006875B3"/>
    <w:rsid w:val="006905B8"/>
    <w:rsid w:val="006909D3"/>
    <w:rsid w:val="00690FC6"/>
    <w:rsid w:val="006918CC"/>
    <w:rsid w:val="00692E64"/>
    <w:rsid w:val="00693A4A"/>
    <w:rsid w:val="00694CB9"/>
    <w:rsid w:val="00694F1F"/>
    <w:rsid w:val="00695AC7"/>
    <w:rsid w:val="00695C48"/>
    <w:rsid w:val="00696EB5"/>
    <w:rsid w:val="006A1C22"/>
    <w:rsid w:val="006A6040"/>
    <w:rsid w:val="006A641B"/>
    <w:rsid w:val="006A6B19"/>
    <w:rsid w:val="006A6D6D"/>
    <w:rsid w:val="006A7871"/>
    <w:rsid w:val="006A7DB5"/>
    <w:rsid w:val="006A7F48"/>
    <w:rsid w:val="006B27D2"/>
    <w:rsid w:val="006B325F"/>
    <w:rsid w:val="006B3F17"/>
    <w:rsid w:val="006B4371"/>
    <w:rsid w:val="006B44DD"/>
    <w:rsid w:val="006B6726"/>
    <w:rsid w:val="006C0823"/>
    <w:rsid w:val="006C3795"/>
    <w:rsid w:val="006C5052"/>
    <w:rsid w:val="006C673F"/>
    <w:rsid w:val="006C6C9B"/>
    <w:rsid w:val="006D0B25"/>
    <w:rsid w:val="006D101A"/>
    <w:rsid w:val="006D1F42"/>
    <w:rsid w:val="006D2BED"/>
    <w:rsid w:val="006D4BF5"/>
    <w:rsid w:val="006D5D81"/>
    <w:rsid w:val="006D6D1A"/>
    <w:rsid w:val="006D7818"/>
    <w:rsid w:val="006D781F"/>
    <w:rsid w:val="006E04D0"/>
    <w:rsid w:val="006E1FD8"/>
    <w:rsid w:val="006E2009"/>
    <w:rsid w:val="006E3120"/>
    <w:rsid w:val="006E3172"/>
    <w:rsid w:val="006E4E4A"/>
    <w:rsid w:val="006E4EA6"/>
    <w:rsid w:val="006E4EEA"/>
    <w:rsid w:val="006E6289"/>
    <w:rsid w:val="006F0CD7"/>
    <w:rsid w:val="006F1140"/>
    <w:rsid w:val="006F122F"/>
    <w:rsid w:val="006F1961"/>
    <w:rsid w:val="006F29B6"/>
    <w:rsid w:val="006F2A71"/>
    <w:rsid w:val="006F37A1"/>
    <w:rsid w:val="006F3DD1"/>
    <w:rsid w:val="006F4AFF"/>
    <w:rsid w:val="006F4B35"/>
    <w:rsid w:val="006F5441"/>
    <w:rsid w:val="006F568D"/>
    <w:rsid w:val="006F676E"/>
    <w:rsid w:val="006F712F"/>
    <w:rsid w:val="006F7A5C"/>
    <w:rsid w:val="006F7A6B"/>
    <w:rsid w:val="00700B26"/>
    <w:rsid w:val="00700FD2"/>
    <w:rsid w:val="007018C4"/>
    <w:rsid w:val="00702920"/>
    <w:rsid w:val="007032DF"/>
    <w:rsid w:val="00705C3D"/>
    <w:rsid w:val="007067D7"/>
    <w:rsid w:val="0071448E"/>
    <w:rsid w:val="00715193"/>
    <w:rsid w:val="00715C4F"/>
    <w:rsid w:val="00716BC2"/>
    <w:rsid w:val="00717D88"/>
    <w:rsid w:val="00721ACA"/>
    <w:rsid w:val="00722122"/>
    <w:rsid w:val="00722464"/>
    <w:rsid w:val="007237A0"/>
    <w:rsid w:val="00725C11"/>
    <w:rsid w:val="00725C19"/>
    <w:rsid w:val="00726F08"/>
    <w:rsid w:val="0072732A"/>
    <w:rsid w:val="007277B7"/>
    <w:rsid w:val="00730F98"/>
    <w:rsid w:val="00731B75"/>
    <w:rsid w:val="00732435"/>
    <w:rsid w:val="00734EA0"/>
    <w:rsid w:val="0073572F"/>
    <w:rsid w:val="00735F40"/>
    <w:rsid w:val="00736BC5"/>
    <w:rsid w:val="00740902"/>
    <w:rsid w:val="00740DC7"/>
    <w:rsid w:val="00741EB0"/>
    <w:rsid w:val="00742858"/>
    <w:rsid w:val="007432C3"/>
    <w:rsid w:val="0074424B"/>
    <w:rsid w:val="0074528C"/>
    <w:rsid w:val="00745EE4"/>
    <w:rsid w:val="00751500"/>
    <w:rsid w:val="007538AD"/>
    <w:rsid w:val="00754D58"/>
    <w:rsid w:val="007605C0"/>
    <w:rsid w:val="00760B78"/>
    <w:rsid w:val="00761E87"/>
    <w:rsid w:val="00763130"/>
    <w:rsid w:val="00763EAF"/>
    <w:rsid w:val="0076482B"/>
    <w:rsid w:val="00765575"/>
    <w:rsid w:val="00766112"/>
    <w:rsid w:val="00770B03"/>
    <w:rsid w:val="00770C33"/>
    <w:rsid w:val="0077443D"/>
    <w:rsid w:val="00775DE7"/>
    <w:rsid w:val="00776BA7"/>
    <w:rsid w:val="007779C6"/>
    <w:rsid w:val="00780A84"/>
    <w:rsid w:val="00781077"/>
    <w:rsid w:val="00781C15"/>
    <w:rsid w:val="007836EA"/>
    <w:rsid w:val="007852B1"/>
    <w:rsid w:val="007853EB"/>
    <w:rsid w:val="00786284"/>
    <w:rsid w:val="00787191"/>
    <w:rsid w:val="007942D3"/>
    <w:rsid w:val="00795163"/>
    <w:rsid w:val="0079627D"/>
    <w:rsid w:val="007973EB"/>
    <w:rsid w:val="007A3152"/>
    <w:rsid w:val="007A4A96"/>
    <w:rsid w:val="007A524B"/>
    <w:rsid w:val="007A692B"/>
    <w:rsid w:val="007A6DC7"/>
    <w:rsid w:val="007A72B7"/>
    <w:rsid w:val="007B013B"/>
    <w:rsid w:val="007B01F5"/>
    <w:rsid w:val="007B10C0"/>
    <w:rsid w:val="007B1602"/>
    <w:rsid w:val="007B1820"/>
    <w:rsid w:val="007B1D86"/>
    <w:rsid w:val="007B2F3C"/>
    <w:rsid w:val="007B3A70"/>
    <w:rsid w:val="007B6095"/>
    <w:rsid w:val="007B6C09"/>
    <w:rsid w:val="007B76EA"/>
    <w:rsid w:val="007C07D9"/>
    <w:rsid w:val="007C15F3"/>
    <w:rsid w:val="007C1B9C"/>
    <w:rsid w:val="007C2CAB"/>
    <w:rsid w:val="007C31E4"/>
    <w:rsid w:val="007C37F8"/>
    <w:rsid w:val="007C54C0"/>
    <w:rsid w:val="007C58A6"/>
    <w:rsid w:val="007C5ADC"/>
    <w:rsid w:val="007C7F68"/>
    <w:rsid w:val="007D0C03"/>
    <w:rsid w:val="007D1004"/>
    <w:rsid w:val="007D213C"/>
    <w:rsid w:val="007D26FB"/>
    <w:rsid w:val="007D39E1"/>
    <w:rsid w:val="007D3C50"/>
    <w:rsid w:val="007D41B3"/>
    <w:rsid w:val="007D5D09"/>
    <w:rsid w:val="007D6400"/>
    <w:rsid w:val="007D728B"/>
    <w:rsid w:val="007D7460"/>
    <w:rsid w:val="007E09DA"/>
    <w:rsid w:val="007E177A"/>
    <w:rsid w:val="007E1D45"/>
    <w:rsid w:val="007E3520"/>
    <w:rsid w:val="007E7BDA"/>
    <w:rsid w:val="007F1182"/>
    <w:rsid w:val="007F2076"/>
    <w:rsid w:val="007F3E48"/>
    <w:rsid w:val="007F40E9"/>
    <w:rsid w:val="007F4359"/>
    <w:rsid w:val="0080164B"/>
    <w:rsid w:val="00801792"/>
    <w:rsid w:val="00801E43"/>
    <w:rsid w:val="008025CD"/>
    <w:rsid w:val="008030C8"/>
    <w:rsid w:val="0080445A"/>
    <w:rsid w:val="008044E1"/>
    <w:rsid w:val="00804934"/>
    <w:rsid w:val="008052FB"/>
    <w:rsid w:val="0080567B"/>
    <w:rsid w:val="00811285"/>
    <w:rsid w:val="00811414"/>
    <w:rsid w:val="00811E6D"/>
    <w:rsid w:val="008130DE"/>
    <w:rsid w:val="00814909"/>
    <w:rsid w:val="00814C8E"/>
    <w:rsid w:val="008161DE"/>
    <w:rsid w:val="00816A77"/>
    <w:rsid w:val="008178B6"/>
    <w:rsid w:val="00817FF9"/>
    <w:rsid w:val="008225B7"/>
    <w:rsid w:val="0082272D"/>
    <w:rsid w:val="00822B5B"/>
    <w:rsid w:val="00825D2A"/>
    <w:rsid w:val="00827BF3"/>
    <w:rsid w:val="008316BF"/>
    <w:rsid w:val="0083281E"/>
    <w:rsid w:val="00832C76"/>
    <w:rsid w:val="008357CA"/>
    <w:rsid w:val="00841218"/>
    <w:rsid w:val="00842F98"/>
    <w:rsid w:val="008464B3"/>
    <w:rsid w:val="00847847"/>
    <w:rsid w:val="008502E6"/>
    <w:rsid w:val="008503A0"/>
    <w:rsid w:val="008529FE"/>
    <w:rsid w:val="00852E49"/>
    <w:rsid w:val="00853785"/>
    <w:rsid w:val="00854024"/>
    <w:rsid w:val="00854AE8"/>
    <w:rsid w:val="00855AF2"/>
    <w:rsid w:val="00860F95"/>
    <w:rsid w:val="00861087"/>
    <w:rsid w:val="00861BED"/>
    <w:rsid w:val="0086292C"/>
    <w:rsid w:val="00862C64"/>
    <w:rsid w:val="008643A9"/>
    <w:rsid w:val="00864A50"/>
    <w:rsid w:val="00864EDC"/>
    <w:rsid w:val="008657B1"/>
    <w:rsid w:val="00866017"/>
    <w:rsid w:val="0086637D"/>
    <w:rsid w:val="00867B49"/>
    <w:rsid w:val="008707B5"/>
    <w:rsid w:val="0087270D"/>
    <w:rsid w:val="00873665"/>
    <w:rsid w:val="00873820"/>
    <w:rsid w:val="00873DEE"/>
    <w:rsid w:val="00874268"/>
    <w:rsid w:val="008775CC"/>
    <w:rsid w:val="00877697"/>
    <w:rsid w:val="008807AD"/>
    <w:rsid w:val="00881B1A"/>
    <w:rsid w:val="00882141"/>
    <w:rsid w:val="00882F36"/>
    <w:rsid w:val="00883177"/>
    <w:rsid w:val="008838A5"/>
    <w:rsid w:val="00884EED"/>
    <w:rsid w:val="0088560D"/>
    <w:rsid w:val="00885667"/>
    <w:rsid w:val="0088620F"/>
    <w:rsid w:val="00886684"/>
    <w:rsid w:val="00886DAB"/>
    <w:rsid w:val="00891273"/>
    <w:rsid w:val="008912AA"/>
    <w:rsid w:val="008923C5"/>
    <w:rsid w:val="00893AF8"/>
    <w:rsid w:val="0089574E"/>
    <w:rsid w:val="00896233"/>
    <w:rsid w:val="008966E0"/>
    <w:rsid w:val="008968D5"/>
    <w:rsid w:val="008973DB"/>
    <w:rsid w:val="00897EDF"/>
    <w:rsid w:val="008A0026"/>
    <w:rsid w:val="008A30E4"/>
    <w:rsid w:val="008A3F5A"/>
    <w:rsid w:val="008A59B8"/>
    <w:rsid w:val="008A5D27"/>
    <w:rsid w:val="008A6BDC"/>
    <w:rsid w:val="008A77DB"/>
    <w:rsid w:val="008B0DD6"/>
    <w:rsid w:val="008B4303"/>
    <w:rsid w:val="008B7457"/>
    <w:rsid w:val="008C02ED"/>
    <w:rsid w:val="008C063B"/>
    <w:rsid w:val="008C18B0"/>
    <w:rsid w:val="008C1F00"/>
    <w:rsid w:val="008C2B4F"/>
    <w:rsid w:val="008C2DB3"/>
    <w:rsid w:val="008C4049"/>
    <w:rsid w:val="008C7938"/>
    <w:rsid w:val="008D0462"/>
    <w:rsid w:val="008D216F"/>
    <w:rsid w:val="008D2A29"/>
    <w:rsid w:val="008D5CA6"/>
    <w:rsid w:val="008D6BD9"/>
    <w:rsid w:val="008D6EDF"/>
    <w:rsid w:val="008D7052"/>
    <w:rsid w:val="008D7728"/>
    <w:rsid w:val="008D7788"/>
    <w:rsid w:val="008E0CFD"/>
    <w:rsid w:val="008E1A4D"/>
    <w:rsid w:val="008E269E"/>
    <w:rsid w:val="008E58F3"/>
    <w:rsid w:val="008E5FAF"/>
    <w:rsid w:val="008E69C6"/>
    <w:rsid w:val="008E7814"/>
    <w:rsid w:val="008E7C66"/>
    <w:rsid w:val="008F1279"/>
    <w:rsid w:val="008F4E82"/>
    <w:rsid w:val="0090011B"/>
    <w:rsid w:val="0090093E"/>
    <w:rsid w:val="0090120C"/>
    <w:rsid w:val="009012F8"/>
    <w:rsid w:val="00901C7E"/>
    <w:rsid w:val="00904503"/>
    <w:rsid w:val="00904573"/>
    <w:rsid w:val="00904EDA"/>
    <w:rsid w:val="00906D54"/>
    <w:rsid w:val="009070A1"/>
    <w:rsid w:val="0090778F"/>
    <w:rsid w:val="00907F49"/>
    <w:rsid w:val="00910298"/>
    <w:rsid w:val="00912E60"/>
    <w:rsid w:val="009139B0"/>
    <w:rsid w:val="009141BC"/>
    <w:rsid w:val="0091424C"/>
    <w:rsid w:val="00915BFA"/>
    <w:rsid w:val="00916270"/>
    <w:rsid w:val="00920083"/>
    <w:rsid w:val="00921ED1"/>
    <w:rsid w:val="009237E0"/>
    <w:rsid w:val="00925971"/>
    <w:rsid w:val="00926C65"/>
    <w:rsid w:val="009276F9"/>
    <w:rsid w:val="009312F9"/>
    <w:rsid w:val="00933D2F"/>
    <w:rsid w:val="00933E26"/>
    <w:rsid w:val="009356EF"/>
    <w:rsid w:val="009374A4"/>
    <w:rsid w:val="009407F9"/>
    <w:rsid w:val="00941039"/>
    <w:rsid w:val="00941C5C"/>
    <w:rsid w:val="009439EE"/>
    <w:rsid w:val="009441FD"/>
    <w:rsid w:val="009459B4"/>
    <w:rsid w:val="00945D1E"/>
    <w:rsid w:val="00946D30"/>
    <w:rsid w:val="0094720A"/>
    <w:rsid w:val="009476D4"/>
    <w:rsid w:val="00950441"/>
    <w:rsid w:val="009505C9"/>
    <w:rsid w:val="0095238D"/>
    <w:rsid w:val="00952C69"/>
    <w:rsid w:val="00953E31"/>
    <w:rsid w:val="009541AB"/>
    <w:rsid w:val="009569FC"/>
    <w:rsid w:val="00956E81"/>
    <w:rsid w:val="00961357"/>
    <w:rsid w:val="00962BC6"/>
    <w:rsid w:val="00963EC5"/>
    <w:rsid w:val="00964EF2"/>
    <w:rsid w:val="00965D37"/>
    <w:rsid w:val="00966CDD"/>
    <w:rsid w:val="00967CED"/>
    <w:rsid w:val="00967FE3"/>
    <w:rsid w:val="00970C7C"/>
    <w:rsid w:val="009714DA"/>
    <w:rsid w:val="00972205"/>
    <w:rsid w:val="00973756"/>
    <w:rsid w:val="00973C08"/>
    <w:rsid w:val="00976F60"/>
    <w:rsid w:val="00977BD8"/>
    <w:rsid w:val="00980F2D"/>
    <w:rsid w:val="0098180A"/>
    <w:rsid w:val="00982284"/>
    <w:rsid w:val="0098237E"/>
    <w:rsid w:val="00983D09"/>
    <w:rsid w:val="00984E3E"/>
    <w:rsid w:val="00985149"/>
    <w:rsid w:val="00985DCE"/>
    <w:rsid w:val="00987346"/>
    <w:rsid w:val="0098774D"/>
    <w:rsid w:val="00990BD9"/>
    <w:rsid w:val="00990CF3"/>
    <w:rsid w:val="009926FE"/>
    <w:rsid w:val="0099471B"/>
    <w:rsid w:val="00994A6F"/>
    <w:rsid w:val="009953A6"/>
    <w:rsid w:val="009957F1"/>
    <w:rsid w:val="0099712F"/>
    <w:rsid w:val="009976E9"/>
    <w:rsid w:val="009A00BE"/>
    <w:rsid w:val="009A0177"/>
    <w:rsid w:val="009A0EEA"/>
    <w:rsid w:val="009A1585"/>
    <w:rsid w:val="009A1ED4"/>
    <w:rsid w:val="009A227D"/>
    <w:rsid w:val="009A2C9D"/>
    <w:rsid w:val="009A2EDA"/>
    <w:rsid w:val="009A3079"/>
    <w:rsid w:val="009A36E1"/>
    <w:rsid w:val="009A6D15"/>
    <w:rsid w:val="009A7902"/>
    <w:rsid w:val="009B0266"/>
    <w:rsid w:val="009B16D6"/>
    <w:rsid w:val="009B1A14"/>
    <w:rsid w:val="009B2259"/>
    <w:rsid w:val="009B24A8"/>
    <w:rsid w:val="009B284E"/>
    <w:rsid w:val="009B3595"/>
    <w:rsid w:val="009B369D"/>
    <w:rsid w:val="009B4379"/>
    <w:rsid w:val="009B53F7"/>
    <w:rsid w:val="009B62CC"/>
    <w:rsid w:val="009B6942"/>
    <w:rsid w:val="009B6A3F"/>
    <w:rsid w:val="009C02FD"/>
    <w:rsid w:val="009C2631"/>
    <w:rsid w:val="009C381C"/>
    <w:rsid w:val="009C64DD"/>
    <w:rsid w:val="009C6A98"/>
    <w:rsid w:val="009C76E2"/>
    <w:rsid w:val="009D0D84"/>
    <w:rsid w:val="009D116F"/>
    <w:rsid w:val="009D27E3"/>
    <w:rsid w:val="009D28C2"/>
    <w:rsid w:val="009D319A"/>
    <w:rsid w:val="009D4843"/>
    <w:rsid w:val="009D4935"/>
    <w:rsid w:val="009D768B"/>
    <w:rsid w:val="009D76F6"/>
    <w:rsid w:val="009E09BB"/>
    <w:rsid w:val="009E0B97"/>
    <w:rsid w:val="009E11A5"/>
    <w:rsid w:val="009E11D4"/>
    <w:rsid w:val="009E127E"/>
    <w:rsid w:val="009E2720"/>
    <w:rsid w:val="009E3379"/>
    <w:rsid w:val="009E5859"/>
    <w:rsid w:val="009E5ACA"/>
    <w:rsid w:val="009E79D1"/>
    <w:rsid w:val="009E7A78"/>
    <w:rsid w:val="009E7D43"/>
    <w:rsid w:val="009F0733"/>
    <w:rsid w:val="009F0ED2"/>
    <w:rsid w:val="009F27FF"/>
    <w:rsid w:val="009F3BB4"/>
    <w:rsid w:val="009F6152"/>
    <w:rsid w:val="00A005EF"/>
    <w:rsid w:val="00A009D0"/>
    <w:rsid w:val="00A032AA"/>
    <w:rsid w:val="00A03E33"/>
    <w:rsid w:val="00A06C7D"/>
    <w:rsid w:val="00A105B6"/>
    <w:rsid w:val="00A10E9D"/>
    <w:rsid w:val="00A122F7"/>
    <w:rsid w:val="00A12384"/>
    <w:rsid w:val="00A1412F"/>
    <w:rsid w:val="00A1420A"/>
    <w:rsid w:val="00A20C60"/>
    <w:rsid w:val="00A23692"/>
    <w:rsid w:val="00A24622"/>
    <w:rsid w:val="00A248BE"/>
    <w:rsid w:val="00A24BE5"/>
    <w:rsid w:val="00A275DB"/>
    <w:rsid w:val="00A3031A"/>
    <w:rsid w:val="00A303CF"/>
    <w:rsid w:val="00A3278A"/>
    <w:rsid w:val="00A32A63"/>
    <w:rsid w:val="00A32CF2"/>
    <w:rsid w:val="00A3451C"/>
    <w:rsid w:val="00A35867"/>
    <w:rsid w:val="00A35A9F"/>
    <w:rsid w:val="00A36934"/>
    <w:rsid w:val="00A36F0B"/>
    <w:rsid w:val="00A37C94"/>
    <w:rsid w:val="00A40588"/>
    <w:rsid w:val="00A40A00"/>
    <w:rsid w:val="00A40C85"/>
    <w:rsid w:val="00A418B7"/>
    <w:rsid w:val="00A41CDE"/>
    <w:rsid w:val="00A44056"/>
    <w:rsid w:val="00A4541E"/>
    <w:rsid w:val="00A4578B"/>
    <w:rsid w:val="00A468F1"/>
    <w:rsid w:val="00A532A4"/>
    <w:rsid w:val="00A55F20"/>
    <w:rsid w:val="00A567BE"/>
    <w:rsid w:val="00A577D6"/>
    <w:rsid w:val="00A60595"/>
    <w:rsid w:val="00A60C57"/>
    <w:rsid w:val="00A61441"/>
    <w:rsid w:val="00A64988"/>
    <w:rsid w:val="00A66035"/>
    <w:rsid w:val="00A70D78"/>
    <w:rsid w:val="00A71486"/>
    <w:rsid w:val="00A71A89"/>
    <w:rsid w:val="00A71B31"/>
    <w:rsid w:val="00A721A4"/>
    <w:rsid w:val="00A737BE"/>
    <w:rsid w:val="00A73EFB"/>
    <w:rsid w:val="00A74EC5"/>
    <w:rsid w:val="00A755EC"/>
    <w:rsid w:val="00A75BE6"/>
    <w:rsid w:val="00A76174"/>
    <w:rsid w:val="00A764A9"/>
    <w:rsid w:val="00A76B92"/>
    <w:rsid w:val="00A8147F"/>
    <w:rsid w:val="00A82158"/>
    <w:rsid w:val="00A82A82"/>
    <w:rsid w:val="00A85185"/>
    <w:rsid w:val="00A851CA"/>
    <w:rsid w:val="00A861CE"/>
    <w:rsid w:val="00A868EE"/>
    <w:rsid w:val="00A87D64"/>
    <w:rsid w:val="00A90F88"/>
    <w:rsid w:val="00A92A20"/>
    <w:rsid w:val="00A9379C"/>
    <w:rsid w:val="00A93D72"/>
    <w:rsid w:val="00A9418F"/>
    <w:rsid w:val="00A94427"/>
    <w:rsid w:val="00A94495"/>
    <w:rsid w:val="00A94979"/>
    <w:rsid w:val="00A966BA"/>
    <w:rsid w:val="00A97F0B"/>
    <w:rsid w:val="00AA1B89"/>
    <w:rsid w:val="00AA1CEA"/>
    <w:rsid w:val="00AA33E4"/>
    <w:rsid w:val="00AA3820"/>
    <w:rsid w:val="00AA3ECC"/>
    <w:rsid w:val="00AA44D6"/>
    <w:rsid w:val="00AB0D75"/>
    <w:rsid w:val="00AB2388"/>
    <w:rsid w:val="00AB2B6C"/>
    <w:rsid w:val="00AB2FAD"/>
    <w:rsid w:val="00AB5001"/>
    <w:rsid w:val="00AC006C"/>
    <w:rsid w:val="00AC07E5"/>
    <w:rsid w:val="00AC1A04"/>
    <w:rsid w:val="00AC1A4B"/>
    <w:rsid w:val="00AC2AD6"/>
    <w:rsid w:val="00AC3B1F"/>
    <w:rsid w:val="00AC3F9A"/>
    <w:rsid w:val="00AD2001"/>
    <w:rsid w:val="00AD2B51"/>
    <w:rsid w:val="00AD3181"/>
    <w:rsid w:val="00AD45E8"/>
    <w:rsid w:val="00AD577A"/>
    <w:rsid w:val="00AD6B44"/>
    <w:rsid w:val="00AE2CA3"/>
    <w:rsid w:val="00AE3681"/>
    <w:rsid w:val="00AE36D0"/>
    <w:rsid w:val="00AE4C67"/>
    <w:rsid w:val="00AE51AE"/>
    <w:rsid w:val="00AE6A31"/>
    <w:rsid w:val="00AE6BB5"/>
    <w:rsid w:val="00AF0948"/>
    <w:rsid w:val="00AF50D9"/>
    <w:rsid w:val="00AF64FC"/>
    <w:rsid w:val="00AF6DDB"/>
    <w:rsid w:val="00B00DDD"/>
    <w:rsid w:val="00B00DF0"/>
    <w:rsid w:val="00B0276F"/>
    <w:rsid w:val="00B03249"/>
    <w:rsid w:val="00B0324C"/>
    <w:rsid w:val="00B05D90"/>
    <w:rsid w:val="00B06317"/>
    <w:rsid w:val="00B07A46"/>
    <w:rsid w:val="00B07F9A"/>
    <w:rsid w:val="00B10795"/>
    <w:rsid w:val="00B11831"/>
    <w:rsid w:val="00B124EE"/>
    <w:rsid w:val="00B125CD"/>
    <w:rsid w:val="00B136CB"/>
    <w:rsid w:val="00B138CF"/>
    <w:rsid w:val="00B13CB0"/>
    <w:rsid w:val="00B148C4"/>
    <w:rsid w:val="00B16839"/>
    <w:rsid w:val="00B203D9"/>
    <w:rsid w:val="00B21BB0"/>
    <w:rsid w:val="00B2379B"/>
    <w:rsid w:val="00B253D3"/>
    <w:rsid w:val="00B25F74"/>
    <w:rsid w:val="00B2775C"/>
    <w:rsid w:val="00B3142D"/>
    <w:rsid w:val="00B328AF"/>
    <w:rsid w:val="00B3369F"/>
    <w:rsid w:val="00B34292"/>
    <w:rsid w:val="00B40626"/>
    <w:rsid w:val="00B41BAB"/>
    <w:rsid w:val="00B421B5"/>
    <w:rsid w:val="00B46A7C"/>
    <w:rsid w:val="00B47E77"/>
    <w:rsid w:val="00B503D3"/>
    <w:rsid w:val="00B505D9"/>
    <w:rsid w:val="00B51921"/>
    <w:rsid w:val="00B5515D"/>
    <w:rsid w:val="00B5537A"/>
    <w:rsid w:val="00B565B1"/>
    <w:rsid w:val="00B565D3"/>
    <w:rsid w:val="00B60CE3"/>
    <w:rsid w:val="00B62CF6"/>
    <w:rsid w:val="00B63DF8"/>
    <w:rsid w:val="00B65434"/>
    <w:rsid w:val="00B6585F"/>
    <w:rsid w:val="00B65EDC"/>
    <w:rsid w:val="00B70267"/>
    <w:rsid w:val="00B70C94"/>
    <w:rsid w:val="00B71458"/>
    <w:rsid w:val="00B72515"/>
    <w:rsid w:val="00B729FA"/>
    <w:rsid w:val="00B7317E"/>
    <w:rsid w:val="00B73741"/>
    <w:rsid w:val="00B748CD"/>
    <w:rsid w:val="00B75CB4"/>
    <w:rsid w:val="00B760AF"/>
    <w:rsid w:val="00B772CA"/>
    <w:rsid w:val="00B8042E"/>
    <w:rsid w:val="00B81235"/>
    <w:rsid w:val="00B823B1"/>
    <w:rsid w:val="00B83CE0"/>
    <w:rsid w:val="00B84C4F"/>
    <w:rsid w:val="00B8575B"/>
    <w:rsid w:val="00B87E23"/>
    <w:rsid w:val="00B902BC"/>
    <w:rsid w:val="00B90C6E"/>
    <w:rsid w:val="00B91051"/>
    <w:rsid w:val="00B92166"/>
    <w:rsid w:val="00B9457B"/>
    <w:rsid w:val="00B9458D"/>
    <w:rsid w:val="00B95402"/>
    <w:rsid w:val="00B95DFC"/>
    <w:rsid w:val="00B960B8"/>
    <w:rsid w:val="00B9659E"/>
    <w:rsid w:val="00B96B2D"/>
    <w:rsid w:val="00B97251"/>
    <w:rsid w:val="00B9771A"/>
    <w:rsid w:val="00B97D43"/>
    <w:rsid w:val="00BA2307"/>
    <w:rsid w:val="00BA240A"/>
    <w:rsid w:val="00BA5E10"/>
    <w:rsid w:val="00BA6749"/>
    <w:rsid w:val="00BB046A"/>
    <w:rsid w:val="00BB16E1"/>
    <w:rsid w:val="00BB42A4"/>
    <w:rsid w:val="00BB4D7F"/>
    <w:rsid w:val="00BB5FFF"/>
    <w:rsid w:val="00BB7C0A"/>
    <w:rsid w:val="00BC260B"/>
    <w:rsid w:val="00BC36A6"/>
    <w:rsid w:val="00BC3D3F"/>
    <w:rsid w:val="00BC5F82"/>
    <w:rsid w:val="00BC6826"/>
    <w:rsid w:val="00BC7E19"/>
    <w:rsid w:val="00BC7E4C"/>
    <w:rsid w:val="00BD0180"/>
    <w:rsid w:val="00BD0710"/>
    <w:rsid w:val="00BD258D"/>
    <w:rsid w:val="00BD264E"/>
    <w:rsid w:val="00BD3013"/>
    <w:rsid w:val="00BD33CA"/>
    <w:rsid w:val="00BD3479"/>
    <w:rsid w:val="00BD53C7"/>
    <w:rsid w:val="00BD66AA"/>
    <w:rsid w:val="00BD75B6"/>
    <w:rsid w:val="00BE12C5"/>
    <w:rsid w:val="00BE239D"/>
    <w:rsid w:val="00BE26E5"/>
    <w:rsid w:val="00BE290E"/>
    <w:rsid w:val="00BE399C"/>
    <w:rsid w:val="00BE431A"/>
    <w:rsid w:val="00BE5765"/>
    <w:rsid w:val="00BE5E84"/>
    <w:rsid w:val="00BE69F3"/>
    <w:rsid w:val="00BF008C"/>
    <w:rsid w:val="00BF018E"/>
    <w:rsid w:val="00BF0C89"/>
    <w:rsid w:val="00BF299B"/>
    <w:rsid w:val="00BF3AB3"/>
    <w:rsid w:val="00BF45DC"/>
    <w:rsid w:val="00BF673C"/>
    <w:rsid w:val="00C002E2"/>
    <w:rsid w:val="00C00419"/>
    <w:rsid w:val="00C00B5B"/>
    <w:rsid w:val="00C018C4"/>
    <w:rsid w:val="00C028A7"/>
    <w:rsid w:val="00C04CD4"/>
    <w:rsid w:val="00C04D41"/>
    <w:rsid w:val="00C04EB8"/>
    <w:rsid w:val="00C0626B"/>
    <w:rsid w:val="00C0665F"/>
    <w:rsid w:val="00C076E6"/>
    <w:rsid w:val="00C1153D"/>
    <w:rsid w:val="00C124B8"/>
    <w:rsid w:val="00C1271D"/>
    <w:rsid w:val="00C12F5E"/>
    <w:rsid w:val="00C1512D"/>
    <w:rsid w:val="00C16EDF"/>
    <w:rsid w:val="00C17431"/>
    <w:rsid w:val="00C22771"/>
    <w:rsid w:val="00C2291D"/>
    <w:rsid w:val="00C233E2"/>
    <w:rsid w:val="00C24EEF"/>
    <w:rsid w:val="00C2560C"/>
    <w:rsid w:val="00C30350"/>
    <w:rsid w:val="00C30BFB"/>
    <w:rsid w:val="00C31495"/>
    <w:rsid w:val="00C33646"/>
    <w:rsid w:val="00C34170"/>
    <w:rsid w:val="00C35420"/>
    <w:rsid w:val="00C366C4"/>
    <w:rsid w:val="00C414EB"/>
    <w:rsid w:val="00C4168C"/>
    <w:rsid w:val="00C42D4C"/>
    <w:rsid w:val="00C43AE0"/>
    <w:rsid w:val="00C456C7"/>
    <w:rsid w:val="00C47274"/>
    <w:rsid w:val="00C51178"/>
    <w:rsid w:val="00C52243"/>
    <w:rsid w:val="00C53BA5"/>
    <w:rsid w:val="00C545BA"/>
    <w:rsid w:val="00C55FED"/>
    <w:rsid w:val="00C56313"/>
    <w:rsid w:val="00C56C2B"/>
    <w:rsid w:val="00C5715A"/>
    <w:rsid w:val="00C5722A"/>
    <w:rsid w:val="00C578CC"/>
    <w:rsid w:val="00C60702"/>
    <w:rsid w:val="00C621F4"/>
    <w:rsid w:val="00C628ED"/>
    <w:rsid w:val="00C63A69"/>
    <w:rsid w:val="00C63AAB"/>
    <w:rsid w:val="00C63F95"/>
    <w:rsid w:val="00C7100C"/>
    <w:rsid w:val="00C72A2D"/>
    <w:rsid w:val="00C731B3"/>
    <w:rsid w:val="00C7368B"/>
    <w:rsid w:val="00C73C15"/>
    <w:rsid w:val="00C753B5"/>
    <w:rsid w:val="00C82700"/>
    <w:rsid w:val="00C82A1E"/>
    <w:rsid w:val="00C82CC1"/>
    <w:rsid w:val="00C84284"/>
    <w:rsid w:val="00C8505B"/>
    <w:rsid w:val="00C86768"/>
    <w:rsid w:val="00C908F9"/>
    <w:rsid w:val="00C90F5E"/>
    <w:rsid w:val="00C9161D"/>
    <w:rsid w:val="00C91D51"/>
    <w:rsid w:val="00C9303E"/>
    <w:rsid w:val="00C94DBF"/>
    <w:rsid w:val="00C956BC"/>
    <w:rsid w:val="00CA005D"/>
    <w:rsid w:val="00CA0396"/>
    <w:rsid w:val="00CA05C3"/>
    <w:rsid w:val="00CA2090"/>
    <w:rsid w:val="00CA3699"/>
    <w:rsid w:val="00CA4B79"/>
    <w:rsid w:val="00CA52D3"/>
    <w:rsid w:val="00CA65B2"/>
    <w:rsid w:val="00CA69C8"/>
    <w:rsid w:val="00CA6C52"/>
    <w:rsid w:val="00CB0CC4"/>
    <w:rsid w:val="00CB16BB"/>
    <w:rsid w:val="00CB1D82"/>
    <w:rsid w:val="00CB3E36"/>
    <w:rsid w:val="00CB3F98"/>
    <w:rsid w:val="00CB5CB4"/>
    <w:rsid w:val="00CB62F8"/>
    <w:rsid w:val="00CB7D67"/>
    <w:rsid w:val="00CB7FC3"/>
    <w:rsid w:val="00CC0EA8"/>
    <w:rsid w:val="00CC21C3"/>
    <w:rsid w:val="00CC5D91"/>
    <w:rsid w:val="00CC7E19"/>
    <w:rsid w:val="00CC7E92"/>
    <w:rsid w:val="00CD1E53"/>
    <w:rsid w:val="00CD266F"/>
    <w:rsid w:val="00CD50D9"/>
    <w:rsid w:val="00CD63E1"/>
    <w:rsid w:val="00CD7812"/>
    <w:rsid w:val="00CE10F9"/>
    <w:rsid w:val="00CE13B5"/>
    <w:rsid w:val="00CE24B3"/>
    <w:rsid w:val="00CE2F02"/>
    <w:rsid w:val="00CE3957"/>
    <w:rsid w:val="00CE4CFA"/>
    <w:rsid w:val="00CF179D"/>
    <w:rsid w:val="00CF1848"/>
    <w:rsid w:val="00CF2F2A"/>
    <w:rsid w:val="00CF42C0"/>
    <w:rsid w:val="00CF4C25"/>
    <w:rsid w:val="00CF4C5B"/>
    <w:rsid w:val="00CF5A7F"/>
    <w:rsid w:val="00D01E22"/>
    <w:rsid w:val="00D04B37"/>
    <w:rsid w:val="00D05952"/>
    <w:rsid w:val="00D05EBF"/>
    <w:rsid w:val="00D0607B"/>
    <w:rsid w:val="00D06B1B"/>
    <w:rsid w:val="00D07ECD"/>
    <w:rsid w:val="00D10009"/>
    <w:rsid w:val="00D11CDF"/>
    <w:rsid w:val="00D17C64"/>
    <w:rsid w:val="00D20326"/>
    <w:rsid w:val="00D20585"/>
    <w:rsid w:val="00D21B81"/>
    <w:rsid w:val="00D21BF6"/>
    <w:rsid w:val="00D22C05"/>
    <w:rsid w:val="00D23D77"/>
    <w:rsid w:val="00D245C5"/>
    <w:rsid w:val="00D278F3"/>
    <w:rsid w:val="00D27A9E"/>
    <w:rsid w:val="00D31170"/>
    <w:rsid w:val="00D3199B"/>
    <w:rsid w:val="00D32F87"/>
    <w:rsid w:val="00D33064"/>
    <w:rsid w:val="00D361C5"/>
    <w:rsid w:val="00D36824"/>
    <w:rsid w:val="00D37D50"/>
    <w:rsid w:val="00D37F89"/>
    <w:rsid w:val="00D4089A"/>
    <w:rsid w:val="00D40976"/>
    <w:rsid w:val="00D4178F"/>
    <w:rsid w:val="00D43AF8"/>
    <w:rsid w:val="00D453E2"/>
    <w:rsid w:val="00D45E03"/>
    <w:rsid w:val="00D46DF4"/>
    <w:rsid w:val="00D47718"/>
    <w:rsid w:val="00D506B0"/>
    <w:rsid w:val="00D51532"/>
    <w:rsid w:val="00D518C3"/>
    <w:rsid w:val="00D51BD1"/>
    <w:rsid w:val="00D52ECF"/>
    <w:rsid w:val="00D5341D"/>
    <w:rsid w:val="00D5397B"/>
    <w:rsid w:val="00D54BC3"/>
    <w:rsid w:val="00D55A8A"/>
    <w:rsid w:val="00D561BC"/>
    <w:rsid w:val="00D57A36"/>
    <w:rsid w:val="00D62373"/>
    <w:rsid w:val="00D6370E"/>
    <w:rsid w:val="00D650FB"/>
    <w:rsid w:val="00D65D48"/>
    <w:rsid w:val="00D66865"/>
    <w:rsid w:val="00D67AEF"/>
    <w:rsid w:val="00D67E2A"/>
    <w:rsid w:val="00D70731"/>
    <w:rsid w:val="00D7198A"/>
    <w:rsid w:val="00D736A6"/>
    <w:rsid w:val="00D75D3F"/>
    <w:rsid w:val="00D765D2"/>
    <w:rsid w:val="00D76A18"/>
    <w:rsid w:val="00D76CD4"/>
    <w:rsid w:val="00D857E0"/>
    <w:rsid w:val="00D93348"/>
    <w:rsid w:val="00D93435"/>
    <w:rsid w:val="00D93A34"/>
    <w:rsid w:val="00D94C41"/>
    <w:rsid w:val="00D952F1"/>
    <w:rsid w:val="00D97CCD"/>
    <w:rsid w:val="00D97FE2"/>
    <w:rsid w:val="00DA012B"/>
    <w:rsid w:val="00DA0317"/>
    <w:rsid w:val="00DA22C1"/>
    <w:rsid w:val="00DA612E"/>
    <w:rsid w:val="00DA7129"/>
    <w:rsid w:val="00DA7E61"/>
    <w:rsid w:val="00DB23F0"/>
    <w:rsid w:val="00DB3C54"/>
    <w:rsid w:val="00DB4377"/>
    <w:rsid w:val="00DB46C8"/>
    <w:rsid w:val="00DB4D8E"/>
    <w:rsid w:val="00DB69A8"/>
    <w:rsid w:val="00DB6CA1"/>
    <w:rsid w:val="00DB6E00"/>
    <w:rsid w:val="00DB6F03"/>
    <w:rsid w:val="00DB785E"/>
    <w:rsid w:val="00DB7B9A"/>
    <w:rsid w:val="00DC1B67"/>
    <w:rsid w:val="00DC2495"/>
    <w:rsid w:val="00DC2DF5"/>
    <w:rsid w:val="00DC42CD"/>
    <w:rsid w:val="00DC45FA"/>
    <w:rsid w:val="00DC4E11"/>
    <w:rsid w:val="00DC625B"/>
    <w:rsid w:val="00DC783C"/>
    <w:rsid w:val="00DC7D76"/>
    <w:rsid w:val="00DC7F10"/>
    <w:rsid w:val="00DD03F3"/>
    <w:rsid w:val="00DD118C"/>
    <w:rsid w:val="00DD2CF2"/>
    <w:rsid w:val="00DD2D5F"/>
    <w:rsid w:val="00DD3F19"/>
    <w:rsid w:val="00DD4D8E"/>
    <w:rsid w:val="00DE0149"/>
    <w:rsid w:val="00DE226E"/>
    <w:rsid w:val="00DE2ECB"/>
    <w:rsid w:val="00DE37C2"/>
    <w:rsid w:val="00DE4BB2"/>
    <w:rsid w:val="00DE51A6"/>
    <w:rsid w:val="00DE6901"/>
    <w:rsid w:val="00DE6FD6"/>
    <w:rsid w:val="00DE73BF"/>
    <w:rsid w:val="00DE75CF"/>
    <w:rsid w:val="00DF05C9"/>
    <w:rsid w:val="00DF34BC"/>
    <w:rsid w:val="00DF5507"/>
    <w:rsid w:val="00DF5598"/>
    <w:rsid w:val="00DF5E66"/>
    <w:rsid w:val="00DF6CD8"/>
    <w:rsid w:val="00E00F0D"/>
    <w:rsid w:val="00E01FC6"/>
    <w:rsid w:val="00E0242A"/>
    <w:rsid w:val="00E029CA"/>
    <w:rsid w:val="00E02E86"/>
    <w:rsid w:val="00E06BFF"/>
    <w:rsid w:val="00E10E9E"/>
    <w:rsid w:val="00E141F0"/>
    <w:rsid w:val="00E15BC9"/>
    <w:rsid w:val="00E2108D"/>
    <w:rsid w:val="00E221EC"/>
    <w:rsid w:val="00E22BAD"/>
    <w:rsid w:val="00E24BF9"/>
    <w:rsid w:val="00E25126"/>
    <w:rsid w:val="00E266DD"/>
    <w:rsid w:val="00E26AE3"/>
    <w:rsid w:val="00E274D1"/>
    <w:rsid w:val="00E275F4"/>
    <w:rsid w:val="00E2796C"/>
    <w:rsid w:val="00E30553"/>
    <w:rsid w:val="00E3086B"/>
    <w:rsid w:val="00E310E4"/>
    <w:rsid w:val="00E3139C"/>
    <w:rsid w:val="00E32282"/>
    <w:rsid w:val="00E32B19"/>
    <w:rsid w:val="00E369B6"/>
    <w:rsid w:val="00E4130E"/>
    <w:rsid w:val="00E41E23"/>
    <w:rsid w:val="00E42F1C"/>
    <w:rsid w:val="00E4355F"/>
    <w:rsid w:val="00E46C2B"/>
    <w:rsid w:val="00E46FA6"/>
    <w:rsid w:val="00E47910"/>
    <w:rsid w:val="00E502BE"/>
    <w:rsid w:val="00E51EEF"/>
    <w:rsid w:val="00E52C62"/>
    <w:rsid w:val="00E543A8"/>
    <w:rsid w:val="00E54DB8"/>
    <w:rsid w:val="00E55172"/>
    <w:rsid w:val="00E56F95"/>
    <w:rsid w:val="00E5777F"/>
    <w:rsid w:val="00E615E2"/>
    <w:rsid w:val="00E625B8"/>
    <w:rsid w:val="00E65370"/>
    <w:rsid w:val="00E65F31"/>
    <w:rsid w:val="00E66235"/>
    <w:rsid w:val="00E673A7"/>
    <w:rsid w:val="00E733A8"/>
    <w:rsid w:val="00E73412"/>
    <w:rsid w:val="00E7431B"/>
    <w:rsid w:val="00E76690"/>
    <w:rsid w:val="00E800C6"/>
    <w:rsid w:val="00E81DFB"/>
    <w:rsid w:val="00E82F86"/>
    <w:rsid w:val="00E83C24"/>
    <w:rsid w:val="00E843DC"/>
    <w:rsid w:val="00E845FB"/>
    <w:rsid w:val="00E85B55"/>
    <w:rsid w:val="00E865C4"/>
    <w:rsid w:val="00E914D2"/>
    <w:rsid w:val="00E91990"/>
    <w:rsid w:val="00E935DC"/>
    <w:rsid w:val="00E94212"/>
    <w:rsid w:val="00E9427A"/>
    <w:rsid w:val="00E9564F"/>
    <w:rsid w:val="00E9589E"/>
    <w:rsid w:val="00E959E2"/>
    <w:rsid w:val="00E97DA4"/>
    <w:rsid w:val="00EA046B"/>
    <w:rsid w:val="00EA6B32"/>
    <w:rsid w:val="00EB24E0"/>
    <w:rsid w:val="00EB2EB5"/>
    <w:rsid w:val="00EB3C27"/>
    <w:rsid w:val="00EB4CB1"/>
    <w:rsid w:val="00EB51CE"/>
    <w:rsid w:val="00EB6E2C"/>
    <w:rsid w:val="00EB7106"/>
    <w:rsid w:val="00EC19D6"/>
    <w:rsid w:val="00EC2A81"/>
    <w:rsid w:val="00EC2DCA"/>
    <w:rsid w:val="00EC4440"/>
    <w:rsid w:val="00EC5494"/>
    <w:rsid w:val="00ED05C4"/>
    <w:rsid w:val="00ED1F13"/>
    <w:rsid w:val="00ED36D0"/>
    <w:rsid w:val="00ED604B"/>
    <w:rsid w:val="00ED611E"/>
    <w:rsid w:val="00ED7181"/>
    <w:rsid w:val="00ED76F3"/>
    <w:rsid w:val="00EE096A"/>
    <w:rsid w:val="00EE107F"/>
    <w:rsid w:val="00EE1719"/>
    <w:rsid w:val="00EE281B"/>
    <w:rsid w:val="00EE3474"/>
    <w:rsid w:val="00EE76DD"/>
    <w:rsid w:val="00EF19D6"/>
    <w:rsid w:val="00EF38BC"/>
    <w:rsid w:val="00EF3A6D"/>
    <w:rsid w:val="00EF3B6C"/>
    <w:rsid w:val="00F00F06"/>
    <w:rsid w:val="00F010AC"/>
    <w:rsid w:val="00F0111A"/>
    <w:rsid w:val="00F01F42"/>
    <w:rsid w:val="00F02E9D"/>
    <w:rsid w:val="00F033A7"/>
    <w:rsid w:val="00F05F9F"/>
    <w:rsid w:val="00F06AC2"/>
    <w:rsid w:val="00F07262"/>
    <w:rsid w:val="00F11531"/>
    <w:rsid w:val="00F11927"/>
    <w:rsid w:val="00F11D9C"/>
    <w:rsid w:val="00F12DB6"/>
    <w:rsid w:val="00F1343F"/>
    <w:rsid w:val="00F15D30"/>
    <w:rsid w:val="00F17DB0"/>
    <w:rsid w:val="00F17E3C"/>
    <w:rsid w:val="00F20DB5"/>
    <w:rsid w:val="00F212FA"/>
    <w:rsid w:val="00F21A77"/>
    <w:rsid w:val="00F24005"/>
    <w:rsid w:val="00F25C61"/>
    <w:rsid w:val="00F25E05"/>
    <w:rsid w:val="00F267EA"/>
    <w:rsid w:val="00F3042D"/>
    <w:rsid w:val="00F30E3E"/>
    <w:rsid w:val="00F34118"/>
    <w:rsid w:val="00F342C7"/>
    <w:rsid w:val="00F359E8"/>
    <w:rsid w:val="00F35F77"/>
    <w:rsid w:val="00F36DF5"/>
    <w:rsid w:val="00F43BD5"/>
    <w:rsid w:val="00F43C31"/>
    <w:rsid w:val="00F463A7"/>
    <w:rsid w:val="00F468F9"/>
    <w:rsid w:val="00F47096"/>
    <w:rsid w:val="00F47C95"/>
    <w:rsid w:val="00F5072B"/>
    <w:rsid w:val="00F5085B"/>
    <w:rsid w:val="00F50B94"/>
    <w:rsid w:val="00F5149F"/>
    <w:rsid w:val="00F533F4"/>
    <w:rsid w:val="00F554D9"/>
    <w:rsid w:val="00F5798B"/>
    <w:rsid w:val="00F57B19"/>
    <w:rsid w:val="00F63CA9"/>
    <w:rsid w:val="00F6409C"/>
    <w:rsid w:val="00F65724"/>
    <w:rsid w:val="00F65775"/>
    <w:rsid w:val="00F657CE"/>
    <w:rsid w:val="00F666FB"/>
    <w:rsid w:val="00F66F3E"/>
    <w:rsid w:val="00F67CFB"/>
    <w:rsid w:val="00F67F7A"/>
    <w:rsid w:val="00F70ECB"/>
    <w:rsid w:val="00F71300"/>
    <w:rsid w:val="00F75842"/>
    <w:rsid w:val="00F7765D"/>
    <w:rsid w:val="00F77D1A"/>
    <w:rsid w:val="00F77D2F"/>
    <w:rsid w:val="00F80EBB"/>
    <w:rsid w:val="00F815C2"/>
    <w:rsid w:val="00F81DF4"/>
    <w:rsid w:val="00F830B0"/>
    <w:rsid w:val="00F832F2"/>
    <w:rsid w:val="00F8391E"/>
    <w:rsid w:val="00F847F4"/>
    <w:rsid w:val="00F849CE"/>
    <w:rsid w:val="00F86ECD"/>
    <w:rsid w:val="00F909DB"/>
    <w:rsid w:val="00F91656"/>
    <w:rsid w:val="00F94774"/>
    <w:rsid w:val="00F95FFB"/>
    <w:rsid w:val="00F96CE4"/>
    <w:rsid w:val="00F978D4"/>
    <w:rsid w:val="00F97BFF"/>
    <w:rsid w:val="00FA242B"/>
    <w:rsid w:val="00FA3781"/>
    <w:rsid w:val="00FA3EB4"/>
    <w:rsid w:val="00FA520E"/>
    <w:rsid w:val="00FA52FD"/>
    <w:rsid w:val="00FA5A56"/>
    <w:rsid w:val="00FA5F63"/>
    <w:rsid w:val="00FB15F6"/>
    <w:rsid w:val="00FB1B40"/>
    <w:rsid w:val="00FB20C0"/>
    <w:rsid w:val="00FB448D"/>
    <w:rsid w:val="00FB534C"/>
    <w:rsid w:val="00FB5C8C"/>
    <w:rsid w:val="00FB5F1D"/>
    <w:rsid w:val="00FB6D0F"/>
    <w:rsid w:val="00FB7380"/>
    <w:rsid w:val="00FC0BC4"/>
    <w:rsid w:val="00FC0E06"/>
    <w:rsid w:val="00FC1022"/>
    <w:rsid w:val="00FC11BD"/>
    <w:rsid w:val="00FC169F"/>
    <w:rsid w:val="00FC280F"/>
    <w:rsid w:val="00FC45AB"/>
    <w:rsid w:val="00FC4C1B"/>
    <w:rsid w:val="00FC51F7"/>
    <w:rsid w:val="00FC53DB"/>
    <w:rsid w:val="00FC5C2C"/>
    <w:rsid w:val="00FC5F04"/>
    <w:rsid w:val="00FC607B"/>
    <w:rsid w:val="00FC76A7"/>
    <w:rsid w:val="00FD2210"/>
    <w:rsid w:val="00FD231D"/>
    <w:rsid w:val="00FD24B1"/>
    <w:rsid w:val="00FD2EEE"/>
    <w:rsid w:val="00FD44BC"/>
    <w:rsid w:val="00FD4624"/>
    <w:rsid w:val="00FD4AA8"/>
    <w:rsid w:val="00FD65CB"/>
    <w:rsid w:val="00FD6D5C"/>
    <w:rsid w:val="00FD7045"/>
    <w:rsid w:val="00FE09DD"/>
    <w:rsid w:val="00FE1990"/>
    <w:rsid w:val="00FE3327"/>
    <w:rsid w:val="00FE3851"/>
    <w:rsid w:val="00FE4F8C"/>
    <w:rsid w:val="00FE5A21"/>
    <w:rsid w:val="00FE71E5"/>
    <w:rsid w:val="00FF017F"/>
    <w:rsid w:val="00FF0731"/>
    <w:rsid w:val="00FF160F"/>
    <w:rsid w:val="00FF1B40"/>
    <w:rsid w:val="00FF1ED1"/>
    <w:rsid w:val="00FF2E9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25EE05F"/>
  <w15:docId w15:val="{4A4D1E43-37F0-4C29-B049-519E495C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uiPriority w:val="99"/>
    <w:rsid w:val="007E09DA"/>
    <w:pPr>
      <w:keepLines/>
      <w:spacing w:after="60"/>
      <w:ind w:firstLine="720"/>
    </w:pPr>
    <w:rPr>
      <w:sz w:val="18"/>
    </w:rPr>
  </w:style>
  <w:style w:type="character" w:customStyle="1" w:styleId="FootnoteTextChar">
    <w:name w:val="Footnote Text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130BB2"/>
    <w:pPr>
      <w:spacing w:after="200" w:line="276" w:lineRule="auto"/>
      <w:ind w:left="720"/>
      <w:contextualSpacing/>
      <w:jc w:val="left"/>
    </w:pPr>
    <w:rPr>
      <w:rFonts w:asciiTheme="minorHAnsi" w:eastAsiaTheme="minorEastAsia" w:hAnsiTheme="minorHAnsi" w:cstheme="minorBidi"/>
      <w:szCs w:val="22"/>
      <w:lang w:val="en-CA" w:eastAsia="ja-JP"/>
    </w:rPr>
  </w:style>
  <w:style w:type="paragraph" w:styleId="CommentSubject">
    <w:name w:val="annotation subject"/>
    <w:basedOn w:val="CommentText"/>
    <w:next w:val="CommentText"/>
    <w:link w:val="CommentSubjectChar"/>
    <w:uiPriority w:val="99"/>
    <w:semiHidden/>
    <w:unhideWhenUsed/>
    <w:rsid w:val="00CA65B2"/>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A65B2"/>
    <w:rPr>
      <w:rFonts w:ascii="Times New Roman" w:eastAsia="Times New Roman" w:hAnsi="Times New Roman" w:cs="Times New Roman"/>
      <w:b/>
      <w:bCs/>
      <w:sz w:val="20"/>
      <w:szCs w:val="20"/>
      <w:lang w:val="en-GB"/>
    </w:rPr>
  </w:style>
  <w:style w:type="paragraph" w:styleId="Revision">
    <w:name w:val="Revision"/>
    <w:hidden/>
    <w:uiPriority w:val="99"/>
    <w:semiHidden/>
    <w:rsid w:val="00CA65B2"/>
    <w:rPr>
      <w:rFonts w:ascii="Times New Roman" w:eastAsia="Times New Roman" w:hAnsi="Times New Roman" w:cs="Times New Roman"/>
      <w:sz w:val="22"/>
      <w:lang w:val="en-GB"/>
    </w:rPr>
  </w:style>
  <w:style w:type="character" w:customStyle="1" w:styleId="ListParagraphChar">
    <w:name w:val="List Paragraph Char"/>
    <w:basedOn w:val="DefaultParagraphFont"/>
    <w:link w:val="ListParagraph"/>
    <w:uiPriority w:val="34"/>
    <w:qFormat/>
    <w:locked/>
    <w:rsid w:val="00086DDC"/>
    <w:rPr>
      <w:sz w:val="22"/>
      <w:szCs w:val="22"/>
      <w:lang w:val="en-CA" w:eastAsia="ja-JP"/>
    </w:rPr>
  </w:style>
  <w:style w:type="character" w:styleId="Strong">
    <w:name w:val="Strong"/>
    <w:basedOn w:val="DefaultParagraphFont"/>
    <w:uiPriority w:val="22"/>
    <w:qFormat/>
    <w:rsid w:val="00A93D72"/>
    <w:rPr>
      <w:b/>
      <w:bCs/>
    </w:rPr>
  </w:style>
  <w:style w:type="table" w:customStyle="1" w:styleId="TableGrid1">
    <w:name w:val="Table Grid1"/>
    <w:basedOn w:val="TableNormal"/>
    <w:next w:val="TableGrid"/>
    <w:uiPriority w:val="59"/>
    <w:rsid w:val="00F0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7A09"/>
    <w:rPr>
      <w:color w:val="605E5C"/>
      <w:shd w:val="clear" w:color="auto" w:fill="E1DFDD"/>
    </w:rPr>
  </w:style>
  <w:style w:type="character" w:customStyle="1" w:styleId="ng-binding">
    <w:name w:val="ng-binding"/>
    <w:basedOn w:val="DefaultParagraphFont"/>
    <w:rsid w:val="0047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4301">
      <w:bodyDiv w:val="1"/>
      <w:marLeft w:val="0"/>
      <w:marRight w:val="0"/>
      <w:marTop w:val="0"/>
      <w:marBottom w:val="0"/>
      <w:divBdr>
        <w:top w:val="none" w:sz="0" w:space="0" w:color="auto"/>
        <w:left w:val="none" w:sz="0" w:space="0" w:color="auto"/>
        <w:bottom w:val="none" w:sz="0" w:space="0" w:color="auto"/>
        <w:right w:val="none" w:sz="0" w:space="0" w:color="auto"/>
      </w:divBdr>
      <w:divsChild>
        <w:div w:id="810442272">
          <w:marLeft w:val="0"/>
          <w:marRight w:val="0"/>
          <w:marTop w:val="105"/>
          <w:marBottom w:val="105"/>
          <w:divBdr>
            <w:top w:val="none" w:sz="0" w:space="0" w:color="auto"/>
            <w:left w:val="none" w:sz="0" w:space="0" w:color="auto"/>
            <w:bottom w:val="none" w:sz="0" w:space="0" w:color="auto"/>
            <w:right w:val="none" w:sz="0" w:space="0" w:color="auto"/>
          </w:divBdr>
          <w:divsChild>
            <w:div w:id="1931768071">
              <w:marLeft w:val="1350"/>
              <w:marRight w:val="0"/>
              <w:marTop w:val="105"/>
              <w:marBottom w:val="105"/>
              <w:divBdr>
                <w:top w:val="none" w:sz="0" w:space="0" w:color="auto"/>
                <w:left w:val="none" w:sz="0" w:space="0" w:color="auto"/>
                <w:bottom w:val="none" w:sz="0" w:space="0" w:color="auto"/>
                <w:right w:val="none" w:sz="0" w:space="0" w:color="auto"/>
              </w:divBdr>
              <w:divsChild>
                <w:div w:id="1808863450">
                  <w:marLeft w:val="0"/>
                  <w:marRight w:val="0"/>
                  <w:marTop w:val="105"/>
                  <w:marBottom w:val="105"/>
                  <w:divBdr>
                    <w:top w:val="none" w:sz="0" w:space="0" w:color="auto"/>
                    <w:left w:val="none" w:sz="0" w:space="0" w:color="auto"/>
                    <w:bottom w:val="none" w:sz="0" w:space="0" w:color="auto"/>
                    <w:right w:val="none" w:sz="0" w:space="0" w:color="auto"/>
                  </w:divBdr>
                </w:div>
                <w:div w:id="2019965123">
                  <w:marLeft w:val="0"/>
                  <w:marRight w:val="0"/>
                  <w:marTop w:val="105"/>
                  <w:marBottom w:val="105"/>
                  <w:divBdr>
                    <w:top w:val="none" w:sz="0" w:space="0" w:color="auto"/>
                    <w:left w:val="none" w:sz="0" w:space="0" w:color="auto"/>
                    <w:bottom w:val="none" w:sz="0" w:space="0" w:color="auto"/>
                    <w:right w:val="none" w:sz="0" w:space="0" w:color="auto"/>
                  </w:divBdr>
                </w:div>
                <w:div w:id="552353344">
                  <w:marLeft w:val="0"/>
                  <w:marRight w:val="0"/>
                  <w:marTop w:val="105"/>
                  <w:marBottom w:val="105"/>
                  <w:divBdr>
                    <w:top w:val="none" w:sz="0" w:space="0" w:color="auto"/>
                    <w:left w:val="none" w:sz="0" w:space="0" w:color="auto"/>
                    <w:bottom w:val="none" w:sz="0" w:space="0" w:color="auto"/>
                    <w:right w:val="none" w:sz="0" w:space="0" w:color="auto"/>
                  </w:divBdr>
                </w:div>
                <w:div w:id="63703400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21515170">
          <w:marLeft w:val="0"/>
          <w:marRight w:val="0"/>
          <w:marTop w:val="105"/>
          <w:marBottom w:val="105"/>
          <w:divBdr>
            <w:top w:val="none" w:sz="0" w:space="0" w:color="auto"/>
            <w:left w:val="none" w:sz="0" w:space="0" w:color="auto"/>
            <w:bottom w:val="none" w:sz="0" w:space="0" w:color="auto"/>
            <w:right w:val="none" w:sz="0" w:space="0" w:color="auto"/>
          </w:divBdr>
          <w:divsChild>
            <w:div w:id="1784880217">
              <w:marLeft w:val="1350"/>
              <w:marRight w:val="0"/>
              <w:marTop w:val="105"/>
              <w:marBottom w:val="105"/>
              <w:divBdr>
                <w:top w:val="none" w:sz="0" w:space="0" w:color="auto"/>
                <w:left w:val="none" w:sz="0" w:space="0" w:color="auto"/>
                <w:bottom w:val="none" w:sz="0" w:space="0" w:color="auto"/>
                <w:right w:val="none" w:sz="0" w:space="0" w:color="auto"/>
              </w:divBdr>
              <w:divsChild>
                <w:div w:id="336926717">
                  <w:marLeft w:val="0"/>
                  <w:marRight w:val="0"/>
                  <w:marTop w:val="105"/>
                  <w:marBottom w:val="105"/>
                  <w:divBdr>
                    <w:top w:val="none" w:sz="0" w:space="0" w:color="auto"/>
                    <w:left w:val="none" w:sz="0" w:space="0" w:color="auto"/>
                    <w:bottom w:val="none" w:sz="0" w:space="0" w:color="auto"/>
                    <w:right w:val="none" w:sz="0" w:space="0" w:color="auto"/>
                  </w:divBdr>
                </w:div>
                <w:div w:id="1212232667">
                  <w:marLeft w:val="0"/>
                  <w:marRight w:val="0"/>
                  <w:marTop w:val="105"/>
                  <w:marBottom w:val="105"/>
                  <w:divBdr>
                    <w:top w:val="none" w:sz="0" w:space="0" w:color="auto"/>
                    <w:left w:val="none" w:sz="0" w:space="0" w:color="auto"/>
                    <w:bottom w:val="none" w:sz="0" w:space="0" w:color="auto"/>
                    <w:right w:val="none" w:sz="0" w:space="0" w:color="auto"/>
                  </w:divBdr>
                </w:div>
                <w:div w:id="2100632612">
                  <w:marLeft w:val="0"/>
                  <w:marRight w:val="0"/>
                  <w:marTop w:val="105"/>
                  <w:marBottom w:val="105"/>
                  <w:divBdr>
                    <w:top w:val="none" w:sz="0" w:space="0" w:color="auto"/>
                    <w:left w:val="none" w:sz="0" w:space="0" w:color="auto"/>
                    <w:bottom w:val="none" w:sz="0" w:space="0" w:color="auto"/>
                    <w:right w:val="none" w:sz="0" w:space="0" w:color="auto"/>
                  </w:divBdr>
                </w:div>
                <w:div w:id="560216773">
                  <w:marLeft w:val="0"/>
                  <w:marRight w:val="0"/>
                  <w:marTop w:val="105"/>
                  <w:marBottom w:val="105"/>
                  <w:divBdr>
                    <w:top w:val="none" w:sz="0" w:space="0" w:color="auto"/>
                    <w:left w:val="none" w:sz="0" w:space="0" w:color="auto"/>
                    <w:bottom w:val="none" w:sz="0" w:space="0" w:color="auto"/>
                    <w:right w:val="none" w:sz="0" w:space="0" w:color="auto"/>
                  </w:divBdr>
                </w:div>
                <w:div w:id="782767229">
                  <w:marLeft w:val="0"/>
                  <w:marRight w:val="0"/>
                  <w:marTop w:val="105"/>
                  <w:marBottom w:val="105"/>
                  <w:divBdr>
                    <w:top w:val="none" w:sz="0" w:space="0" w:color="auto"/>
                    <w:left w:val="none" w:sz="0" w:space="0" w:color="auto"/>
                    <w:bottom w:val="none" w:sz="0" w:space="0" w:color="auto"/>
                    <w:right w:val="none" w:sz="0" w:space="0" w:color="auto"/>
                  </w:divBdr>
                </w:div>
                <w:div w:id="29209832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284238645">
          <w:marLeft w:val="0"/>
          <w:marRight w:val="0"/>
          <w:marTop w:val="105"/>
          <w:marBottom w:val="105"/>
          <w:divBdr>
            <w:top w:val="none" w:sz="0" w:space="0" w:color="auto"/>
            <w:left w:val="none" w:sz="0" w:space="0" w:color="auto"/>
            <w:bottom w:val="none" w:sz="0" w:space="0" w:color="auto"/>
            <w:right w:val="none" w:sz="0" w:space="0" w:color="auto"/>
          </w:divBdr>
          <w:divsChild>
            <w:div w:id="158817056">
              <w:marLeft w:val="1350"/>
              <w:marRight w:val="0"/>
              <w:marTop w:val="105"/>
              <w:marBottom w:val="105"/>
              <w:divBdr>
                <w:top w:val="none" w:sz="0" w:space="0" w:color="auto"/>
                <w:left w:val="none" w:sz="0" w:space="0" w:color="auto"/>
                <w:bottom w:val="none" w:sz="0" w:space="0" w:color="auto"/>
                <w:right w:val="none" w:sz="0" w:space="0" w:color="auto"/>
              </w:divBdr>
              <w:divsChild>
                <w:div w:id="712273517">
                  <w:marLeft w:val="0"/>
                  <w:marRight w:val="0"/>
                  <w:marTop w:val="105"/>
                  <w:marBottom w:val="105"/>
                  <w:divBdr>
                    <w:top w:val="none" w:sz="0" w:space="0" w:color="auto"/>
                    <w:left w:val="none" w:sz="0" w:space="0" w:color="auto"/>
                    <w:bottom w:val="none" w:sz="0" w:space="0" w:color="auto"/>
                    <w:right w:val="none" w:sz="0" w:space="0" w:color="auto"/>
                  </w:divBdr>
                </w:div>
                <w:div w:id="2027097480">
                  <w:marLeft w:val="0"/>
                  <w:marRight w:val="0"/>
                  <w:marTop w:val="105"/>
                  <w:marBottom w:val="105"/>
                  <w:divBdr>
                    <w:top w:val="none" w:sz="0" w:space="0" w:color="auto"/>
                    <w:left w:val="none" w:sz="0" w:space="0" w:color="auto"/>
                    <w:bottom w:val="none" w:sz="0" w:space="0" w:color="auto"/>
                    <w:right w:val="none" w:sz="0" w:space="0" w:color="auto"/>
                  </w:divBdr>
                </w:div>
                <w:div w:id="89073247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835604729">
          <w:marLeft w:val="0"/>
          <w:marRight w:val="0"/>
          <w:marTop w:val="105"/>
          <w:marBottom w:val="105"/>
          <w:divBdr>
            <w:top w:val="none" w:sz="0" w:space="0" w:color="auto"/>
            <w:left w:val="none" w:sz="0" w:space="0" w:color="auto"/>
            <w:bottom w:val="none" w:sz="0" w:space="0" w:color="auto"/>
            <w:right w:val="none" w:sz="0" w:space="0" w:color="auto"/>
          </w:divBdr>
          <w:divsChild>
            <w:div w:id="1448811071">
              <w:marLeft w:val="1350"/>
              <w:marRight w:val="0"/>
              <w:marTop w:val="105"/>
              <w:marBottom w:val="105"/>
              <w:divBdr>
                <w:top w:val="none" w:sz="0" w:space="0" w:color="auto"/>
                <w:left w:val="none" w:sz="0" w:space="0" w:color="auto"/>
                <w:bottom w:val="none" w:sz="0" w:space="0" w:color="auto"/>
                <w:right w:val="none" w:sz="0" w:space="0" w:color="auto"/>
              </w:divBdr>
              <w:divsChild>
                <w:div w:id="706755465">
                  <w:marLeft w:val="0"/>
                  <w:marRight w:val="0"/>
                  <w:marTop w:val="105"/>
                  <w:marBottom w:val="105"/>
                  <w:divBdr>
                    <w:top w:val="none" w:sz="0" w:space="0" w:color="auto"/>
                    <w:left w:val="none" w:sz="0" w:space="0" w:color="auto"/>
                    <w:bottom w:val="none" w:sz="0" w:space="0" w:color="auto"/>
                    <w:right w:val="none" w:sz="0" w:space="0" w:color="auto"/>
                  </w:divBdr>
                </w:div>
                <w:div w:id="77095883">
                  <w:marLeft w:val="0"/>
                  <w:marRight w:val="0"/>
                  <w:marTop w:val="105"/>
                  <w:marBottom w:val="105"/>
                  <w:divBdr>
                    <w:top w:val="none" w:sz="0" w:space="0" w:color="auto"/>
                    <w:left w:val="none" w:sz="0" w:space="0" w:color="auto"/>
                    <w:bottom w:val="none" w:sz="0" w:space="0" w:color="auto"/>
                    <w:right w:val="none" w:sz="0" w:space="0" w:color="auto"/>
                  </w:divBdr>
                </w:div>
                <w:div w:id="2714193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22172745">
          <w:marLeft w:val="0"/>
          <w:marRight w:val="0"/>
          <w:marTop w:val="105"/>
          <w:marBottom w:val="105"/>
          <w:divBdr>
            <w:top w:val="none" w:sz="0" w:space="0" w:color="auto"/>
            <w:left w:val="none" w:sz="0" w:space="0" w:color="auto"/>
            <w:bottom w:val="none" w:sz="0" w:space="0" w:color="auto"/>
            <w:right w:val="none" w:sz="0" w:space="0" w:color="auto"/>
          </w:divBdr>
          <w:divsChild>
            <w:div w:id="1439522682">
              <w:marLeft w:val="1350"/>
              <w:marRight w:val="0"/>
              <w:marTop w:val="105"/>
              <w:marBottom w:val="105"/>
              <w:divBdr>
                <w:top w:val="none" w:sz="0" w:space="0" w:color="auto"/>
                <w:left w:val="none" w:sz="0" w:space="0" w:color="auto"/>
                <w:bottom w:val="none" w:sz="0" w:space="0" w:color="auto"/>
                <w:right w:val="none" w:sz="0" w:space="0" w:color="auto"/>
              </w:divBdr>
              <w:divsChild>
                <w:div w:id="1568415502">
                  <w:marLeft w:val="0"/>
                  <w:marRight w:val="0"/>
                  <w:marTop w:val="105"/>
                  <w:marBottom w:val="105"/>
                  <w:divBdr>
                    <w:top w:val="none" w:sz="0" w:space="0" w:color="auto"/>
                    <w:left w:val="none" w:sz="0" w:space="0" w:color="auto"/>
                    <w:bottom w:val="none" w:sz="0" w:space="0" w:color="auto"/>
                    <w:right w:val="none" w:sz="0" w:space="0" w:color="auto"/>
                  </w:divBdr>
                </w:div>
                <w:div w:id="1684160176">
                  <w:marLeft w:val="0"/>
                  <w:marRight w:val="0"/>
                  <w:marTop w:val="105"/>
                  <w:marBottom w:val="105"/>
                  <w:divBdr>
                    <w:top w:val="none" w:sz="0" w:space="0" w:color="auto"/>
                    <w:left w:val="none" w:sz="0" w:space="0" w:color="auto"/>
                    <w:bottom w:val="none" w:sz="0" w:space="0" w:color="auto"/>
                    <w:right w:val="none" w:sz="0" w:space="0" w:color="auto"/>
                  </w:divBdr>
                </w:div>
                <w:div w:id="1954969261">
                  <w:marLeft w:val="0"/>
                  <w:marRight w:val="0"/>
                  <w:marTop w:val="105"/>
                  <w:marBottom w:val="105"/>
                  <w:divBdr>
                    <w:top w:val="none" w:sz="0" w:space="0" w:color="auto"/>
                    <w:left w:val="none" w:sz="0" w:space="0" w:color="auto"/>
                    <w:bottom w:val="none" w:sz="0" w:space="0" w:color="auto"/>
                    <w:right w:val="none" w:sz="0" w:space="0" w:color="auto"/>
                  </w:divBdr>
                </w:div>
                <w:div w:id="199375340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1083798493">
      <w:bodyDiv w:val="1"/>
      <w:marLeft w:val="0"/>
      <w:marRight w:val="0"/>
      <w:marTop w:val="0"/>
      <w:marBottom w:val="0"/>
      <w:divBdr>
        <w:top w:val="none" w:sz="0" w:space="0" w:color="auto"/>
        <w:left w:val="none" w:sz="0" w:space="0" w:color="auto"/>
        <w:bottom w:val="none" w:sz="0" w:space="0" w:color="auto"/>
        <w:right w:val="none" w:sz="0" w:space="0" w:color="auto"/>
      </w:divBdr>
    </w:div>
    <w:div w:id="1739858310">
      <w:bodyDiv w:val="1"/>
      <w:marLeft w:val="0"/>
      <w:marRight w:val="0"/>
      <w:marTop w:val="0"/>
      <w:marBottom w:val="0"/>
      <w:divBdr>
        <w:top w:val="none" w:sz="0" w:space="0" w:color="auto"/>
        <w:left w:val="none" w:sz="0" w:space="0" w:color="auto"/>
        <w:bottom w:val="none" w:sz="0" w:space="0" w:color="auto"/>
        <w:right w:val="none" w:sz="0" w:space="0" w:color="auto"/>
      </w:divBdr>
      <w:divsChild>
        <w:div w:id="89470383">
          <w:marLeft w:val="0"/>
          <w:marRight w:val="0"/>
          <w:marTop w:val="0"/>
          <w:marBottom w:val="0"/>
          <w:divBdr>
            <w:top w:val="none" w:sz="0" w:space="0" w:color="auto"/>
            <w:left w:val="none" w:sz="0" w:space="0" w:color="auto"/>
            <w:bottom w:val="none" w:sz="0" w:space="0" w:color="auto"/>
            <w:right w:val="none" w:sz="0" w:space="0" w:color="auto"/>
          </w:divBdr>
          <w:divsChild>
            <w:div w:id="1037046468">
              <w:marLeft w:val="0"/>
              <w:marRight w:val="0"/>
              <w:marTop w:val="0"/>
              <w:marBottom w:val="0"/>
              <w:divBdr>
                <w:top w:val="none" w:sz="0" w:space="0" w:color="auto"/>
                <w:left w:val="none" w:sz="0" w:space="0" w:color="auto"/>
                <w:bottom w:val="none" w:sz="0" w:space="0" w:color="auto"/>
                <w:right w:val="none" w:sz="0" w:space="0" w:color="auto"/>
              </w:divBdr>
              <w:divsChild>
                <w:div w:id="1549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6902">
      <w:bodyDiv w:val="1"/>
      <w:marLeft w:val="0"/>
      <w:marRight w:val="0"/>
      <w:marTop w:val="0"/>
      <w:marBottom w:val="0"/>
      <w:divBdr>
        <w:top w:val="none" w:sz="0" w:space="0" w:color="auto"/>
        <w:left w:val="none" w:sz="0" w:space="0" w:color="auto"/>
        <w:bottom w:val="none" w:sz="0" w:space="0" w:color="auto"/>
        <w:right w:val="none" w:sz="0" w:space="0" w:color="auto"/>
      </w:divBdr>
    </w:div>
    <w:div w:id="1805151894">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1">
          <w:marLeft w:val="0"/>
          <w:marRight w:val="0"/>
          <w:marTop w:val="105"/>
          <w:marBottom w:val="105"/>
          <w:divBdr>
            <w:top w:val="none" w:sz="0" w:space="0" w:color="auto"/>
            <w:left w:val="none" w:sz="0" w:space="0" w:color="auto"/>
            <w:bottom w:val="none" w:sz="0" w:space="0" w:color="auto"/>
            <w:right w:val="none" w:sz="0" w:space="0" w:color="auto"/>
          </w:divBdr>
          <w:divsChild>
            <w:div w:id="426848842">
              <w:marLeft w:val="1350"/>
              <w:marRight w:val="0"/>
              <w:marTop w:val="105"/>
              <w:marBottom w:val="105"/>
              <w:divBdr>
                <w:top w:val="none" w:sz="0" w:space="0" w:color="auto"/>
                <w:left w:val="none" w:sz="0" w:space="0" w:color="auto"/>
                <w:bottom w:val="none" w:sz="0" w:space="0" w:color="auto"/>
                <w:right w:val="none" w:sz="0" w:space="0" w:color="auto"/>
              </w:divBdr>
              <w:divsChild>
                <w:div w:id="1265574963">
                  <w:marLeft w:val="0"/>
                  <w:marRight w:val="0"/>
                  <w:marTop w:val="105"/>
                  <w:marBottom w:val="105"/>
                  <w:divBdr>
                    <w:top w:val="none" w:sz="0" w:space="0" w:color="auto"/>
                    <w:left w:val="none" w:sz="0" w:space="0" w:color="auto"/>
                    <w:bottom w:val="none" w:sz="0" w:space="0" w:color="auto"/>
                    <w:right w:val="none" w:sz="0" w:space="0" w:color="auto"/>
                  </w:divBdr>
                </w:div>
                <w:div w:id="1411005391">
                  <w:marLeft w:val="0"/>
                  <w:marRight w:val="0"/>
                  <w:marTop w:val="105"/>
                  <w:marBottom w:val="105"/>
                  <w:divBdr>
                    <w:top w:val="none" w:sz="0" w:space="0" w:color="auto"/>
                    <w:left w:val="none" w:sz="0" w:space="0" w:color="auto"/>
                    <w:bottom w:val="none" w:sz="0" w:space="0" w:color="auto"/>
                    <w:right w:val="none" w:sz="0" w:space="0" w:color="auto"/>
                  </w:divBdr>
                </w:div>
                <w:div w:id="475226037">
                  <w:marLeft w:val="0"/>
                  <w:marRight w:val="0"/>
                  <w:marTop w:val="105"/>
                  <w:marBottom w:val="105"/>
                  <w:divBdr>
                    <w:top w:val="none" w:sz="0" w:space="0" w:color="auto"/>
                    <w:left w:val="none" w:sz="0" w:space="0" w:color="auto"/>
                    <w:bottom w:val="none" w:sz="0" w:space="0" w:color="auto"/>
                    <w:right w:val="none" w:sz="0" w:space="0" w:color="auto"/>
                  </w:divBdr>
                </w:div>
                <w:div w:id="112323518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70541581">
          <w:marLeft w:val="0"/>
          <w:marRight w:val="0"/>
          <w:marTop w:val="105"/>
          <w:marBottom w:val="105"/>
          <w:divBdr>
            <w:top w:val="none" w:sz="0" w:space="0" w:color="auto"/>
            <w:left w:val="none" w:sz="0" w:space="0" w:color="auto"/>
            <w:bottom w:val="none" w:sz="0" w:space="0" w:color="auto"/>
            <w:right w:val="none" w:sz="0" w:space="0" w:color="auto"/>
          </w:divBdr>
          <w:divsChild>
            <w:div w:id="1327050422">
              <w:marLeft w:val="1350"/>
              <w:marRight w:val="0"/>
              <w:marTop w:val="105"/>
              <w:marBottom w:val="105"/>
              <w:divBdr>
                <w:top w:val="none" w:sz="0" w:space="0" w:color="auto"/>
                <w:left w:val="none" w:sz="0" w:space="0" w:color="auto"/>
                <w:bottom w:val="none" w:sz="0" w:space="0" w:color="auto"/>
                <w:right w:val="none" w:sz="0" w:space="0" w:color="auto"/>
              </w:divBdr>
              <w:divsChild>
                <w:div w:id="1072969672">
                  <w:marLeft w:val="0"/>
                  <w:marRight w:val="0"/>
                  <w:marTop w:val="105"/>
                  <w:marBottom w:val="105"/>
                  <w:divBdr>
                    <w:top w:val="none" w:sz="0" w:space="0" w:color="auto"/>
                    <w:left w:val="none" w:sz="0" w:space="0" w:color="auto"/>
                    <w:bottom w:val="none" w:sz="0" w:space="0" w:color="auto"/>
                    <w:right w:val="none" w:sz="0" w:space="0" w:color="auto"/>
                  </w:divBdr>
                </w:div>
                <w:div w:id="453451623">
                  <w:marLeft w:val="0"/>
                  <w:marRight w:val="0"/>
                  <w:marTop w:val="105"/>
                  <w:marBottom w:val="105"/>
                  <w:divBdr>
                    <w:top w:val="none" w:sz="0" w:space="0" w:color="auto"/>
                    <w:left w:val="none" w:sz="0" w:space="0" w:color="auto"/>
                    <w:bottom w:val="none" w:sz="0" w:space="0" w:color="auto"/>
                    <w:right w:val="none" w:sz="0" w:space="0" w:color="auto"/>
                  </w:divBdr>
                </w:div>
                <w:div w:id="889534527">
                  <w:marLeft w:val="0"/>
                  <w:marRight w:val="0"/>
                  <w:marTop w:val="105"/>
                  <w:marBottom w:val="105"/>
                  <w:divBdr>
                    <w:top w:val="none" w:sz="0" w:space="0" w:color="auto"/>
                    <w:left w:val="none" w:sz="0" w:space="0" w:color="auto"/>
                    <w:bottom w:val="none" w:sz="0" w:space="0" w:color="auto"/>
                    <w:right w:val="none" w:sz="0" w:space="0" w:color="auto"/>
                  </w:divBdr>
                </w:div>
                <w:div w:id="1332835306">
                  <w:marLeft w:val="0"/>
                  <w:marRight w:val="0"/>
                  <w:marTop w:val="105"/>
                  <w:marBottom w:val="105"/>
                  <w:divBdr>
                    <w:top w:val="none" w:sz="0" w:space="0" w:color="auto"/>
                    <w:left w:val="none" w:sz="0" w:space="0" w:color="auto"/>
                    <w:bottom w:val="none" w:sz="0" w:space="0" w:color="auto"/>
                    <w:right w:val="none" w:sz="0" w:space="0" w:color="auto"/>
                  </w:divBdr>
                </w:div>
                <w:div w:id="2135714402">
                  <w:marLeft w:val="0"/>
                  <w:marRight w:val="0"/>
                  <w:marTop w:val="105"/>
                  <w:marBottom w:val="105"/>
                  <w:divBdr>
                    <w:top w:val="none" w:sz="0" w:space="0" w:color="auto"/>
                    <w:left w:val="none" w:sz="0" w:space="0" w:color="auto"/>
                    <w:bottom w:val="none" w:sz="0" w:space="0" w:color="auto"/>
                    <w:right w:val="none" w:sz="0" w:space="0" w:color="auto"/>
                  </w:divBdr>
                </w:div>
                <w:div w:id="155832314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227909772">
          <w:marLeft w:val="0"/>
          <w:marRight w:val="0"/>
          <w:marTop w:val="105"/>
          <w:marBottom w:val="105"/>
          <w:divBdr>
            <w:top w:val="none" w:sz="0" w:space="0" w:color="auto"/>
            <w:left w:val="none" w:sz="0" w:space="0" w:color="auto"/>
            <w:bottom w:val="none" w:sz="0" w:space="0" w:color="auto"/>
            <w:right w:val="none" w:sz="0" w:space="0" w:color="auto"/>
          </w:divBdr>
          <w:divsChild>
            <w:div w:id="93284504">
              <w:marLeft w:val="1350"/>
              <w:marRight w:val="0"/>
              <w:marTop w:val="105"/>
              <w:marBottom w:val="105"/>
              <w:divBdr>
                <w:top w:val="none" w:sz="0" w:space="0" w:color="auto"/>
                <w:left w:val="none" w:sz="0" w:space="0" w:color="auto"/>
                <w:bottom w:val="none" w:sz="0" w:space="0" w:color="auto"/>
                <w:right w:val="none" w:sz="0" w:space="0" w:color="auto"/>
              </w:divBdr>
              <w:divsChild>
                <w:div w:id="1576359685">
                  <w:marLeft w:val="0"/>
                  <w:marRight w:val="0"/>
                  <w:marTop w:val="105"/>
                  <w:marBottom w:val="105"/>
                  <w:divBdr>
                    <w:top w:val="none" w:sz="0" w:space="0" w:color="auto"/>
                    <w:left w:val="none" w:sz="0" w:space="0" w:color="auto"/>
                    <w:bottom w:val="none" w:sz="0" w:space="0" w:color="auto"/>
                    <w:right w:val="none" w:sz="0" w:space="0" w:color="auto"/>
                  </w:divBdr>
                </w:div>
                <w:div w:id="1850020192">
                  <w:marLeft w:val="0"/>
                  <w:marRight w:val="0"/>
                  <w:marTop w:val="105"/>
                  <w:marBottom w:val="105"/>
                  <w:divBdr>
                    <w:top w:val="none" w:sz="0" w:space="0" w:color="auto"/>
                    <w:left w:val="none" w:sz="0" w:space="0" w:color="auto"/>
                    <w:bottom w:val="none" w:sz="0" w:space="0" w:color="auto"/>
                    <w:right w:val="none" w:sz="0" w:space="0" w:color="auto"/>
                  </w:divBdr>
                </w:div>
                <w:div w:id="60276244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93936805">
          <w:marLeft w:val="0"/>
          <w:marRight w:val="0"/>
          <w:marTop w:val="105"/>
          <w:marBottom w:val="105"/>
          <w:divBdr>
            <w:top w:val="none" w:sz="0" w:space="0" w:color="auto"/>
            <w:left w:val="none" w:sz="0" w:space="0" w:color="auto"/>
            <w:bottom w:val="none" w:sz="0" w:space="0" w:color="auto"/>
            <w:right w:val="none" w:sz="0" w:space="0" w:color="auto"/>
          </w:divBdr>
          <w:divsChild>
            <w:div w:id="949698247">
              <w:marLeft w:val="1350"/>
              <w:marRight w:val="0"/>
              <w:marTop w:val="105"/>
              <w:marBottom w:val="105"/>
              <w:divBdr>
                <w:top w:val="none" w:sz="0" w:space="0" w:color="auto"/>
                <w:left w:val="none" w:sz="0" w:space="0" w:color="auto"/>
                <w:bottom w:val="none" w:sz="0" w:space="0" w:color="auto"/>
                <w:right w:val="none" w:sz="0" w:space="0" w:color="auto"/>
              </w:divBdr>
              <w:divsChild>
                <w:div w:id="792093832">
                  <w:marLeft w:val="0"/>
                  <w:marRight w:val="0"/>
                  <w:marTop w:val="105"/>
                  <w:marBottom w:val="105"/>
                  <w:divBdr>
                    <w:top w:val="none" w:sz="0" w:space="0" w:color="auto"/>
                    <w:left w:val="none" w:sz="0" w:space="0" w:color="auto"/>
                    <w:bottom w:val="none" w:sz="0" w:space="0" w:color="auto"/>
                    <w:right w:val="none" w:sz="0" w:space="0" w:color="auto"/>
                  </w:divBdr>
                </w:div>
                <w:div w:id="1212886034">
                  <w:marLeft w:val="0"/>
                  <w:marRight w:val="0"/>
                  <w:marTop w:val="105"/>
                  <w:marBottom w:val="105"/>
                  <w:divBdr>
                    <w:top w:val="none" w:sz="0" w:space="0" w:color="auto"/>
                    <w:left w:val="none" w:sz="0" w:space="0" w:color="auto"/>
                    <w:bottom w:val="none" w:sz="0" w:space="0" w:color="auto"/>
                    <w:right w:val="none" w:sz="0" w:space="0" w:color="auto"/>
                  </w:divBdr>
                </w:div>
                <w:div w:id="11371886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626307712">
          <w:marLeft w:val="0"/>
          <w:marRight w:val="0"/>
          <w:marTop w:val="105"/>
          <w:marBottom w:val="105"/>
          <w:divBdr>
            <w:top w:val="none" w:sz="0" w:space="0" w:color="auto"/>
            <w:left w:val="none" w:sz="0" w:space="0" w:color="auto"/>
            <w:bottom w:val="none" w:sz="0" w:space="0" w:color="auto"/>
            <w:right w:val="none" w:sz="0" w:space="0" w:color="auto"/>
          </w:divBdr>
          <w:divsChild>
            <w:div w:id="839199746">
              <w:marLeft w:val="1350"/>
              <w:marRight w:val="0"/>
              <w:marTop w:val="105"/>
              <w:marBottom w:val="105"/>
              <w:divBdr>
                <w:top w:val="none" w:sz="0" w:space="0" w:color="auto"/>
                <w:left w:val="none" w:sz="0" w:space="0" w:color="auto"/>
                <w:bottom w:val="none" w:sz="0" w:space="0" w:color="auto"/>
                <w:right w:val="none" w:sz="0" w:space="0" w:color="auto"/>
              </w:divBdr>
              <w:divsChild>
                <w:div w:id="1107236847">
                  <w:marLeft w:val="0"/>
                  <w:marRight w:val="0"/>
                  <w:marTop w:val="105"/>
                  <w:marBottom w:val="105"/>
                  <w:divBdr>
                    <w:top w:val="none" w:sz="0" w:space="0" w:color="auto"/>
                    <w:left w:val="none" w:sz="0" w:space="0" w:color="auto"/>
                    <w:bottom w:val="none" w:sz="0" w:space="0" w:color="auto"/>
                    <w:right w:val="none" w:sz="0" w:space="0" w:color="auto"/>
                  </w:divBdr>
                </w:div>
                <w:div w:id="1222131173">
                  <w:marLeft w:val="0"/>
                  <w:marRight w:val="0"/>
                  <w:marTop w:val="105"/>
                  <w:marBottom w:val="105"/>
                  <w:divBdr>
                    <w:top w:val="none" w:sz="0" w:space="0" w:color="auto"/>
                    <w:left w:val="none" w:sz="0" w:space="0" w:color="auto"/>
                    <w:bottom w:val="none" w:sz="0" w:space="0" w:color="auto"/>
                    <w:right w:val="none" w:sz="0" w:space="0" w:color="auto"/>
                  </w:divBdr>
                </w:div>
                <w:div w:id="394742083">
                  <w:marLeft w:val="0"/>
                  <w:marRight w:val="0"/>
                  <w:marTop w:val="105"/>
                  <w:marBottom w:val="105"/>
                  <w:divBdr>
                    <w:top w:val="none" w:sz="0" w:space="0" w:color="auto"/>
                    <w:left w:val="none" w:sz="0" w:space="0" w:color="auto"/>
                    <w:bottom w:val="none" w:sz="0" w:space="0" w:color="auto"/>
                    <w:right w:val="none" w:sz="0" w:space="0" w:color="auto"/>
                  </w:divBdr>
                </w:div>
                <w:div w:id="83553706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2109235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p-mop-09/cp-mop-09-dec-07-en.pdf" TargetMode="Externa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doc/decisions/cop-14/cop-14-dec-34-en.pdf"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bd.int/decision/mop/default.shtml?id=13236" TargetMode="External"/><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mop/default.shtml?id=12329"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post2020/submissions.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34C8DD865EA24214977866712BE124B5"/>
        <w:category>
          <w:name w:val="General"/>
          <w:gallery w:val="placeholder"/>
        </w:category>
        <w:types>
          <w:type w:val="bbPlcHdr"/>
        </w:types>
        <w:behaviors>
          <w:behavior w:val="content"/>
        </w:behaviors>
        <w:guid w:val="{2ADEE82F-13DD-4537-AE6B-FB577E809B5D}"/>
      </w:docPartPr>
      <w:docPartBody>
        <w:p w:rsidR="00A206FF" w:rsidRDefault="00E944C2" w:rsidP="00E944C2">
          <w:pPr>
            <w:pStyle w:val="34C8DD865EA24214977866712BE124B5"/>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DF1"/>
    <w:rsid w:val="00045D7F"/>
    <w:rsid w:val="0011323E"/>
    <w:rsid w:val="00204ED8"/>
    <w:rsid w:val="00247042"/>
    <w:rsid w:val="0037303F"/>
    <w:rsid w:val="003F6B7D"/>
    <w:rsid w:val="004743F7"/>
    <w:rsid w:val="004A6780"/>
    <w:rsid w:val="00500A2B"/>
    <w:rsid w:val="0058288D"/>
    <w:rsid w:val="005E1DAB"/>
    <w:rsid w:val="005F5728"/>
    <w:rsid w:val="005F6D9E"/>
    <w:rsid w:val="0061319C"/>
    <w:rsid w:val="0061507A"/>
    <w:rsid w:val="006801B3"/>
    <w:rsid w:val="006B71DE"/>
    <w:rsid w:val="00810A55"/>
    <w:rsid w:val="00880804"/>
    <w:rsid w:val="008C13C3"/>
    <w:rsid w:val="008C6619"/>
    <w:rsid w:val="008D420E"/>
    <w:rsid w:val="0091219B"/>
    <w:rsid w:val="0098642F"/>
    <w:rsid w:val="009C5635"/>
    <w:rsid w:val="009E012C"/>
    <w:rsid w:val="00A206FF"/>
    <w:rsid w:val="00A823A3"/>
    <w:rsid w:val="00BE2CDE"/>
    <w:rsid w:val="00C31D9B"/>
    <w:rsid w:val="00E138F1"/>
    <w:rsid w:val="00E20D33"/>
    <w:rsid w:val="00E538A3"/>
    <w:rsid w:val="00E72A59"/>
    <w:rsid w:val="00E944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4C2"/>
    <w:rPr>
      <w:color w:val="808080"/>
    </w:rPr>
  </w:style>
  <w:style w:type="paragraph" w:customStyle="1" w:styleId="277EDFE3A939412384C10CF67AB0AE30">
    <w:name w:val="277EDFE3A939412384C10CF67AB0AE30"/>
    <w:rsid w:val="005F6D9E"/>
    <w:pPr>
      <w:spacing w:after="160" w:line="259" w:lineRule="auto"/>
    </w:pPr>
    <w:rPr>
      <w:lang w:val="en-CA" w:eastAsia="en-CA"/>
    </w:rPr>
  </w:style>
  <w:style w:type="paragraph" w:customStyle="1" w:styleId="DAABBC88B03F4EFC8BD10574CEDE5335">
    <w:name w:val="DAABBC88B03F4EFC8BD10574CEDE5335"/>
    <w:rsid w:val="00E944C2"/>
    <w:pPr>
      <w:spacing w:after="160" w:line="259" w:lineRule="auto"/>
    </w:pPr>
    <w:rPr>
      <w:lang w:val="en-CA" w:eastAsia="en-CA"/>
    </w:rPr>
  </w:style>
  <w:style w:type="paragraph" w:customStyle="1" w:styleId="34C8DD865EA24214977866712BE124B5">
    <w:name w:val="34C8DD865EA24214977866712BE124B5"/>
    <w:rsid w:val="00E944C2"/>
    <w:pPr>
      <w:spacing w:after="160" w:line="259" w:lineRule="auto"/>
    </w:pPr>
    <w:rPr>
      <w:lang w:val="en-CA" w:eastAsia="en-CA"/>
    </w:rPr>
  </w:style>
  <w:style w:type="paragraph" w:customStyle="1" w:styleId="6A8D8457764244A49042F468744E01C2">
    <w:name w:val="6A8D8457764244A49042F468744E01C2"/>
    <w:rsid w:val="00E944C2"/>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9C02C7-1E97-4AC0-B3A2-18C0D889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Biosafety within the post-2020 global biodiversity framework</vt:lpstr>
    </vt:vector>
  </TitlesOfParts>
  <Company>SCBD</Company>
  <LinksUpToDate>false</LinksUpToDate>
  <CharactersWithSpaces>24265</CharactersWithSpaces>
  <SharedDoc>false</SharedDoc>
  <HyperlinkBase>https://www.cbd.int/post2020/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within the post-2020 global biodiversity framework</dc:title>
  <dc:subject>CBD/POST2020/WS/2019/7/2</dc:subject>
  <dc:creator>SCBD</dc:creator>
  <cp:keywords>Global Consultation Workshop on the Post-2020 Global Biodiversity Framework, Biosafety and the Cartagena Protocol, Nairobi, Kenya, 25 August 2019, Convention on Biological Diversity</cp:keywords>
  <dc:description/>
  <cp:lastModifiedBy>Orestes Plasencia</cp:lastModifiedBy>
  <cp:revision>4</cp:revision>
  <cp:lastPrinted>2019-07-05T14:31:00Z</cp:lastPrinted>
  <dcterms:created xsi:type="dcterms:W3CDTF">2019-07-18T22:25:00Z</dcterms:created>
  <dcterms:modified xsi:type="dcterms:W3CDTF">2019-07-18T22:26:00Z</dcterms:modified>
  <cp:contentStatus>GENERAL</cp:contentStatus>
</cp:coreProperties>
</file>