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212CCF" w:rsidRPr="00E440E5" w:rsidTr="00D15D48">
        <w:trPr>
          <w:cantSplit/>
          <w:trHeight w:val="1080"/>
        </w:trPr>
        <w:tc>
          <w:tcPr>
            <w:tcW w:w="6588" w:type="dxa"/>
            <w:gridSpan w:val="2"/>
            <w:tcBorders>
              <w:top w:val="nil"/>
              <w:left w:val="nil"/>
              <w:bottom w:val="single" w:sz="12" w:space="0" w:color="auto"/>
              <w:right w:val="nil"/>
            </w:tcBorders>
          </w:tcPr>
          <w:p w:rsidR="00212CCF" w:rsidRPr="00E440E5" w:rsidRDefault="00212CCF" w:rsidP="00D15D48">
            <w:pPr>
              <w:pStyle w:val="Heading2"/>
              <w:tabs>
                <w:tab w:val="right" w:pos="6372"/>
              </w:tabs>
              <w:spacing w:after="0"/>
              <w:jc w:val="left"/>
              <w:rPr>
                <w:rFonts w:ascii="Univers" w:hAnsi="Univers"/>
                <w:bCs w:val="0"/>
                <w:sz w:val="32"/>
                <w:szCs w:val="32"/>
                <w:lang w:val="en-CA"/>
              </w:rPr>
            </w:pPr>
            <w:bookmarkStart w:id="0" w:name="Meeting"/>
            <w:bookmarkStart w:id="1" w:name="_GoBack"/>
            <w:r w:rsidRPr="00E440E5">
              <w:rPr>
                <w:rFonts w:ascii="Univers" w:hAnsi="Univers"/>
                <w:bCs w:val="0"/>
                <w:iCs w:val="0"/>
                <w:sz w:val="32"/>
                <w:szCs w:val="32"/>
              </w:rPr>
              <w:t>CBD</w:t>
            </w:r>
          </w:p>
        </w:tc>
        <w:tc>
          <w:tcPr>
            <w:tcW w:w="1440" w:type="dxa"/>
            <w:tcBorders>
              <w:top w:val="nil"/>
              <w:left w:val="nil"/>
              <w:bottom w:val="single" w:sz="12" w:space="0" w:color="auto"/>
              <w:right w:val="nil"/>
            </w:tcBorders>
          </w:tcPr>
          <w:p w:rsidR="00212CCF" w:rsidRPr="00E440E5" w:rsidRDefault="00BE7F34" w:rsidP="00D15D48">
            <w:pPr>
              <w:tabs>
                <w:tab w:val="left" w:pos="-720"/>
              </w:tabs>
              <w:suppressAutoHyphens/>
              <w:jc w:val="center"/>
              <w:rPr>
                <w:b/>
                <w:bCs/>
                <w:lang w:bidi="ar-EG"/>
              </w:rPr>
            </w:pPr>
            <w:r>
              <w:rPr>
                <w:b/>
                <w:noProof/>
                <w:lang w:val="en-CA" w:eastAsia="en-CA"/>
              </w:rPr>
              <w:drawing>
                <wp:inline distT="0" distB="0" distL="0" distR="0">
                  <wp:extent cx="680720" cy="554355"/>
                  <wp:effectExtent l="19050" t="0" r="508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l="4395" r="4395"/>
                          <a:stretch>
                            <a:fillRect/>
                          </a:stretch>
                        </pic:blipFill>
                        <pic:spPr bwMode="auto">
                          <a:xfrm>
                            <a:off x="0" y="0"/>
                            <a:ext cx="680720" cy="554355"/>
                          </a:xfrm>
                          <a:prstGeom prst="rect">
                            <a:avLst/>
                          </a:prstGeom>
                          <a:noFill/>
                          <a:ln w="9525">
                            <a:noFill/>
                            <a:miter lim="800000"/>
                            <a:headEnd/>
                            <a:tailEnd/>
                          </a:ln>
                        </pic:spPr>
                      </pic:pic>
                    </a:graphicData>
                  </a:graphic>
                </wp:inline>
              </w:drawing>
            </w:r>
          </w:p>
        </w:tc>
        <w:tc>
          <w:tcPr>
            <w:tcW w:w="1620" w:type="dxa"/>
            <w:tcBorders>
              <w:top w:val="nil"/>
              <w:left w:val="nil"/>
              <w:bottom w:val="single" w:sz="12" w:space="0" w:color="auto"/>
              <w:right w:val="nil"/>
            </w:tcBorders>
          </w:tcPr>
          <w:p w:rsidR="00212CCF" w:rsidRPr="00E440E5" w:rsidRDefault="00BE7F34" w:rsidP="00D15D48">
            <w:pPr>
              <w:tabs>
                <w:tab w:val="left" w:pos="-720"/>
              </w:tabs>
              <w:suppressAutoHyphens/>
              <w:spacing w:before="120"/>
              <w:jc w:val="center"/>
            </w:pPr>
            <w:r>
              <w:rPr>
                <w:noProof/>
                <w:lang w:val="en-CA" w:eastAsia="en-CA"/>
              </w:rPr>
              <w:drawing>
                <wp:inline distT="0" distB="0" distL="0" distR="0">
                  <wp:extent cx="495935" cy="58356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5935" cy="583565"/>
                          </a:xfrm>
                          <a:prstGeom prst="rect">
                            <a:avLst/>
                          </a:prstGeom>
                          <a:noFill/>
                          <a:ln w="9525">
                            <a:noFill/>
                            <a:miter lim="800000"/>
                            <a:headEnd/>
                            <a:tailEnd/>
                          </a:ln>
                        </pic:spPr>
                      </pic:pic>
                    </a:graphicData>
                  </a:graphic>
                </wp:inline>
              </w:drawing>
            </w:r>
          </w:p>
          <w:p w:rsidR="00212CCF" w:rsidRPr="00E440E5" w:rsidRDefault="00212CCF" w:rsidP="00D15D48">
            <w:pPr>
              <w:tabs>
                <w:tab w:val="left" w:pos="-720"/>
              </w:tabs>
              <w:suppressAutoHyphens/>
              <w:spacing w:line="120" w:lineRule="auto"/>
            </w:pPr>
          </w:p>
        </w:tc>
      </w:tr>
      <w:tr w:rsidR="00212CCF" w:rsidRPr="00E440E5" w:rsidTr="00D15D48">
        <w:trPr>
          <w:cantSplit/>
          <w:trHeight w:val="1770"/>
        </w:trPr>
        <w:tc>
          <w:tcPr>
            <w:tcW w:w="4428" w:type="dxa"/>
            <w:tcBorders>
              <w:top w:val="nil"/>
              <w:left w:val="nil"/>
              <w:bottom w:val="single" w:sz="24" w:space="0" w:color="auto"/>
              <w:right w:val="nil"/>
            </w:tcBorders>
          </w:tcPr>
          <w:p w:rsidR="00212CCF" w:rsidRPr="007C6ED3" w:rsidRDefault="00212CCF" w:rsidP="00D15D48">
            <w:pPr>
              <w:spacing w:before="60"/>
              <w:rPr>
                <w:szCs w:val="22"/>
              </w:rPr>
            </w:pPr>
            <w:r w:rsidRPr="007C6ED3">
              <w:rPr>
                <w:szCs w:val="22"/>
              </w:rPr>
              <w:t>Distr.</w:t>
            </w:r>
          </w:p>
          <w:p w:rsidR="00212CCF" w:rsidRPr="007C6ED3" w:rsidRDefault="00212CCF" w:rsidP="00D15D48">
            <w:pPr>
              <w:rPr>
                <w:szCs w:val="22"/>
              </w:rPr>
            </w:pPr>
            <w:r w:rsidRPr="007C6ED3">
              <w:rPr>
                <w:szCs w:val="22"/>
              </w:rPr>
              <w:t>GENERAL</w:t>
            </w:r>
          </w:p>
          <w:p w:rsidR="00212CCF" w:rsidRPr="00D87ACE" w:rsidRDefault="00212CCF" w:rsidP="00212CCF">
            <w:pPr>
              <w:suppressLineNumbers/>
              <w:suppressAutoHyphens/>
              <w:kinsoku w:val="0"/>
              <w:overflowPunct w:val="0"/>
              <w:autoSpaceDE w:val="0"/>
              <w:autoSpaceDN w:val="0"/>
              <w:ind w:left="63"/>
              <w:rPr>
                <w:snapToGrid w:val="0"/>
                <w:kern w:val="22"/>
                <w:szCs w:val="22"/>
              </w:rPr>
            </w:pPr>
          </w:p>
          <w:p w:rsidR="00212CCF" w:rsidRPr="00D87ACE" w:rsidRDefault="00212CCF" w:rsidP="00212CCF">
            <w:pPr>
              <w:suppressLineNumbers/>
              <w:suppressAutoHyphens/>
              <w:kinsoku w:val="0"/>
              <w:overflowPunct w:val="0"/>
              <w:autoSpaceDE w:val="0"/>
              <w:autoSpaceDN w:val="0"/>
              <w:ind w:left="63"/>
              <w:rPr>
                <w:snapToGrid w:val="0"/>
                <w:kern w:val="22"/>
                <w:szCs w:val="22"/>
              </w:rPr>
            </w:pPr>
            <w:r w:rsidRPr="00D87ACE">
              <w:rPr>
                <w:snapToGrid w:val="0"/>
                <w:kern w:val="22"/>
                <w:szCs w:val="22"/>
              </w:rPr>
              <w:t>CBD/SBI/2/2/Add.2</w:t>
            </w:r>
          </w:p>
          <w:p w:rsidR="00212CCF" w:rsidRPr="00D87ACE" w:rsidRDefault="00212CCF" w:rsidP="00212CCF">
            <w:pPr>
              <w:suppressLineNumbers/>
              <w:suppressAutoHyphens/>
              <w:kinsoku w:val="0"/>
              <w:overflowPunct w:val="0"/>
              <w:autoSpaceDE w:val="0"/>
              <w:autoSpaceDN w:val="0"/>
              <w:ind w:left="63"/>
              <w:rPr>
                <w:snapToGrid w:val="0"/>
                <w:kern w:val="22"/>
                <w:szCs w:val="22"/>
              </w:rPr>
            </w:pPr>
            <w:r w:rsidRPr="00D87ACE">
              <w:rPr>
                <w:snapToGrid w:val="0"/>
                <w:kern w:val="22"/>
                <w:szCs w:val="22"/>
              </w:rPr>
              <w:t>13 March 2018</w:t>
            </w:r>
          </w:p>
          <w:p w:rsidR="00212CCF" w:rsidRPr="00D87ACE" w:rsidRDefault="00212CCF" w:rsidP="00212CCF">
            <w:pPr>
              <w:suppressLineNumbers/>
              <w:suppressAutoHyphens/>
              <w:kinsoku w:val="0"/>
              <w:overflowPunct w:val="0"/>
              <w:autoSpaceDE w:val="0"/>
              <w:autoSpaceDN w:val="0"/>
              <w:ind w:left="63"/>
              <w:rPr>
                <w:snapToGrid w:val="0"/>
                <w:kern w:val="22"/>
                <w:szCs w:val="22"/>
              </w:rPr>
            </w:pPr>
          </w:p>
          <w:p w:rsidR="00212CCF" w:rsidRPr="00212CCF" w:rsidRDefault="00212CCF" w:rsidP="00212CCF">
            <w:pPr>
              <w:pStyle w:val="Heading5"/>
              <w:tabs>
                <w:tab w:val="left" w:pos="-720"/>
              </w:tabs>
              <w:suppressAutoHyphens/>
              <w:spacing w:before="0" w:after="0"/>
              <w:rPr>
                <w:rFonts w:eastAsia="PMingLiU"/>
                <w:bCs w:val="0"/>
                <w:i w:val="0"/>
                <w:spacing w:val="-2"/>
                <w:szCs w:val="22"/>
                <w:lang w:val="en-US"/>
              </w:rPr>
            </w:pPr>
            <w:r w:rsidRPr="00212CCF">
              <w:rPr>
                <w:rFonts w:eastAsia="PMingLiU"/>
                <w:bCs w:val="0"/>
                <w:i w:val="0"/>
                <w:spacing w:val="-2"/>
                <w:szCs w:val="22"/>
                <w:lang w:val="en-US"/>
              </w:rPr>
              <w:t>ARABIC</w:t>
            </w:r>
          </w:p>
          <w:p w:rsidR="00212CCF" w:rsidRPr="007C6ED3" w:rsidRDefault="00212CCF" w:rsidP="00D15D48">
            <w:pPr>
              <w:tabs>
                <w:tab w:val="left" w:pos="-720"/>
              </w:tabs>
              <w:suppressAutoHyphens/>
              <w:spacing w:after="40"/>
              <w:rPr>
                <w:szCs w:val="22"/>
              </w:rPr>
            </w:pPr>
            <w:r w:rsidRPr="007C6ED3">
              <w:rPr>
                <w:szCs w:val="22"/>
              </w:rPr>
              <w:t xml:space="preserve">ORIGINAL: ENGLISH </w:t>
            </w:r>
          </w:p>
        </w:tc>
        <w:tc>
          <w:tcPr>
            <w:tcW w:w="5220" w:type="dxa"/>
            <w:gridSpan w:val="3"/>
            <w:tcBorders>
              <w:top w:val="nil"/>
              <w:left w:val="nil"/>
              <w:bottom w:val="single" w:sz="24" w:space="0" w:color="auto"/>
              <w:right w:val="nil"/>
            </w:tcBorders>
          </w:tcPr>
          <w:p w:rsidR="00212CCF" w:rsidRPr="00E440E5" w:rsidRDefault="00BE7F34" w:rsidP="00D15D48">
            <w:pPr>
              <w:tabs>
                <w:tab w:val="left" w:pos="-720"/>
              </w:tabs>
              <w:suppressAutoHyphens/>
              <w:spacing w:before="120"/>
              <w:rPr>
                <w:rtl/>
                <w:lang w:bidi="ar-EG"/>
              </w:rPr>
            </w:pPr>
            <w:r>
              <w:rPr>
                <w:b/>
                <w:bCs/>
                <w:noProof/>
                <w:sz w:val="36"/>
                <w:szCs w:val="36"/>
                <w:rtl/>
                <w:lang w:val="en-CA" w:eastAsia="en-CA"/>
              </w:rPr>
              <w:drawing>
                <wp:inline distT="0" distB="0" distL="0" distR="0">
                  <wp:extent cx="2558415" cy="1031240"/>
                  <wp:effectExtent l="19050" t="0" r="0" b="0"/>
                  <wp:docPr id="3" name="Immagin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srcRect/>
                          <a:stretch>
                            <a:fillRect/>
                          </a:stretch>
                        </pic:blipFill>
                        <pic:spPr bwMode="auto">
                          <a:xfrm>
                            <a:off x="0" y="0"/>
                            <a:ext cx="2558415" cy="1031240"/>
                          </a:xfrm>
                          <a:prstGeom prst="rect">
                            <a:avLst/>
                          </a:prstGeom>
                          <a:noFill/>
                          <a:ln w="9525">
                            <a:noFill/>
                            <a:miter lim="800000"/>
                            <a:headEnd/>
                            <a:tailEnd/>
                          </a:ln>
                        </pic:spPr>
                      </pic:pic>
                    </a:graphicData>
                  </a:graphic>
                </wp:inline>
              </w:drawing>
            </w:r>
          </w:p>
        </w:tc>
      </w:tr>
    </w:tbl>
    <w:p w:rsidR="00212CCF" w:rsidRPr="00212CCF" w:rsidRDefault="00212CCF" w:rsidP="00212CCF">
      <w:pPr>
        <w:bidi/>
        <w:spacing w:before="60" w:line="197" w:lineRule="auto"/>
        <w:jc w:val="lowKashida"/>
        <w:rPr>
          <w:rFonts w:eastAsia="YouYuan" w:cs="Simplified Arabic"/>
          <w:b/>
          <w:bCs/>
          <w:kern w:val="2"/>
          <w:sz w:val="26"/>
          <w:szCs w:val="26"/>
          <w:rtl/>
          <w:lang w:val="en-US"/>
        </w:rPr>
      </w:pPr>
      <w:r w:rsidRPr="00212CCF">
        <w:rPr>
          <w:rFonts w:eastAsia="YouYuan" w:cs="Simplified Arabic" w:hint="cs"/>
          <w:b/>
          <w:bCs/>
          <w:kern w:val="2"/>
          <w:sz w:val="26"/>
          <w:szCs w:val="26"/>
          <w:rtl/>
          <w:lang w:val="en-US"/>
        </w:rPr>
        <w:t>الهيئة الفرعية المعنية بالتنفيذ</w:t>
      </w:r>
    </w:p>
    <w:p w:rsidR="00212CCF" w:rsidRPr="00212CCF" w:rsidRDefault="00212CCF" w:rsidP="00212CCF">
      <w:pPr>
        <w:bidi/>
        <w:spacing w:line="197" w:lineRule="auto"/>
        <w:jc w:val="lowKashida"/>
        <w:rPr>
          <w:rFonts w:eastAsia="YouYuan" w:cs="Simplified Arabic"/>
          <w:kern w:val="2"/>
          <w:sz w:val="26"/>
          <w:szCs w:val="26"/>
          <w:rtl/>
          <w:lang w:val="en-US"/>
        </w:rPr>
      </w:pPr>
      <w:r w:rsidRPr="00212CCF">
        <w:rPr>
          <w:rFonts w:eastAsia="YouYuan" w:cs="Simplified Arabic" w:hint="cs"/>
          <w:kern w:val="2"/>
          <w:sz w:val="26"/>
          <w:szCs w:val="26"/>
          <w:rtl/>
          <w:lang w:val="en-US"/>
        </w:rPr>
        <w:t xml:space="preserve">الاجتماع </w:t>
      </w:r>
      <w:r>
        <w:rPr>
          <w:rFonts w:eastAsia="YouYuan" w:cs="Simplified Arabic" w:hint="cs"/>
          <w:kern w:val="2"/>
          <w:sz w:val="26"/>
          <w:szCs w:val="26"/>
          <w:rtl/>
          <w:lang w:val="en-US"/>
        </w:rPr>
        <w:t>الثاني</w:t>
      </w:r>
    </w:p>
    <w:p w:rsidR="00212CCF" w:rsidRPr="00212CCF" w:rsidRDefault="00212CCF" w:rsidP="00212CCF">
      <w:pPr>
        <w:bidi/>
        <w:spacing w:line="197" w:lineRule="auto"/>
        <w:jc w:val="lowKashida"/>
        <w:rPr>
          <w:rFonts w:eastAsia="YouYuan" w:cs="Simplified Arabic"/>
          <w:kern w:val="2"/>
          <w:sz w:val="26"/>
          <w:szCs w:val="26"/>
          <w:rtl/>
          <w:lang w:val="en-US"/>
        </w:rPr>
      </w:pPr>
      <w:r>
        <w:rPr>
          <w:rFonts w:eastAsia="YouYuan" w:cs="Simplified Arabic" w:hint="cs"/>
          <w:kern w:val="2"/>
          <w:sz w:val="26"/>
          <w:szCs w:val="26"/>
          <w:rtl/>
          <w:lang w:val="en-US"/>
        </w:rPr>
        <w:t>مونتريال</w:t>
      </w:r>
      <w:r w:rsidRPr="00212CCF">
        <w:rPr>
          <w:rFonts w:eastAsia="YouYuan" w:cs="Simplified Arabic" w:hint="cs"/>
          <w:kern w:val="2"/>
          <w:sz w:val="26"/>
          <w:szCs w:val="26"/>
          <w:rtl/>
          <w:lang w:val="en-US"/>
        </w:rPr>
        <w:t xml:space="preserve">، </w:t>
      </w:r>
      <w:r>
        <w:rPr>
          <w:rFonts w:eastAsia="YouYuan" w:cs="Simplified Arabic" w:hint="cs"/>
          <w:kern w:val="2"/>
          <w:sz w:val="26"/>
          <w:szCs w:val="26"/>
          <w:rtl/>
          <w:lang w:val="en-US"/>
        </w:rPr>
        <w:t>كندا</w:t>
      </w:r>
      <w:r w:rsidRPr="00212CCF">
        <w:rPr>
          <w:rFonts w:eastAsia="YouYuan" w:cs="Simplified Arabic" w:hint="cs"/>
          <w:kern w:val="2"/>
          <w:sz w:val="26"/>
          <w:szCs w:val="26"/>
          <w:rtl/>
          <w:lang w:val="en-US"/>
        </w:rPr>
        <w:t xml:space="preserve">، </w:t>
      </w:r>
      <w:r>
        <w:rPr>
          <w:rFonts w:eastAsia="YouYuan" w:cs="Simplified Arabic" w:hint="cs"/>
          <w:kern w:val="2"/>
          <w:sz w:val="26"/>
          <w:szCs w:val="26"/>
          <w:rtl/>
          <w:lang w:val="en-US"/>
        </w:rPr>
        <w:t>9</w:t>
      </w:r>
      <w:r w:rsidRPr="00212CCF">
        <w:rPr>
          <w:rFonts w:eastAsia="YouYuan" w:cs="Simplified Arabic" w:hint="cs"/>
          <w:kern w:val="2"/>
          <w:sz w:val="26"/>
          <w:szCs w:val="26"/>
          <w:rtl/>
          <w:lang w:val="en-US"/>
        </w:rPr>
        <w:t>-</w:t>
      </w:r>
      <w:r>
        <w:rPr>
          <w:rFonts w:eastAsia="YouYuan" w:cs="Simplified Arabic" w:hint="cs"/>
          <w:kern w:val="2"/>
          <w:sz w:val="26"/>
          <w:szCs w:val="26"/>
          <w:rtl/>
          <w:lang w:val="en-US"/>
        </w:rPr>
        <w:t>13</w:t>
      </w:r>
      <w:r w:rsidRPr="00212CCF">
        <w:rPr>
          <w:rFonts w:eastAsia="YouYuan" w:cs="Simplified Arabic" w:hint="cs"/>
          <w:kern w:val="2"/>
          <w:sz w:val="26"/>
          <w:szCs w:val="26"/>
          <w:rtl/>
          <w:lang w:val="en-US"/>
        </w:rPr>
        <w:t xml:space="preserve"> </w:t>
      </w:r>
      <w:r>
        <w:rPr>
          <w:rFonts w:eastAsia="YouYuan" w:cs="Simplified Arabic" w:hint="cs"/>
          <w:kern w:val="2"/>
          <w:sz w:val="26"/>
          <w:szCs w:val="26"/>
          <w:rtl/>
          <w:lang w:val="en-US"/>
        </w:rPr>
        <w:t>يوليه</w:t>
      </w:r>
      <w:r w:rsidRPr="00212CCF">
        <w:rPr>
          <w:rFonts w:eastAsia="YouYuan" w:cs="Simplified Arabic" w:hint="cs"/>
          <w:kern w:val="2"/>
          <w:sz w:val="26"/>
          <w:szCs w:val="26"/>
          <w:rtl/>
          <w:lang w:val="en-US"/>
        </w:rPr>
        <w:t>/</w:t>
      </w:r>
      <w:r>
        <w:rPr>
          <w:rFonts w:eastAsia="YouYuan" w:cs="Simplified Arabic" w:hint="cs"/>
          <w:kern w:val="2"/>
          <w:sz w:val="26"/>
          <w:szCs w:val="26"/>
          <w:rtl/>
          <w:lang w:val="en-US"/>
        </w:rPr>
        <w:t>تموز</w:t>
      </w:r>
      <w:r w:rsidRPr="00212CCF">
        <w:rPr>
          <w:rFonts w:eastAsia="YouYuan" w:cs="Simplified Arabic" w:hint="cs"/>
          <w:kern w:val="2"/>
          <w:sz w:val="26"/>
          <w:szCs w:val="26"/>
          <w:rtl/>
          <w:lang w:val="en-US"/>
        </w:rPr>
        <w:t xml:space="preserve"> 201</w:t>
      </w:r>
      <w:r>
        <w:rPr>
          <w:rFonts w:eastAsia="YouYuan" w:cs="Simplified Arabic" w:hint="cs"/>
          <w:kern w:val="2"/>
          <w:sz w:val="26"/>
          <w:szCs w:val="26"/>
          <w:rtl/>
          <w:lang w:val="en-US"/>
        </w:rPr>
        <w:t>8</w:t>
      </w:r>
    </w:p>
    <w:p w:rsidR="00212CCF" w:rsidRPr="00212CCF" w:rsidRDefault="00212CCF" w:rsidP="002610BF">
      <w:pPr>
        <w:bidi/>
        <w:spacing w:line="197" w:lineRule="auto"/>
        <w:jc w:val="lowKashida"/>
        <w:rPr>
          <w:rFonts w:eastAsia="YouYuan" w:cs="Simplified Arabic"/>
          <w:kern w:val="2"/>
          <w:sz w:val="26"/>
          <w:szCs w:val="26"/>
          <w:rtl/>
          <w:lang w:val="en-US"/>
        </w:rPr>
      </w:pPr>
      <w:r w:rsidRPr="00212CCF">
        <w:rPr>
          <w:rFonts w:eastAsia="YouYuan" w:cs="Simplified Arabic" w:hint="cs"/>
          <w:kern w:val="2"/>
          <w:sz w:val="26"/>
          <w:szCs w:val="26"/>
          <w:rtl/>
          <w:lang w:val="en-US"/>
        </w:rPr>
        <w:t xml:space="preserve">البند </w:t>
      </w:r>
      <w:r w:rsidR="002610BF">
        <w:rPr>
          <w:rFonts w:eastAsia="YouYuan" w:cs="Simplified Arabic" w:hint="cs"/>
          <w:kern w:val="2"/>
          <w:sz w:val="26"/>
          <w:szCs w:val="26"/>
          <w:rtl/>
          <w:lang w:val="en-US"/>
        </w:rPr>
        <w:t>3</w:t>
      </w:r>
      <w:r w:rsidRPr="00212CCF">
        <w:rPr>
          <w:rFonts w:eastAsia="YouYuan" w:cs="Simplified Arabic" w:hint="cs"/>
          <w:kern w:val="2"/>
          <w:sz w:val="26"/>
          <w:szCs w:val="26"/>
          <w:rtl/>
          <w:lang w:val="en-US"/>
        </w:rPr>
        <w:t xml:space="preserve"> من جدول الأعمال المؤقت</w:t>
      </w:r>
      <w:r w:rsidRPr="00D87ACE">
        <w:rPr>
          <w:rStyle w:val="FootnoteReference"/>
          <w:snapToGrid w:val="0"/>
          <w:kern w:val="22"/>
          <w:sz w:val="22"/>
          <w:szCs w:val="22"/>
          <w:u w:val="none"/>
          <w:lang w:eastAsia="nb-NO"/>
        </w:rPr>
        <w:footnoteReference w:customMarkFollows="1" w:id="1"/>
        <w:t>*</w:t>
      </w:r>
    </w:p>
    <w:p w:rsidR="00212CCF" w:rsidRDefault="00212CCF" w:rsidP="00212CCF">
      <w:pPr>
        <w:pStyle w:val="meetingname"/>
        <w:suppressLineNumbers/>
        <w:suppressAutoHyphens/>
        <w:kinsoku w:val="0"/>
        <w:overflowPunct w:val="0"/>
        <w:autoSpaceDE w:val="0"/>
        <w:autoSpaceDN w:val="0"/>
        <w:bidi/>
        <w:ind w:right="4398"/>
        <w:rPr>
          <w:kern w:val="22"/>
          <w:szCs w:val="22"/>
          <w:lang w:bidi="ar-EG"/>
        </w:rPr>
      </w:pPr>
    </w:p>
    <w:bookmarkEnd w:id="0"/>
    <w:p w:rsidR="00212CCF" w:rsidRPr="00212CCF" w:rsidRDefault="00212CCF" w:rsidP="00212CCF">
      <w:pPr>
        <w:bidi/>
        <w:spacing w:after="120" w:line="204" w:lineRule="auto"/>
        <w:ind w:left="1563" w:right="1418"/>
        <w:jc w:val="center"/>
        <w:rPr>
          <w:rFonts w:eastAsia="YouYuan" w:cs="Simplified Arabic"/>
          <w:b/>
          <w:bCs/>
          <w:kern w:val="2"/>
          <w:sz w:val="28"/>
          <w:szCs w:val="28"/>
          <w:rtl/>
          <w:lang w:val="en-US" w:bidi="ar-EG"/>
        </w:rPr>
      </w:pPr>
      <w:r w:rsidRPr="00212CCF">
        <w:rPr>
          <w:rFonts w:eastAsia="YouYuan" w:cs="Simplified Arabic" w:hint="cs"/>
          <w:b/>
          <w:bCs/>
          <w:kern w:val="2"/>
          <w:sz w:val="28"/>
          <w:szCs w:val="28"/>
          <w:rtl/>
          <w:lang w:val="en-US" w:bidi="ar-EG"/>
        </w:rPr>
        <w:t xml:space="preserve">تحديث التحليل المتعلق بمساهمة الأهداف التي وضعتها الأطراف والتقدم المحرز نحو تحقيق أهداف </w:t>
      </w:r>
      <w:r w:rsidR="00CC2584">
        <w:rPr>
          <w:rFonts w:eastAsia="YouYuan" w:cs="Simplified Arabic" w:hint="cs"/>
          <w:b/>
          <w:bCs/>
          <w:kern w:val="2"/>
          <w:sz w:val="28"/>
          <w:szCs w:val="28"/>
          <w:rtl/>
          <w:lang w:val="en-US" w:bidi="ar-EG"/>
        </w:rPr>
        <w:t>أيشي</w:t>
      </w:r>
      <w:r w:rsidR="00FF3E84">
        <w:rPr>
          <w:rFonts w:eastAsia="YouYuan" w:cs="Simplified Arabic" w:hint="cs"/>
          <w:b/>
          <w:bCs/>
          <w:kern w:val="2"/>
          <w:sz w:val="28"/>
          <w:szCs w:val="28"/>
          <w:rtl/>
          <w:lang w:val="en-US" w:bidi="ar-EG"/>
        </w:rPr>
        <w:t xml:space="preserve"> </w:t>
      </w:r>
      <w:r w:rsidRPr="00212CCF">
        <w:rPr>
          <w:rFonts w:eastAsia="YouYuan" w:cs="Simplified Arabic" w:hint="cs"/>
          <w:b/>
          <w:bCs/>
          <w:kern w:val="2"/>
          <w:sz w:val="28"/>
          <w:szCs w:val="28"/>
          <w:rtl/>
          <w:lang w:val="en-US" w:bidi="ar-EG"/>
        </w:rPr>
        <w:t>للتنوع البيولوجي</w:t>
      </w:r>
    </w:p>
    <w:p w:rsidR="00212CCF" w:rsidRPr="00212CCF" w:rsidRDefault="00212CCF" w:rsidP="003C3F9C">
      <w:pPr>
        <w:bidi/>
        <w:spacing w:after="120" w:line="204" w:lineRule="auto"/>
        <w:jc w:val="center"/>
        <w:rPr>
          <w:rFonts w:eastAsia="YouYuan" w:cs="Simplified Arabic"/>
          <w:i/>
          <w:iCs/>
          <w:kern w:val="2"/>
          <w:sz w:val="24"/>
          <w:rtl/>
          <w:lang w:val="en-US" w:bidi="ar-EG"/>
        </w:rPr>
      </w:pPr>
      <w:r w:rsidRPr="00212CCF">
        <w:rPr>
          <w:rFonts w:eastAsia="YouYuan" w:cs="Simplified Arabic" w:hint="cs"/>
          <w:i/>
          <w:iCs/>
          <w:kern w:val="2"/>
          <w:sz w:val="24"/>
          <w:rtl/>
          <w:lang w:val="en-US" w:bidi="ar-EG"/>
        </w:rPr>
        <w:t>مذكرة الأمين</w:t>
      </w:r>
      <w:r w:rsidR="003C3F9C">
        <w:rPr>
          <w:rFonts w:eastAsia="YouYuan" w:cs="Simplified Arabic" w:hint="cs"/>
          <w:i/>
          <w:iCs/>
          <w:kern w:val="2"/>
          <w:sz w:val="24"/>
          <w:rtl/>
          <w:lang w:val="en-US" w:bidi="ar-EG"/>
        </w:rPr>
        <w:t>ة</w:t>
      </w:r>
      <w:r w:rsidRPr="00212CCF">
        <w:rPr>
          <w:rFonts w:eastAsia="YouYuan" w:cs="Simplified Arabic" w:hint="cs"/>
          <w:i/>
          <w:iCs/>
          <w:kern w:val="2"/>
          <w:sz w:val="24"/>
          <w:rtl/>
          <w:lang w:val="en-US" w:bidi="ar-EG"/>
        </w:rPr>
        <w:t xml:space="preserve"> التنفيذي</w:t>
      </w:r>
      <w:r w:rsidR="003C3F9C">
        <w:rPr>
          <w:rFonts w:eastAsia="YouYuan" w:cs="Simplified Arabic" w:hint="cs"/>
          <w:i/>
          <w:iCs/>
          <w:kern w:val="2"/>
          <w:sz w:val="24"/>
          <w:rtl/>
          <w:lang w:val="en-US" w:bidi="ar-EG"/>
        </w:rPr>
        <w:t>ة</w:t>
      </w:r>
    </w:p>
    <w:p w:rsidR="003C3F9C" w:rsidRDefault="003C3F9C" w:rsidP="003C3F9C">
      <w:pPr>
        <w:keepNext/>
        <w:suppressLineNumbers/>
        <w:suppressAutoHyphens/>
        <w:kinsoku w:val="0"/>
        <w:overflowPunct w:val="0"/>
        <w:autoSpaceDE w:val="0"/>
        <w:autoSpaceDN w:val="0"/>
        <w:bidi/>
        <w:spacing w:before="120" w:after="120"/>
        <w:jc w:val="center"/>
        <w:rPr>
          <w:b/>
          <w:bCs/>
          <w:snapToGrid w:val="0"/>
          <w:kern w:val="22"/>
          <w:szCs w:val="22"/>
        </w:rPr>
      </w:pPr>
      <w:r>
        <w:rPr>
          <w:rFonts w:hint="cs"/>
          <w:b/>
          <w:bCs/>
          <w:snapToGrid w:val="0"/>
          <w:kern w:val="22"/>
          <w:szCs w:val="22"/>
          <w:rtl/>
        </w:rPr>
        <w:t>خلفية</w:t>
      </w:r>
    </w:p>
    <w:p w:rsidR="003C3F9C" w:rsidRPr="003C3F9C" w:rsidRDefault="003C3F9C" w:rsidP="003C3F9C">
      <w:pPr>
        <w:pStyle w:val="Para1"/>
        <w:suppressLineNumbers/>
        <w:tabs>
          <w:tab w:val="clear" w:pos="360"/>
        </w:tabs>
        <w:suppressAutoHyphens/>
        <w:kinsoku w:val="0"/>
        <w:overflowPunct w:val="0"/>
        <w:autoSpaceDE w:val="0"/>
        <w:autoSpaceDN w:val="0"/>
        <w:bidi/>
        <w:rPr>
          <w:kern w:val="22"/>
          <w:szCs w:val="22"/>
        </w:rPr>
      </w:pPr>
      <w:r w:rsidRPr="003C3F9C">
        <w:rPr>
          <w:rFonts w:hint="cs"/>
          <w:szCs w:val="22"/>
          <w:rtl/>
          <w:lang w:bidi="ar-EG"/>
        </w:rPr>
        <w:t xml:space="preserve">عند اعتماده للخطة الاستراتيجية للتنوع البيولوجي 2011-2020، دعا مؤتمر الأطراف في اتفاقية التنوع البيولوجي الأطراف إلى </w:t>
      </w:r>
      <w:r w:rsidRPr="003C3F9C">
        <w:rPr>
          <w:rFonts w:hint="cs"/>
          <w:szCs w:val="22"/>
          <w:rtl/>
        </w:rPr>
        <w:t xml:space="preserve">وضع أهداف وطنية خاصة بها، باستخدام الخطة الاستراتيجية كإطار مرن، مع مراعاة الاحتياجات والأولويات الوطنية، مع الأخذ في الحسبان المساهمات الوطنية في تحقيق أهداف </w:t>
      </w:r>
      <w:r w:rsidR="00CC2584">
        <w:rPr>
          <w:rFonts w:hint="cs"/>
          <w:szCs w:val="22"/>
          <w:rtl/>
        </w:rPr>
        <w:t>أيشي</w:t>
      </w:r>
      <w:r w:rsidR="00FF3E84">
        <w:rPr>
          <w:rFonts w:hint="cs"/>
          <w:szCs w:val="22"/>
          <w:rtl/>
        </w:rPr>
        <w:t xml:space="preserve"> </w:t>
      </w:r>
      <w:r w:rsidRPr="003C3F9C">
        <w:rPr>
          <w:rFonts w:hint="cs"/>
          <w:szCs w:val="22"/>
          <w:rtl/>
        </w:rPr>
        <w:t xml:space="preserve">العالمية للتنوع البيولوجي. كما حث الأطراف على استعراض، </w:t>
      </w:r>
      <w:r w:rsidRPr="003C3F9C">
        <w:rPr>
          <w:rFonts w:hint="cs"/>
          <w:szCs w:val="22"/>
          <w:rtl/>
          <w:lang w:bidi="ar-EG"/>
        </w:rPr>
        <w:t xml:space="preserve">وحسب مقتضى الحال تحديث ومراجعة، استراتيجياتها وخطط عملها الوطنية للتنوع البيولوجي، تمشيا مع الخطة الاستراتيجية والإرشادات المعتمدة </w:t>
      </w:r>
      <w:r w:rsidRPr="003C3F9C">
        <w:rPr>
          <w:rFonts w:hint="cs"/>
          <w:kern w:val="22"/>
          <w:szCs w:val="22"/>
          <w:rtl/>
        </w:rPr>
        <w:t xml:space="preserve">في </w:t>
      </w:r>
      <w:hyperlink r:id="rId12" w:history="1">
        <w:r w:rsidRPr="002A1BA1">
          <w:rPr>
            <w:rStyle w:val="Hyperlink"/>
            <w:rFonts w:eastAsia="Malgun Gothic" w:hint="cs"/>
            <w:szCs w:val="22"/>
            <w:rtl/>
          </w:rPr>
          <w:t>المقرر 9/9</w:t>
        </w:r>
      </w:hyperlink>
      <w:r w:rsidRPr="003C3F9C">
        <w:rPr>
          <w:rFonts w:hint="cs"/>
          <w:szCs w:val="22"/>
          <w:rtl/>
          <w:lang w:bidi="ar-EG"/>
        </w:rPr>
        <w:t xml:space="preserve">، </w:t>
      </w:r>
      <w:r w:rsidRPr="003C3F9C">
        <w:rPr>
          <w:rFonts w:hint="cs"/>
          <w:szCs w:val="22"/>
          <w:rtl/>
        </w:rPr>
        <w:t>بما في ذلك عن طريق إدماج أهدافها الوطنية في استراتيجياتها وخطط عملها الوطنية للتنوع البيولوجي، المعتمدة بوصفها أدوات للسياسات</w:t>
      </w:r>
      <w:r w:rsidRPr="003C3F9C">
        <w:rPr>
          <w:rFonts w:hint="cs"/>
          <w:szCs w:val="22"/>
          <w:rtl/>
          <w:lang w:bidi="ar-EG"/>
        </w:rPr>
        <w:t>.</w:t>
      </w:r>
    </w:p>
    <w:p w:rsidR="003C3F9C" w:rsidRDefault="003C3F9C" w:rsidP="004F625F">
      <w:pPr>
        <w:pStyle w:val="Para1"/>
        <w:suppressLineNumbers/>
        <w:tabs>
          <w:tab w:val="clear" w:pos="360"/>
        </w:tabs>
        <w:suppressAutoHyphens/>
        <w:kinsoku w:val="0"/>
        <w:overflowPunct w:val="0"/>
        <w:autoSpaceDE w:val="0"/>
        <w:autoSpaceDN w:val="0"/>
        <w:bidi/>
        <w:spacing w:before="0"/>
        <w:rPr>
          <w:rFonts w:eastAsia="Malgun Gothic"/>
          <w:kern w:val="22"/>
          <w:szCs w:val="22"/>
        </w:rPr>
      </w:pPr>
      <w:r>
        <w:rPr>
          <w:rFonts w:eastAsia="Malgun Gothic" w:hint="cs"/>
          <w:kern w:val="22"/>
          <w:szCs w:val="22"/>
          <w:rtl/>
        </w:rPr>
        <w:t>حث مؤتمر الأطراف</w:t>
      </w:r>
      <w:r w:rsidR="002610BF">
        <w:rPr>
          <w:rFonts w:eastAsia="Malgun Gothic" w:hint="cs"/>
          <w:kern w:val="22"/>
          <w:szCs w:val="22"/>
          <w:rtl/>
        </w:rPr>
        <w:t xml:space="preserve"> </w:t>
      </w:r>
      <w:r w:rsidR="002A1BA1">
        <w:rPr>
          <w:rFonts w:eastAsia="Malgun Gothic" w:hint="cs"/>
          <w:kern w:val="22"/>
          <w:szCs w:val="22"/>
          <w:rtl/>
        </w:rPr>
        <w:t>في</w:t>
      </w:r>
      <w:r w:rsidR="002610BF">
        <w:rPr>
          <w:rFonts w:eastAsia="Malgun Gothic" w:hint="cs"/>
          <w:kern w:val="22"/>
          <w:szCs w:val="22"/>
          <w:rtl/>
        </w:rPr>
        <w:t xml:space="preserve"> </w:t>
      </w:r>
      <w:hyperlink r:id="rId13" w:history="1">
        <w:r w:rsidR="002610BF" w:rsidRPr="002A1BA1">
          <w:rPr>
            <w:rStyle w:val="Hyperlink"/>
            <w:rFonts w:eastAsia="Malgun Gothic" w:hint="cs"/>
            <w:kern w:val="22"/>
            <w:szCs w:val="22"/>
            <w:rtl/>
          </w:rPr>
          <w:t>مقرره 13/1</w:t>
        </w:r>
      </w:hyperlink>
      <w:r>
        <w:rPr>
          <w:rFonts w:eastAsia="Malgun Gothic" w:hint="cs"/>
          <w:kern w:val="22"/>
          <w:szCs w:val="22"/>
          <w:rtl/>
        </w:rPr>
        <w:t xml:space="preserve"> الأطراف </w:t>
      </w:r>
      <w:r w:rsidR="004F625F">
        <w:rPr>
          <w:rFonts w:eastAsia="Malgun Gothic" w:hint="cs"/>
          <w:kern w:val="22"/>
          <w:szCs w:val="22"/>
          <w:rtl/>
        </w:rPr>
        <w:t xml:space="preserve">على أن </w:t>
      </w:r>
      <w:r>
        <w:rPr>
          <w:rFonts w:eastAsia="Malgun Gothic" w:hint="cs"/>
          <w:kern w:val="22"/>
          <w:szCs w:val="22"/>
          <w:rtl/>
        </w:rPr>
        <w:t xml:space="preserve"> تحدث وتنفذ استراتيجياتها وخطط عملها الوطنية والإقليمية في أسرع وقت ممكن </w:t>
      </w:r>
      <w:r w:rsidR="004F625F">
        <w:rPr>
          <w:rFonts w:eastAsia="Malgun Gothic" w:hint="cs"/>
          <w:kern w:val="22"/>
          <w:szCs w:val="22"/>
          <w:rtl/>
        </w:rPr>
        <w:t>إن</w:t>
      </w:r>
      <w:r>
        <w:rPr>
          <w:rFonts w:eastAsia="Malgun Gothic" w:hint="cs"/>
          <w:kern w:val="22"/>
          <w:szCs w:val="22"/>
          <w:rtl/>
        </w:rPr>
        <w:t xml:space="preserve"> </w:t>
      </w:r>
      <w:r w:rsidR="004F625F">
        <w:rPr>
          <w:rFonts w:eastAsia="Malgun Gothic" w:hint="cs"/>
          <w:kern w:val="22"/>
          <w:szCs w:val="22"/>
          <w:rtl/>
        </w:rPr>
        <w:t xml:space="preserve">لم تكن </w:t>
      </w:r>
      <w:r>
        <w:rPr>
          <w:rFonts w:eastAsia="Malgun Gothic" w:hint="cs"/>
          <w:kern w:val="22"/>
          <w:szCs w:val="22"/>
          <w:rtl/>
        </w:rPr>
        <w:t xml:space="preserve"> قد فعلت ذلك تمشيا مع</w:t>
      </w:r>
      <w:r w:rsidR="00B810C6">
        <w:rPr>
          <w:rFonts w:eastAsia="Malgun Gothic" w:hint="cs"/>
          <w:kern w:val="22"/>
          <w:szCs w:val="22"/>
          <w:rtl/>
        </w:rPr>
        <w:t xml:space="preserve"> </w:t>
      </w:r>
      <w:hyperlink r:id="rId14" w:history="1">
        <w:r w:rsidR="00B810C6" w:rsidRPr="002610BF">
          <w:rPr>
            <w:rStyle w:val="Hyperlink"/>
            <w:rFonts w:hint="cs"/>
            <w:kern w:val="22"/>
            <w:szCs w:val="22"/>
            <w:rtl/>
          </w:rPr>
          <w:t>المقرر 11/2</w:t>
        </w:r>
      </w:hyperlink>
      <w:r w:rsidRPr="004F625F">
        <w:rPr>
          <w:rFonts w:eastAsia="Malgun Gothic" w:hint="cs"/>
          <w:kern w:val="22"/>
          <w:szCs w:val="22"/>
          <w:rtl/>
        </w:rPr>
        <w:t>.</w:t>
      </w:r>
    </w:p>
    <w:p w:rsidR="003C3F9C" w:rsidRPr="00B810C6" w:rsidRDefault="003C3F9C" w:rsidP="00B810C6">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3C3F9C">
        <w:rPr>
          <w:rFonts w:hint="cs"/>
          <w:szCs w:val="22"/>
          <w:rtl/>
        </w:rPr>
        <w:t>وفي الفترة بين الاجتماع العاشر لمؤتمر الأطراف و</w:t>
      </w:r>
      <w:r>
        <w:rPr>
          <w:szCs w:val="22"/>
        </w:rPr>
        <w:t>14</w:t>
      </w:r>
      <w:r w:rsidRPr="003C3F9C">
        <w:rPr>
          <w:rFonts w:hint="cs"/>
          <w:szCs w:val="22"/>
          <w:rtl/>
        </w:rPr>
        <w:t xml:space="preserve"> </w:t>
      </w:r>
      <w:r>
        <w:rPr>
          <w:rFonts w:hint="cs"/>
          <w:szCs w:val="22"/>
          <w:rtl/>
        </w:rPr>
        <w:t>مارس</w:t>
      </w:r>
      <w:r w:rsidRPr="003C3F9C">
        <w:rPr>
          <w:rFonts w:hint="cs"/>
          <w:szCs w:val="22"/>
          <w:rtl/>
        </w:rPr>
        <w:t>/</w:t>
      </w:r>
      <w:r>
        <w:rPr>
          <w:rFonts w:hint="cs"/>
          <w:szCs w:val="22"/>
          <w:rtl/>
        </w:rPr>
        <w:t>آذار</w:t>
      </w:r>
      <w:r w:rsidRPr="003C3F9C">
        <w:rPr>
          <w:rFonts w:hint="cs"/>
          <w:szCs w:val="22"/>
          <w:rtl/>
        </w:rPr>
        <w:t xml:space="preserve"> 201</w:t>
      </w:r>
      <w:r>
        <w:rPr>
          <w:rFonts w:hint="cs"/>
          <w:szCs w:val="22"/>
          <w:rtl/>
        </w:rPr>
        <w:t>8</w:t>
      </w:r>
      <w:r w:rsidRPr="003C3F9C">
        <w:rPr>
          <w:rFonts w:hint="cs"/>
          <w:szCs w:val="22"/>
          <w:rtl/>
        </w:rPr>
        <w:t xml:space="preserve">، </w:t>
      </w:r>
      <w:r>
        <w:rPr>
          <w:rFonts w:hint="cs"/>
          <w:szCs w:val="22"/>
          <w:rtl/>
        </w:rPr>
        <w:t>وتلقت أمانة الاتفاقية المتعلقة بالتنوع البيولوجي عدد 154 من الاستراتيجيات وخطط العمل، يمثل 15 منها استراتيجيات وخطط عمل جديدة.</w:t>
      </w:r>
      <w:r w:rsidR="00B810C6" w:rsidRPr="00B810C6">
        <w:rPr>
          <w:kern w:val="22"/>
          <w:szCs w:val="22"/>
          <w:vertAlign w:val="superscript"/>
          <w:rtl/>
        </w:rPr>
        <w:footnoteReference w:id="2"/>
      </w:r>
      <w:r w:rsidR="00B810C6" w:rsidRPr="00B810C6">
        <w:rPr>
          <w:kern w:val="22"/>
          <w:szCs w:val="22"/>
          <w:vertAlign w:val="superscript"/>
        </w:rPr>
        <w:t xml:space="preserve"> </w:t>
      </w:r>
      <w:r w:rsidR="00B810C6">
        <w:rPr>
          <w:rFonts w:hint="cs"/>
          <w:kern w:val="22"/>
          <w:szCs w:val="22"/>
          <w:vertAlign w:val="superscript"/>
          <w:rtl/>
        </w:rPr>
        <w:t xml:space="preserve"> </w:t>
      </w:r>
      <w:r>
        <w:rPr>
          <w:rFonts w:hint="cs"/>
          <w:szCs w:val="22"/>
          <w:rtl/>
        </w:rPr>
        <w:t>وتتضمن الوثيقة</w:t>
      </w:r>
      <w:r w:rsidR="00B810C6">
        <w:rPr>
          <w:rFonts w:hint="cs"/>
          <w:szCs w:val="22"/>
          <w:rtl/>
        </w:rPr>
        <w:t xml:space="preserve"> </w:t>
      </w:r>
      <w:r>
        <w:rPr>
          <w:rFonts w:hint="cs"/>
          <w:szCs w:val="22"/>
          <w:rtl/>
        </w:rPr>
        <w:t xml:space="preserve"> المزيد</w:t>
      </w:r>
      <w:r w:rsidR="00B810C6">
        <w:rPr>
          <w:rFonts w:hint="cs"/>
          <w:szCs w:val="22"/>
          <w:rtl/>
        </w:rPr>
        <w:t xml:space="preserve"> من المعلومات عن تحديث وتحليل </w:t>
      </w:r>
      <w:r w:rsidR="00B810C6" w:rsidRPr="00B810C6">
        <w:rPr>
          <w:rFonts w:hint="cs"/>
          <w:szCs w:val="22"/>
          <w:rtl/>
          <w:lang w:bidi="ar-EG"/>
        </w:rPr>
        <w:t xml:space="preserve">الاستراتيجيات وخطط العمل الوطنية للتنوع البيولوجي بعد اعتماد الخطة الاستراتيجية للتنوع البيولوجي 2011-2020 في الوثيقة </w:t>
      </w:r>
      <w:r w:rsidR="00B810C6" w:rsidRPr="00954712">
        <w:rPr>
          <w:rFonts w:eastAsia="Malgun Gothic"/>
          <w:kern w:val="22"/>
          <w:szCs w:val="22"/>
        </w:rPr>
        <w:t>CBD/SBI/2</w:t>
      </w:r>
      <w:r w:rsidR="00B810C6" w:rsidRPr="0012122D">
        <w:rPr>
          <w:rFonts w:eastAsia="Malgun Gothic"/>
          <w:kern w:val="22"/>
          <w:szCs w:val="22"/>
        </w:rPr>
        <w:t>/2/Add.1</w:t>
      </w:r>
      <w:r w:rsidR="00B810C6" w:rsidRPr="00B810C6">
        <w:rPr>
          <w:rFonts w:hint="cs"/>
          <w:szCs w:val="22"/>
          <w:rtl/>
          <w:lang w:bidi="ar-EG"/>
        </w:rPr>
        <w:t>.</w:t>
      </w:r>
    </w:p>
    <w:p w:rsidR="00B810C6" w:rsidRPr="00B810C6" w:rsidRDefault="00B810C6" w:rsidP="002610BF">
      <w:pPr>
        <w:pStyle w:val="Para1"/>
        <w:suppressLineNumbers/>
        <w:tabs>
          <w:tab w:val="clear" w:pos="360"/>
        </w:tabs>
        <w:suppressAutoHyphens/>
        <w:kinsoku w:val="0"/>
        <w:overflowPunct w:val="0"/>
        <w:autoSpaceDE w:val="0"/>
        <w:autoSpaceDN w:val="0"/>
        <w:bidi/>
        <w:spacing w:before="0"/>
        <w:rPr>
          <w:szCs w:val="22"/>
        </w:rPr>
      </w:pPr>
      <w:r w:rsidRPr="00B810C6">
        <w:rPr>
          <w:rFonts w:hint="cs"/>
          <w:szCs w:val="22"/>
          <w:rtl/>
        </w:rPr>
        <w:t xml:space="preserve">وعند اعتماد الخطة الاستراتيجية، لاحظ مؤتمر الأطراف أيضا (المقرر 10/2) الحاجة إلى الإبقاء على تنفيذها قيد الاستعراض. وتعتبر التقارير الوطنية مصدرا رئيسيا للقيام بذلك. وفي </w:t>
      </w:r>
      <w:r w:rsidRPr="002A1BA1">
        <w:rPr>
          <w:rFonts w:hint="cs"/>
          <w:szCs w:val="22"/>
          <w:rtl/>
        </w:rPr>
        <w:t xml:space="preserve">المقرر </w:t>
      </w:r>
      <w:hyperlink r:id="rId15" w:history="1">
        <w:r w:rsidR="00A15740" w:rsidRPr="002610BF">
          <w:rPr>
            <w:rStyle w:val="Hyperlink"/>
            <w:rFonts w:eastAsia="Malgun Gothic" w:hint="cs"/>
            <w:kern w:val="22"/>
            <w:szCs w:val="22"/>
            <w:rtl/>
          </w:rPr>
          <w:t>10/10</w:t>
        </w:r>
      </w:hyperlink>
      <w:r w:rsidRPr="00B810C6">
        <w:rPr>
          <w:rFonts w:hint="cs"/>
          <w:szCs w:val="22"/>
          <w:rtl/>
        </w:rPr>
        <w:t xml:space="preserve">، كان مؤتمر الأطراف قد طلب إلى الأطراف تقديم تقاريرها الوطنية الخامسة بحلول 31 مارس/آذار 2014. </w:t>
      </w:r>
      <w:r w:rsidRPr="00B810C6">
        <w:rPr>
          <w:szCs w:val="22"/>
          <w:rtl/>
        </w:rPr>
        <w:t>وفي وقت لاحق، أكد</w:t>
      </w:r>
      <w:r w:rsidRPr="00B810C6">
        <w:rPr>
          <w:rFonts w:hint="cs"/>
          <w:szCs w:val="22"/>
          <w:rtl/>
        </w:rPr>
        <w:t>ت</w:t>
      </w:r>
      <w:r w:rsidRPr="00B810C6">
        <w:rPr>
          <w:szCs w:val="22"/>
          <w:rtl/>
        </w:rPr>
        <w:t xml:space="preserve"> الهيئة الفرعية للتنفيذ، في </w:t>
      </w:r>
      <w:hyperlink r:id="rId16" w:history="1">
        <w:r w:rsidR="00A15740" w:rsidRPr="002610BF">
          <w:rPr>
            <w:rStyle w:val="Hyperlink"/>
            <w:rFonts w:eastAsia="Malgun Gothic" w:hint="cs"/>
            <w:szCs w:val="22"/>
            <w:rtl/>
          </w:rPr>
          <w:t>التوصية</w:t>
        </w:r>
        <w:r w:rsidR="00A15740" w:rsidRPr="002610BF">
          <w:rPr>
            <w:rStyle w:val="Hyperlink"/>
            <w:rFonts w:eastAsia="Malgun Gothic"/>
            <w:szCs w:val="22"/>
          </w:rPr>
          <w:t xml:space="preserve"> 1/1</w:t>
        </w:r>
      </w:hyperlink>
      <w:r w:rsidRPr="004F625F">
        <w:rPr>
          <w:szCs w:val="22"/>
          <w:rtl/>
        </w:rPr>
        <w:t xml:space="preserve">، </w:t>
      </w:r>
      <w:r w:rsidRPr="00B810C6">
        <w:rPr>
          <w:szCs w:val="22"/>
          <w:rtl/>
        </w:rPr>
        <w:t xml:space="preserve">أن الاستعراض الفعال للتقدم المحرز في تنفيذ الخطة الاستراتيجية للتنوع البيولوجي 2011-2020 يعتمد على تقديم الأطراف </w:t>
      </w:r>
      <w:r w:rsidRPr="00B810C6">
        <w:rPr>
          <w:rFonts w:hint="cs"/>
          <w:szCs w:val="22"/>
          <w:rtl/>
        </w:rPr>
        <w:t>ل</w:t>
      </w:r>
      <w:r w:rsidRPr="00B810C6">
        <w:rPr>
          <w:szCs w:val="22"/>
          <w:rtl/>
        </w:rPr>
        <w:t>لمعلومات في الوقت المناسب</w:t>
      </w:r>
      <w:r w:rsidRPr="00B810C6">
        <w:rPr>
          <w:rFonts w:hint="cs"/>
          <w:szCs w:val="22"/>
          <w:rtl/>
        </w:rPr>
        <w:t xml:space="preserve">، وأشارت إلى المقررين </w:t>
      </w:r>
      <w:hyperlink r:id="rId17" w:history="1">
        <w:r w:rsidR="00A15740" w:rsidRPr="004F625F">
          <w:rPr>
            <w:rStyle w:val="Hyperlink"/>
            <w:rFonts w:hint="cs"/>
            <w:kern w:val="22"/>
            <w:szCs w:val="22"/>
            <w:u w:val="none"/>
            <w:rtl/>
          </w:rPr>
          <w:t>11/3</w:t>
        </w:r>
      </w:hyperlink>
      <w:r w:rsidRPr="004F625F">
        <w:rPr>
          <w:rFonts w:hint="cs"/>
          <w:szCs w:val="22"/>
          <w:rtl/>
        </w:rPr>
        <w:t xml:space="preserve"> و</w:t>
      </w:r>
      <w:hyperlink r:id="rId18" w:history="1">
        <w:r w:rsidR="00A15740" w:rsidRPr="004F625F">
          <w:rPr>
            <w:rStyle w:val="Hyperlink"/>
            <w:rFonts w:hint="cs"/>
            <w:kern w:val="22"/>
            <w:szCs w:val="22"/>
            <w:u w:val="none"/>
            <w:rtl/>
          </w:rPr>
          <w:t>12/</w:t>
        </w:r>
        <w:r w:rsidR="00A15740" w:rsidRPr="004F625F">
          <w:rPr>
            <w:rStyle w:val="Hyperlink"/>
            <w:kern w:val="22"/>
            <w:szCs w:val="22"/>
            <w:u w:val="none"/>
          </w:rPr>
          <w:t>2</w:t>
        </w:r>
      </w:hyperlink>
      <w:r w:rsidRPr="00B810C6">
        <w:rPr>
          <w:rFonts w:hint="cs"/>
          <w:szCs w:val="22"/>
          <w:rtl/>
        </w:rPr>
        <w:t xml:space="preserve"> ألف فحثت </w:t>
      </w:r>
      <w:r w:rsidRPr="00B810C6">
        <w:rPr>
          <w:szCs w:val="22"/>
          <w:rtl/>
        </w:rPr>
        <w:t xml:space="preserve">الأطراف التي لم تقدم </w:t>
      </w:r>
      <w:r w:rsidRPr="00B810C6">
        <w:rPr>
          <w:rFonts w:hint="cs"/>
          <w:szCs w:val="22"/>
          <w:rtl/>
        </w:rPr>
        <w:t>حتى الآن</w:t>
      </w:r>
      <w:r w:rsidRPr="00B810C6">
        <w:rPr>
          <w:szCs w:val="22"/>
          <w:rtl/>
        </w:rPr>
        <w:t xml:space="preserve"> تقاريرها الوطنية الخامسة </w:t>
      </w:r>
      <w:r w:rsidRPr="00B810C6">
        <w:rPr>
          <w:rFonts w:hint="cs"/>
          <w:szCs w:val="22"/>
          <w:rtl/>
        </w:rPr>
        <w:t>على أن تقوم</w:t>
      </w:r>
      <w:r w:rsidRPr="00B810C6">
        <w:rPr>
          <w:szCs w:val="22"/>
          <w:rtl/>
        </w:rPr>
        <w:t xml:space="preserve"> بذلك على </w:t>
      </w:r>
      <w:r w:rsidRPr="00B810C6">
        <w:rPr>
          <w:rFonts w:hint="cs"/>
          <w:szCs w:val="22"/>
          <w:rtl/>
        </w:rPr>
        <w:t>وجه السرعة</w:t>
      </w:r>
      <w:r w:rsidRPr="00B810C6">
        <w:rPr>
          <w:szCs w:val="22"/>
          <w:rtl/>
        </w:rPr>
        <w:t>، وفي موعد لا يتجاوز 30 يوني</w:t>
      </w:r>
      <w:r w:rsidRPr="00B810C6">
        <w:rPr>
          <w:rFonts w:hint="cs"/>
          <w:szCs w:val="22"/>
          <w:rtl/>
        </w:rPr>
        <w:t xml:space="preserve">ه/حزيران </w:t>
      </w:r>
      <w:r w:rsidRPr="00B810C6">
        <w:rPr>
          <w:szCs w:val="22"/>
          <w:rtl/>
        </w:rPr>
        <w:t>2016</w:t>
      </w:r>
      <w:r w:rsidRPr="00B810C6">
        <w:rPr>
          <w:rFonts w:hint="cs"/>
          <w:szCs w:val="22"/>
          <w:rtl/>
        </w:rPr>
        <w:t xml:space="preserve">. وحتى </w:t>
      </w:r>
      <w:r w:rsidR="00A15740">
        <w:rPr>
          <w:rFonts w:hint="cs"/>
          <w:szCs w:val="22"/>
          <w:rtl/>
        </w:rPr>
        <w:t>14</w:t>
      </w:r>
      <w:r w:rsidRPr="00B810C6">
        <w:rPr>
          <w:rFonts w:hint="cs"/>
          <w:szCs w:val="22"/>
          <w:rtl/>
        </w:rPr>
        <w:t xml:space="preserve"> </w:t>
      </w:r>
      <w:r w:rsidR="00A15740">
        <w:rPr>
          <w:rFonts w:hint="cs"/>
          <w:szCs w:val="22"/>
          <w:rtl/>
        </w:rPr>
        <w:t>مارس</w:t>
      </w:r>
      <w:r w:rsidRPr="00B810C6">
        <w:rPr>
          <w:rFonts w:hint="cs"/>
          <w:szCs w:val="22"/>
          <w:rtl/>
        </w:rPr>
        <w:t>/</w:t>
      </w:r>
      <w:r w:rsidR="00A15740">
        <w:rPr>
          <w:rFonts w:hint="cs"/>
          <w:szCs w:val="22"/>
          <w:rtl/>
        </w:rPr>
        <w:t>آذار</w:t>
      </w:r>
      <w:r w:rsidRPr="00B810C6">
        <w:rPr>
          <w:rFonts w:hint="cs"/>
          <w:szCs w:val="22"/>
          <w:rtl/>
        </w:rPr>
        <w:t xml:space="preserve"> 201</w:t>
      </w:r>
      <w:r w:rsidR="00A15740">
        <w:rPr>
          <w:rFonts w:hint="cs"/>
          <w:szCs w:val="22"/>
          <w:rtl/>
        </w:rPr>
        <w:t>8</w:t>
      </w:r>
      <w:r w:rsidRPr="00B810C6">
        <w:rPr>
          <w:rFonts w:hint="cs"/>
          <w:szCs w:val="22"/>
          <w:rtl/>
        </w:rPr>
        <w:t xml:space="preserve">، تم </w:t>
      </w:r>
      <w:r w:rsidR="002610BF">
        <w:rPr>
          <w:rFonts w:hint="cs"/>
          <w:szCs w:val="22"/>
          <w:rtl/>
        </w:rPr>
        <w:t>تلقى</w:t>
      </w:r>
      <w:r w:rsidRPr="00B810C6">
        <w:rPr>
          <w:rFonts w:hint="cs"/>
          <w:szCs w:val="22"/>
          <w:rtl/>
        </w:rPr>
        <w:t xml:space="preserve"> </w:t>
      </w:r>
      <w:r w:rsidR="00A15740">
        <w:rPr>
          <w:rFonts w:hint="cs"/>
          <w:szCs w:val="22"/>
          <w:rtl/>
        </w:rPr>
        <w:t>191</w:t>
      </w:r>
      <w:r w:rsidRPr="00B810C6">
        <w:rPr>
          <w:rFonts w:hint="cs"/>
          <w:szCs w:val="22"/>
          <w:rtl/>
        </w:rPr>
        <w:t xml:space="preserve"> تقريرا من التقارير الوطنية الخامسة.</w:t>
      </w:r>
    </w:p>
    <w:p w:rsidR="00A15740" w:rsidRPr="00A15740" w:rsidRDefault="00A15740"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A15740">
        <w:rPr>
          <w:rFonts w:hint="cs"/>
          <w:szCs w:val="22"/>
          <w:rtl/>
          <w:lang w:bidi="ar-EG"/>
        </w:rPr>
        <w:t xml:space="preserve">وفي </w:t>
      </w:r>
      <w:r w:rsidRPr="002A1BA1">
        <w:rPr>
          <w:rFonts w:hint="cs"/>
          <w:szCs w:val="22"/>
          <w:rtl/>
          <w:lang w:bidi="ar-EG"/>
        </w:rPr>
        <w:t xml:space="preserve">المقرر </w:t>
      </w:r>
      <w:hyperlink r:id="rId19" w:history="1">
        <w:r w:rsidRPr="002A1BA1">
          <w:rPr>
            <w:rStyle w:val="Hyperlink"/>
            <w:rFonts w:hint="cs"/>
            <w:szCs w:val="22"/>
            <w:rtl/>
            <w:lang w:bidi="ar-EG"/>
          </w:rPr>
          <w:t>10/2</w:t>
        </w:r>
      </w:hyperlink>
      <w:r w:rsidRPr="00A15740">
        <w:rPr>
          <w:rFonts w:hint="cs"/>
          <w:szCs w:val="22"/>
          <w:rtl/>
          <w:lang w:bidi="ar-EG"/>
        </w:rPr>
        <w:t xml:space="preserve">، طلب مؤتمر الأطراف كذلك إلى الأمين التنفيذي أن يعد </w:t>
      </w:r>
      <w:r w:rsidRPr="00A15740">
        <w:rPr>
          <w:rFonts w:hint="cs"/>
          <w:szCs w:val="22"/>
          <w:rtl/>
        </w:rPr>
        <w:t>تحليلا/تجميعا للإجراءات الوطنية والإقليمية وغيرها من الإجراءات، بما في ذلك وحسب الاقتضاء، الأهداف الموضوعة وفقا للخطة الاستراتيجية لتمكي</w:t>
      </w:r>
      <w:r w:rsidRPr="00A15740">
        <w:rPr>
          <w:rFonts w:hint="cs"/>
          <w:szCs w:val="22"/>
          <w:rtl/>
          <w:lang w:bidi="ar-EG"/>
        </w:rPr>
        <w:t>ــ</w:t>
      </w:r>
      <w:r w:rsidRPr="00A15740">
        <w:rPr>
          <w:rFonts w:hint="cs"/>
          <w:szCs w:val="22"/>
          <w:rtl/>
        </w:rPr>
        <w:t xml:space="preserve">ن الفريق العامل المعني </w:t>
      </w:r>
      <w:r w:rsidRPr="00A15740">
        <w:rPr>
          <w:rFonts w:hint="cs"/>
          <w:szCs w:val="22"/>
          <w:rtl/>
        </w:rPr>
        <w:lastRenderedPageBreak/>
        <w:t>باستعراض تنفيذ الاتفاقية، في اجتماعه الرابع، ومؤتمر الأطراف في اجتماعه الحادي عشر وفي اجتماعاته اللاحقة، من تقييم مساهمة هذه الأهداف الوطنية والإقليمية في تحقيق الأهداف العالمية</w:t>
      </w:r>
      <w:r w:rsidRPr="00A15740">
        <w:rPr>
          <w:rFonts w:hint="cs"/>
          <w:szCs w:val="22"/>
          <w:rtl/>
          <w:lang w:bidi="ar-EG"/>
        </w:rPr>
        <w:t>.</w:t>
      </w:r>
    </w:p>
    <w:p w:rsidR="00A15740" w:rsidRDefault="00A15740" w:rsidP="001060FB">
      <w:pPr>
        <w:pStyle w:val="Para1"/>
        <w:suppressLineNumbers/>
        <w:tabs>
          <w:tab w:val="clear" w:pos="360"/>
        </w:tabs>
        <w:suppressAutoHyphens/>
        <w:kinsoku w:val="0"/>
        <w:overflowPunct w:val="0"/>
        <w:autoSpaceDE w:val="0"/>
        <w:autoSpaceDN w:val="0"/>
        <w:bidi/>
        <w:spacing w:before="0"/>
        <w:rPr>
          <w:rFonts w:eastAsia="Malgun Gothic"/>
          <w:kern w:val="22"/>
          <w:szCs w:val="22"/>
        </w:rPr>
      </w:pPr>
      <w:r>
        <w:rPr>
          <w:rFonts w:eastAsia="Malgun Gothic" w:hint="cs"/>
          <w:kern w:val="22"/>
          <w:szCs w:val="22"/>
          <w:rtl/>
        </w:rPr>
        <w:t>واستجابة للمقرر، قامت الأمانة في هذه الوثيقة،</w:t>
      </w:r>
      <w:r w:rsidRPr="00D87ACE">
        <w:rPr>
          <w:rStyle w:val="FootnoteReference"/>
          <w:rFonts w:eastAsia="Malgun Gothic"/>
          <w:kern w:val="22"/>
          <w:sz w:val="22"/>
          <w:szCs w:val="22"/>
          <w:u w:val="none"/>
          <w:vertAlign w:val="superscript"/>
        </w:rPr>
        <w:footnoteReference w:id="3"/>
      </w:r>
      <w:r>
        <w:rPr>
          <w:rFonts w:eastAsia="Malgun Gothic" w:hint="cs"/>
          <w:kern w:val="22"/>
          <w:szCs w:val="22"/>
          <w:rtl/>
        </w:rPr>
        <w:t xml:space="preserve"> بتحديث تحليل مساهمات الأهداف التي وضعتها الأطراف والتقدم المحرز صوب تحقيق أهداف </w:t>
      </w:r>
      <w:r w:rsidR="00CC2584">
        <w:rPr>
          <w:rFonts w:eastAsia="Malgun Gothic" w:hint="cs"/>
          <w:kern w:val="22"/>
          <w:szCs w:val="22"/>
          <w:rtl/>
        </w:rPr>
        <w:t>أيشي</w:t>
      </w:r>
      <w:r>
        <w:rPr>
          <w:rFonts w:eastAsia="Malgun Gothic" w:hint="cs"/>
          <w:kern w:val="22"/>
          <w:szCs w:val="22"/>
          <w:rtl/>
        </w:rPr>
        <w:t xml:space="preserve"> للتنوع البيولوجي وإتاحته للاجتماع.</w:t>
      </w:r>
      <w:r w:rsidRPr="00A15740">
        <w:rPr>
          <w:rStyle w:val="FootnoteReference"/>
          <w:kern w:val="22"/>
          <w:sz w:val="22"/>
          <w:szCs w:val="22"/>
          <w:u w:val="none"/>
          <w:vertAlign w:val="superscript"/>
        </w:rPr>
        <w:t xml:space="preserve"> </w:t>
      </w:r>
      <w:r w:rsidRPr="00D87ACE">
        <w:rPr>
          <w:rStyle w:val="FootnoteReference"/>
          <w:kern w:val="22"/>
          <w:sz w:val="22"/>
          <w:szCs w:val="22"/>
          <w:u w:val="none"/>
          <w:vertAlign w:val="superscript"/>
        </w:rPr>
        <w:footnoteReference w:id="4"/>
      </w:r>
      <w:r>
        <w:rPr>
          <w:rFonts w:eastAsia="Malgun Gothic" w:hint="cs"/>
          <w:kern w:val="22"/>
          <w:szCs w:val="22"/>
          <w:rtl/>
        </w:rPr>
        <w:t xml:space="preserve"> و</w:t>
      </w:r>
      <w:r w:rsidR="001060FB">
        <w:rPr>
          <w:rFonts w:eastAsia="Malgun Gothic" w:hint="cs"/>
          <w:kern w:val="22"/>
          <w:szCs w:val="22"/>
          <w:rtl/>
        </w:rPr>
        <w:t>ي</w:t>
      </w:r>
      <w:r>
        <w:rPr>
          <w:rFonts w:eastAsia="Malgun Gothic" w:hint="cs"/>
          <w:kern w:val="22"/>
          <w:szCs w:val="22"/>
          <w:rtl/>
        </w:rPr>
        <w:t xml:space="preserve">ستكمل ذلك وثيقة صدرت للهيئة الفرعية للمشورة العلمية والتقنية والتكنولوجية بشأن تقييم علمي للتقدم صوب أهداف </w:t>
      </w:r>
      <w:r w:rsidR="00CC2584">
        <w:rPr>
          <w:rFonts w:eastAsia="Malgun Gothic" w:hint="cs"/>
          <w:kern w:val="22"/>
          <w:szCs w:val="22"/>
          <w:rtl/>
        </w:rPr>
        <w:t>أيشي</w:t>
      </w:r>
      <w:r>
        <w:rPr>
          <w:rFonts w:eastAsia="Malgun Gothic" w:hint="cs"/>
          <w:kern w:val="22"/>
          <w:szCs w:val="22"/>
          <w:rtl/>
        </w:rPr>
        <w:t xml:space="preserve"> للتنوع البيولوجي والخيارات المتعلقة بالإسراع بتحقيق ذلك،</w:t>
      </w:r>
      <w:r w:rsidRPr="00D87ACE">
        <w:rPr>
          <w:rStyle w:val="FootnoteReference"/>
          <w:kern w:val="22"/>
          <w:sz w:val="22"/>
          <w:szCs w:val="22"/>
          <w:u w:val="none"/>
          <w:vertAlign w:val="superscript"/>
        </w:rPr>
        <w:footnoteReference w:id="5"/>
      </w:r>
      <w:r>
        <w:rPr>
          <w:rFonts w:eastAsia="Malgun Gothic" w:hint="cs"/>
          <w:kern w:val="22"/>
          <w:szCs w:val="22"/>
          <w:rtl/>
        </w:rPr>
        <w:t xml:space="preserve"> وهو</w:t>
      </w:r>
      <w:r w:rsidR="00F62F57">
        <w:rPr>
          <w:rFonts w:eastAsia="Malgun Gothic" w:hint="cs"/>
          <w:kern w:val="22"/>
          <w:szCs w:val="22"/>
          <w:rtl/>
        </w:rPr>
        <w:t xml:space="preserve"> التقييم الذي يركز على أدلة التقدم مستقاة من الدراسات العلمية والمؤشرات ذات الصلة. </w:t>
      </w:r>
    </w:p>
    <w:p w:rsidR="00F62F57" w:rsidRPr="00F62F57" w:rsidRDefault="00F62F57" w:rsidP="00F62F57">
      <w:pPr>
        <w:bidi/>
        <w:spacing w:after="120" w:line="204" w:lineRule="auto"/>
        <w:jc w:val="center"/>
        <w:rPr>
          <w:rFonts w:eastAsia="YouYuan" w:cs="Simplified Arabic"/>
          <w:b/>
          <w:bCs/>
          <w:kern w:val="2"/>
          <w:sz w:val="28"/>
          <w:szCs w:val="28"/>
          <w:lang w:val="en-US" w:bidi="ar-EG"/>
        </w:rPr>
      </w:pPr>
      <w:r w:rsidRPr="00F62F57">
        <w:rPr>
          <w:rFonts w:eastAsia="YouYuan" w:cs="Simplified Arabic" w:hint="cs"/>
          <w:b/>
          <w:bCs/>
          <w:kern w:val="2"/>
          <w:sz w:val="28"/>
          <w:szCs w:val="28"/>
          <w:rtl/>
          <w:lang w:val="en-US" w:bidi="ar-EG"/>
        </w:rPr>
        <w:t>أولا -</w:t>
      </w:r>
      <w:r w:rsidRPr="00F62F57">
        <w:rPr>
          <w:rFonts w:eastAsia="YouYuan" w:cs="Simplified Arabic" w:hint="cs"/>
          <w:b/>
          <w:bCs/>
          <w:kern w:val="2"/>
          <w:sz w:val="28"/>
          <w:szCs w:val="28"/>
          <w:rtl/>
          <w:lang w:val="en-US" w:bidi="ar-EG"/>
        </w:rPr>
        <w:tab/>
        <w:t>المنهجية</w:t>
      </w:r>
    </w:p>
    <w:p w:rsidR="00F62F57" w:rsidRPr="00F62F57" w:rsidRDefault="00F62F57" w:rsidP="00F62F57">
      <w:pPr>
        <w:bidi/>
        <w:spacing w:after="120" w:line="204" w:lineRule="auto"/>
        <w:jc w:val="center"/>
        <w:rPr>
          <w:rFonts w:eastAsia="YouYuan" w:cs="Simplified Arabic"/>
          <w:b/>
          <w:bCs/>
          <w:kern w:val="2"/>
          <w:sz w:val="24"/>
          <w:lang w:val="en-US" w:bidi="ar-EG"/>
        </w:rPr>
      </w:pPr>
      <w:r w:rsidRPr="00F62F57">
        <w:rPr>
          <w:rFonts w:eastAsia="YouYuan" w:cs="Simplified Arabic" w:hint="cs"/>
          <w:b/>
          <w:bCs/>
          <w:kern w:val="2"/>
          <w:sz w:val="24"/>
          <w:rtl/>
          <w:lang w:val="en-US" w:bidi="ar-EG"/>
        </w:rPr>
        <w:t>ألف -</w:t>
      </w:r>
      <w:r w:rsidRPr="00F62F57">
        <w:rPr>
          <w:rFonts w:eastAsia="YouYuan" w:cs="Simplified Arabic" w:hint="cs"/>
          <w:b/>
          <w:bCs/>
          <w:kern w:val="2"/>
          <w:sz w:val="24"/>
          <w:rtl/>
          <w:lang w:val="en-US" w:bidi="ar-EG"/>
        </w:rPr>
        <w:tab/>
        <w:t>الاستراتيجيات وخطط العمل الوطنية للتنوع البيولوجي</w:t>
      </w:r>
    </w:p>
    <w:p w:rsidR="00F62F57" w:rsidRPr="00F62F57" w:rsidRDefault="00F62F57" w:rsidP="00CC258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62F57">
        <w:rPr>
          <w:rFonts w:hint="cs"/>
          <w:szCs w:val="22"/>
          <w:rtl/>
          <w:lang w:bidi="ar-EG"/>
        </w:rPr>
        <w:t>تم النظر في هذا التقييم في 154 مراجعة أو تحديث للاستراتيجيات وخطط العمل الوطنية للتنوع البيولوجي.</w:t>
      </w:r>
      <w:r w:rsidRPr="00900545">
        <w:rPr>
          <w:rStyle w:val="FootnoteReference"/>
          <w:sz w:val="22"/>
          <w:szCs w:val="22"/>
          <w:u w:val="none"/>
          <w:vertAlign w:val="superscript"/>
          <w:rtl/>
        </w:rPr>
        <w:footnoteReference w:id="6"/>
      </w:r>
      <w:r w:rsidRPr="00F62F57">
        <w:rPr>
          <w:rFonts w:hint="cs"/>
          <w:szCs w:val="22"/>
          <w:rtl/>
          <w:lang w:bidi="ar-EG"/>
        </w:rPr>
        <w:t xml:space="preserve"> وكانت هذه الاستراتيجيات وخطط العمل الوطنية التي تم النظر فيها ل</w:t>
      </w:r>
      <w:r w:rsidRPr="00F62F57">
        <w:rPr>
          <w:szCs w:val="22"/>
          <w:rtl/>
          <w:lang w:bidi="ar-EG"/>
        </w:rPr>
        <w:t>أفغانستان وألبانيا والجزائر وأندورا وأنتيغوا وبربودا والأرجنتين وأرمينيا وأستراليا والنمسا وأذربيجان والبحرين وبنغلاديش وبيلاروس وبلجيكا وبليز وبنن وبوتان والبوسنة والهرسك وبوتسوانا والبرازيل وبروني دار السلام وبوركينا فاسو بوروندي ، كابو فيردي ، كمبوديا ، الكاميرون، كندا، تشاد، شيلي، الصين، كولومبيا، جزر القمر، الكونغو، كوستاريكا، كوت ديفوار، كوبا، التشيك، جمهورية كوريا الديمقراطية الشعبية، جمهورية الكونغو الديمقراطية، الدانمرك</w:t>
      </w:r>
      <w:r>
        <w:rPr>
          <w:szCs w:val="22"/>
          <w:rtl/>
          <w:lang w:bidi="ar-EG"/>
        </w:rPr>
        <w:t>، جيبوتي</w:t>
      </w:r>
      <w:r w:rsidRPr="00F62F57">
        <w:rPr>
          <w:szCs w:val="22"/>
          <w:rtl/>
          <w:lang w:bidi="ar-EG"/>
        </w:rPr>
        <w:t>، دومينيكا، الجمهورية الدومينيكية، إكوادور، مصر، السلفادور، غينيا الاستوائية، إريتريا، إستونيا، إثيوبيا، الاتحاد الأوروبي، فنلندا، فرنسا، غامبيا، جورجيا، ألمانيا، غانا، اليونان، غرينادا، غواتيمالا، غينيا، غينيا بيساو، غيانا، هندوراس، هنغاريا، الهند</w:t>
      </w:r>
      <w:r>
        <w:rPr>
          <w:szCs w:val="22"/>
          <w:rtl/>
          <w:lang w:bidi="ar-EG"/>
        </w:rPr>
        <w:t>، إندونيسيا، إيران (جمهورية - الإسلامية)، العراق، أيرلندا، إيطاليا، جامايكا، اليابان، الأردن، كيريباتي، قرغيزستان</w:t>
      </w:r>
      <w:r w:rsidRPr="00F62F57">
        <w:rPr>
          <w:szCs w:val="22"/>
          <w:rtl/>
          <w:lang w:bidi="ar-EG"/>
        </w:rPr>
        <w:t xml:space="preserve">، </w:t>
      </w:r>
      <w:r>
        <w:rPr>
          <w:szCs w:val="22"/>
          <w:rtl/>
          <w:lang w:bidi="ar-EG"/>
        </w:rPr>
        <w:t>جمهورية لاو الديمقراطية الشعبية، لبنان</w:t>
      </w:r>
      <w:r w:rsidRPr="00F62F57">
        <w:rPr>
          <w:szCs w:val="22"/>
          <w:rtl/>
          <w:lang w:bidi="ar-EG"/>
        </w:rPr>
        <w:t>، ل</w:t>
      </w:r>
      <w:r>
        <w:rPr>
          <w:szCs w:val="22"/>
          <w:rtl/>
          <w:lang w:bidi="ar-EG"/>
        </w:rPr>
        <w:t xml:space="preserve">يبيريا، ليختنشتاين، ليتوانيا، لوكسمبورغ، مدغشقر، مالاوي، ماليزيا، جزر المالديف، مالي، مالطا، موريتانيا، موريشيوس، المكسيك، منغوليا، </w:t>
      </w:r>
      <w:r w:rsidR="00CC2584">
        <w:rPr>
          <w:rFonts w:hint="cs"/>
          <w:szCs w:val="22"/>
          <w:rtl/>
          <w:lang w:bidi="ar-EG"/>
        </w:rPr>
        <w:t>والجبل الأسود</w:t>
      </w:r>
      <w:r w:rsidRPr="00F62F57">
        <w:rPr>
          <w:szCs w:val="22"/>
          <w:rtl/>
          <w:lang w:bidi="ar-EG"/>
        </w:rPr>
        <w:t>، المغرب</w:t>
      </w:r>
      <w:r>
        <w:rPr>
          <w:szCs w:val="22"/>
          <w:rtl/>
          <w:lang w:bidi="ar-EG"/>
        </w:rPr>
        <w:t>، موزمبيق</w:t>
      </w:r>
      <w:r w:rsidRPr="00F62F57">
        <w:rPr>
          <w:szCs w:val="22"/>
          <w:rtl/>
          <w:lang w:bidi="ar-EG"/>
        </w:rPr>
        <w:t>، مي</w:t>
      </w:r>
      <w:r>
        <w:rPr>
          <w:szCs w:val="22"/>
          <w:rtl/>
          <w:lang w:bidi="ar-EG"/>
        </w:rPr>
        <w:t>انمار، ناميبيا، ناورو، نيبال</w:t>
      </w:r>
      <w:r w:rsidRPr="00F62F57">
        <w:rPr>
          <w:szCs w:val="22"/>
          <w:rtl/>
          <w:lang w:bidi="ar-EG"/>
        </w:rPr>
        <w:t>،</w:t>
      </w:r>
      <w:r>
        <w:rPr>
          <w:szCs w:val="22"/>
          <w:rtl/>
          <w:lang w:bidi="ar-EG"/>
        </w:rPr>
        <w:t xml:space="preserve"> هولندا، نيوزيلندا ، نيكاراغوا</w:t>
      </w:r>
      <w:r w:rsidRPr="00F62F57">
        <w:rPr>
          <w:szCs w:val="22"/>
          <w:rtl/>
          <w:lang w:bidi="ar-EG"/>
        </w:rPr>
        <w:t>، النيجر،</w:t>
      </w:r>
      <w:r>
        <w:rPr>
          <w:szCs w:val="22"/>
          <w:rtl/>
          <w:lang w:bidi="ar-EG"/>
        </w:rPr>
        <w:t xml:space="preserve"> نيجيريا، نيوي، النرويج، بارا</w:t>
      </w:r>
      <w:r>
        <w:rPr>
          <w:rFonts w:hint="cs"/>
          <w:szCs w:val="22"/>
          <w:rtl/>
          <w:lang w:bidi="ar-EG"/>
        </w:rPr>
        <w:t>غ</w:t>
      </w:r>
      <w:r>
        <w:rPr>
          <w:szCs w:val="22"/>
          <w:rtl/>
          <w:lang w:bidi="ar-EG"/>
        </w:rPr>
        <w:t>واي، بيرو، الفلبين، بولندا، قطر</w:t>
      </w:r>
      <w:r w:rsidRPr="00F62F57">
        <w:rPr>
          <w:szCs w:val="22"/>
          <w:rtl/>
          <w:lang w:bidi="ar-EG"/>
        </w:rPr>
        <w:t xml:space="preserve">، جمهورية كوريا وجمهورية مولدوفا ورومانيا والاتحاد الروسي ورواندا وسانت كيتس ونيفيس وساموا وسان مارينو وساو تومي وبرينسيبي والسنغال وصربيا وسيشيل وسيراليون وسلوفاكيا وجزر سليمان والصومال وجنوب أفريقيا </w:t>
      </w:r>
      <w:r w:rsidR="00CC2584" w:rsidRPr="00F62F57">
        <w:rPr>
          <w:rFonts w:hint="cs"/>
          <w:szCs w:val="22"/>
          <w:rtl/>
          <w:lang w:bidi="ar-EG"/>
        </w:rPr>
        <w:t>وإسبانيا</w:t>
      </w:r>
      <w:r w:rsidRPr="00F62F57">
        <w:rPr>
          <w:szCs w:val="22"/>
          <w:rtl/>
          <w:lang w:bidi="ar-EG"/>
        </w:rPr>
        <w:t xml:space="preserve"> وسري لانكا ، السودان ، سورينام ، سوازيلند ، السويد ، سويس</w:t>
      </w:r>
      <w:r>
        <w:rPr>
          <w:szCs w:val="22"/>
          <w:rtl/>
          <w:lang w:bidi="ar-EG"/>
        </w:rPr>
        <w:t>را ، طاجيكستان ، تايلند، تيمور- ليشتي، توغو، تونس، توفالو، أوغندا، أوكرانيا، الإمارات العربية المتحدة</w:t>
      </w:r>
      <w:r w:rsidRPr="00F62F57">
        <w:rPr>
          <w:szCs w:val="22"/>
          <w:rtl/>
          <w:lang w:bidi="ar-EG"/>
        </w:rPr>
        <w:t>، المملكة المتحدة لبر</w:t>
      </w:r>
      <w:r>
        <w:rPr>
          <w:szCs w:val="22"/>
          <w:rtl/>
          <w:lang w:bidi="ar-EG"/>
        </w:rPr>
        <w:t>يطانيا العظمى وأيرلندا الشمالية</w:t>
      </w:r>
      <w:r w:rsidRPr="00F62F57">
        <w:rPr>
          <w:szCs w:val="22"/>
          <w:rtl/>
          <w:lang w:bidi="ar-EG"/>
        </w:rPr>
        <w:t>، جمهورية تنز</w:t>
      </w:r>
      <w:r>
        <w:rPr>
          <w:szCs w:val="22"/>
          <w:rtl/>
          <w:lang w:bidi="ar-EG"/>
        </w:rPr>
        <w:t>انيا المتحدة، أوروغواي</w:t>
      </w:r>
      <w:r w:rsidRPr="00F62F57">
        <w:rPr>
          <w:szCs w:val="22"/>
          <w:rtl/>
          <w:lang w:bidi="ar-EG"/>
        </w:rPr>
        <w:t>، فنزويلا وفييت نام واليمن وزامبيا وزيمبابوي</w:t>
      </w:r>
      <w:r>
        <w:rPr>
          <w:rFonts w:hint="cs"/>
          <w:szCs w:val="22"/>
          <w:rtl/>
          <w:lang w:bidi="ar-EG"/>
        </w:rPr>
        <w:t>.</w:t>
      </w:r>
    </w:p>
    <w:p w:rsidR="00900545" w:rsidRPr="00900545" w:rsidRDefault="00900545" w:rsidP="00F95F58">
      <w:pPr>
        <w:pStyle w:val="Para1"/>
        <w:bidi/>
        <w:rPr>
          <w:szCs w:val="22"/>
          <w:lang w:bidi="ar-EG"/>
        </w:rPr>
      </w:pPr>
      <w:r w:rsidRPr="00900545">
        <w:rPr>
          <w:rFonts w:hint="cs"/>
          <w:szCs w:val="22"/>
          <w:rtl/>
          <w:lang w:bidi="ar-EG"/>
        </w:rPr>
        <w:t xml:space="preserve">وتم استعراض كل واحدة من الاستراتيجيات وخطط العمل الوطنية للتنوع البيولوجي وترسيم الأهداف الوطنية أو الالتزامات المشابهة لأهداف </w:t>
      </w:r>
      <w:r w:rsidR="00CC2584">
        <w:rPr>
          <w:rFonts w:hint="cs"/>
          <w:szCs w:val="22"/>
          <w:rtl/>
          <w:lang w:bidi="ar-EG"/>
        </w:rPr>
        <w:t>أيشي</w:t>
      </w:r>
      <w:r w:rsidR="00FF3E84">
        <w:rPr>
          <w:rFonts w:hint="cs"/>
          <w:szCs w:val="22"/>
          <w:rtl/>
          <w:lang w:bidi="ar-EG"/>
        </w:rPr>
        <w:t xml:space="preserve"> </w:t>
      </w:r>
      <w:r w:rsidRPr="00900545">
        <w:rPr>
          <w:rFonts w:hint="cs"/>
          <w:szCs w:val="22"/>
          <w:rtl/>
          <w:lang w:bidi="ar-EG"/>
        </w:rPr>
        <w:t>للتنوع البيولوجي.</w:t>
      </w:r>
      <w:r w:rsidR="00F95F58" w:rsidRPr="00F95F58">
        <w:rPr>
          <w:rStyle w:val="FootnoteReference"/>
          <w:rFonts w:eastAsia="Malgun Gothic"/>
          <w:kern w:val="22"/>
          <w:sz w:val="22"/>
          <w:szCs w:val="22"/>
          <w:u w:val="none"/>
          <w:vertAlign w:val="superscript"/>
        </w:rPr>
        <w:t xml:space="preserve"> </w:t>
      </w:r>
      <w:r w:rsidR="00F95F58" w:rsidRPr="00D87ACE">
        <w:rPr>
          <w:rStyle w:val="FootnoteReference"/>
          <w:rFonts w:eastAsia="Malgun Gothic"/>
          <w:kern w:val="22"/>
          <w:sz w:val="22"/>
          <w:szCs w:val="22"/>
          <w:u w:val="none"/>
          <w:vertAlign w:val="superscript"/>
        </w:rPr>
        <w:footnoteReference w:id="7"/>
      </w:r>
      <w:r w:rsidRPr="00900545">
        <w:rPr>
          <w:rFonts w:hint="cs"/>
          <w:szCs w:val="22"/>
          <w:rtl/>
          <w:lang w:bidi="ar-EG"/>
        </w:rPr>
        <w:t xml:space="preserve"> وقد رسم </w:t>
      </w:r>
      <w:r w:rsidR="00F95F58">
        <w:rPr>
          <w:rFonts w:hint="cs"/>
          <w:szCs w:val="22"/>
          <w:rtl/>
          <w:lang w:bidi="ar-EG"/>
        </w:rPr>
        <w:t>48</w:t>
      </w:r>
      <w:r w:rsidRPr="00900545">
        <w:rPr>
          <w:rFonts w:hint="cs"/>
          <w:szCs w:val="22"/>
          <w:rtl/>
          <w:lang w:bidi="ar-EG"/>
        </w:rPr>
        <w:t xml:space="preserve"> في المائة من الأطراف التي قدمت هذه الاستراتيجيات وخطط العمل الوطنية أهدافها الوطنية (أو التزامات مشابهة) لأهداف </w:t>
      </w:r>
      <w:r w:rsidR="00CC2584">
        <w:rPr>
          <w:rFonts w:hint="cs"/>
          <w:szCs w:val="22"/>
          <w:rtl/>
          <w:lang w:bidi="ar-EG"/>
        </w:rPr>
        <w:t>أيشي</w:t>
      </w:r>
      <w:r w:rsidR="00FF3E84">
        <w:rPr>
          <w:rFonts w:hint="cs"/>
          <w:szCs w:val="22"/>
          <w:rtl/>
          <w:lang w:bidi="ar-EG"/>
        </w:rPr>
        <w:t xml:space="preserve"> </w:t>
      </w:r>
      <w:r w:rsidRPr="00900545">
        <w:rPr>
          <w:rFonts w:hint="cs"/>
          <w:szCs w:val="22"/>
          <w:rtl/>
          <w:lang w:bidi="ar-EG"/>
        </w:rPr>
        <w:t xml:space="preserve">للتنوع البيولوجي أما مباشرة في استراتيجياتها وخطط عملها الوطنية للتنوع البيولوجي أو في تقاريرها الوطنية. وقد استخدم هذا الترسيم في هذا التقييم عند القيام به. وفي تلك الحالات التي لم يتم هذا الترسيم، صنّفت الأمانة كل هدف وطني وفقا لهدف </w:t>
      </w:r>
      <w:r w:rsidR="00CC2584">
        <w:rPr>
          <w:rFonts w:hint="cs"/>
          <w:szCs w:val="22"/>
          <w:rtl/>
          <w:lang w:bidi="ar-EG"/>
        </w:rPr>
        <w:t>أيشي</w:t>
      </w:r>
      <w:r w:rsidR="00FF3E84">
        <w:rPr>
          <w:rFonts w:hint="cs"/>
          <w:szCs w:val="22"/>
          <w:rtl/>
          <w:lang w:bidi="ar-EG"/>
        </w:rPr>
        <w:t xml:space="preserve"> </w:t>
      </w:r>
      <w:r w:rsidRPr="00900545">
        <w:rPr>
          <w:rFonts w:hint="cs"/>
          <w:szCs w:val="22"/>
          <w:rtl/>
          <w:lang w:bidi="ar-EG"/>
        </w:rPr>
        <w:t xml:space="preserve">للتنوع البيولوجي الذي يتصل به على نحو مباشر. وفي الحالات التي كان فيها هدف وطني يتعلق بعدة أهداف من أهداف </w:t>
      </w:r>
      <w:r w:rsidR="00CC2584">
        <w:rPr>
          <w:rFonts w:hint="cs"/>
          <w:szCs w:val="22"/>
          <w:rtl/>
          <w:lang w:bidi="ar-EG"/>
        </w:rPr>
        <w:t>أيشي</w:t>
      </w:r>
      <w:r w:rsidR="00FF3E84">
        <w:rPr>
          <w:rFonts w:hint="cs"/>
          <w:szCs w:val="22"/>
          <w:rtl/>
          <w:lang w:bidi="ar-EG"/>
        </w:rPr>
        <w:t xml:space="preserve"> </w:t>
      </w:r>
      <w:r w:rsidRPr="00900545">
        <w:rPr>
          <w:rFonts w:hint="cs"/>
          <w:szCs w:val="22"/>
          <w:rtl/>
          <w:lang w:bidi="ar-EG"/>
        </w:rPr>
        <w:t xml:space="preserve">للتنوع البيولوجي، تم النظر في ذلك أيضا في التقييم عن طريق تصنيف الهدف الوطني مقابل أهداف متعددة من أهداف </w:t>
      </w:r>
      <w:r w:rsidR="00CC2584">
        <w:rPr>
          <w:rFonts w:hint="cs"/>
          <w:szCs w:val="22"/>
          <w:rtl/>
          <w:lang w:bidi="ar-EG"/>
        </w:rPr>
        <w:t>أيشي</w:t>
      </w:r>
      <w:r w:rsidR="00FF3E84">
        <w:rPr>
          <w:rFonts w:hint="cs"/>
          <w:szCs w:val="22"/>
          <w:rtl/>
          <w:lang w:bidi="ar-EG"/>
        </w:rPr>
        <w:t xml:space="preserve"> </w:t>
      </w:r>
      <w:r w:rsidRPr="00900545">
        <w:rPr>
          <w:rFonts w:hint="cs"/>
          <w:szCs w:val="22"/>
          <w:rtl/>
          <w:lang w:bidi="ar-EG"/>
        </w:rPr>
        <w:t>للتنوع البيولوجي. وبعد ذلك تم تقييم الأهداف الوطنية أو الالتزامات المشابهة (مثل الأولويات أو الاستراتيجيات أو ا</w:t>
      </w:r>
      <w:r w:rsidR="001060FB">
        <w:rPr>
          <w:rFonts w:hint="cs"/>
          <w:szCs w:val="22"/>
          <w:rtl/>
          <w:lang w:bidi="ar-EG"/>
        </w:rPr>
        <w:t xml:space="preserve"> الأهداف أو ا</w:t>
      </w:r>
      <w:r w:rsidRPr="00900545">
        <w:rPr>
          <w:rFonts w:hint="cs"/>
          <w:szCs w:val="22"/>
          <w:rtl/>
          <w:lang w:bidi="ar-EG"/>
        </w:rPr>
        <w:t xml:space="preserve">لمشروعات الوطنية) مقابل مدى ومستوى الطموح المحدد في أهداف </w:t>
      </w:r>
      <w:r w:rsidR="00CC2584">
        <w:rPr>
          <w:rFonts w:hint="cs"/>
          <w:szCs w:val="22"/>
          <w:rtl/>
          <w:lang w:bidi="ar-EG"/>
        </w:rPr>
        <w:t>أيشي</w:t>
      </w:r>
      <w:r w:rsidR="00FF3E84">
        <w:rPr>
          <w:rFonts w:hint="cs"/>
          <w:szCs w:val="22"/>
          <w:rtl/>
          <w:lang w:bidi="ar-EG"/>
        </w:rPr>
        <w:t xml:space="preserve"> </w:t>
      </w:r>
      <w:r w:rsidRPr="00900545">
        <w:rPr>
          <w:rFonts w:hint="cs"/>
          <w:szCs w:val="22"/>
          <w:rtl/>
          <w:lang w:bidi="ar-EG"/>
        </w:rPr>
        <w:t xml:space="preserve">للتنوع البيولوجي. وبالإضافة إلى ذلك، تم النظر أيضا في أية إجراءات ترتبط بذلك وأهداف فرعية أو أهداف محددة للنظم الإيكولوجية والمناطق الأحيائية المتصلة بالهدف الوطنية. وبعد ذلك، تم تصنيف الأهداف والالتزامات المشابهة في كل واحدة من الاستراتيجيات وخطط العمل الوطنية للتنوع البيولوجي في واحدة من الفئات </w:t>
      </w:r>
      <w:r w:rsidR="00F95F58">
        <w:rPr>
          <w:rFonts w:hint="cs"/>
          <w:szCs w:val="22"/>
          <w:rtl/>
          <w:lang w:bidi="ar-EG"/>
        </w:rPr>
        <w:t>الأربعة</w:t>
      </w:r>
      <w:r w:rsidRPr="00900545">
        <w:rPr>
          <w:rFonts w:hint="cs"/>
          <w:szCs w:val="22"/>
          <w:rtl/>
          <w:lang w:bidi="ar-EG"/>
        </w:rPr>
        <w:t xml:space="preserve"> التالية:</w:t>
      </w:r>
    </w:p>
    <w:p w:rsidR="009049C2" w:rsidRPr="00F95F58" w:rsidRDefault="00F95F58" w:rsidP="00212CCF">
      <w:pPr>
        <w:pStyle w:val="Para1"/>
        <w:numPr>
          <w:ilvl w:val="1"/>
          <w:numId w:val="6"/>
        </w:numPr>
        <w:suppressLineNumbers/>
        <w:suppressAutoHyphens/>
        <w:kinsoku w:val="0"/>
        <w:overflowPunct w:val="0"/>
        <w:autoSpaceDE w:val="0"/>
        <w:autoSpaceDN w:val="0"/>
        <w:bidi/>
        <w:spacing w:before="0" w:after="80"/>
        <w:rPr>
          <w:rFonts w:eastAsia="Malgun Gothic"/>
          <w:kern w:val="22"/>
          <w:szCs w:val="22"/>
        </w:rPr>
      </w:pPr>
      <w:r w:rsidRPr="00F95F58">
        <w:rPr>
          <w:rFonts w:hint="cs"/>
          <w:i/>
          <w:iCs/>
          <w:color w:val="333333"/>
          <w:szCs w:val="22"/>
          <w:rtl/>
          <w:lang w:bidi="ar-EG"/>
        </w:rPr>
        <w:t xml:space="preserve">الهدف الوطني تجاوز مدى أو مستوى الطموح لهدف </w:t>
      </w:r>
      <w:r w:rsidR="00CC2584">
        <w:rPr>
          <w:rFonts w:hint="cs"/>
          <w:i/>
          <w:iCs/>
          <w:color w:val="333333"/>
          <w:szCs w:val="22"/>
          <w:rtl/>
          <w:lang w:bidi="ar-EG"/>
        </w:rPr>
        <w:t>أيشي</w:t>
      </w:r>
      <w:r w:rsidR="00FF3E84">
        <w:rPr>
          <w:rFonts w:hint="cs"/>
          <w:i/>
          <w:iCs/>
          <w:color w:val="333333"/>
          <w:szCs w:val="22"/>
          <w:rtl/>
          <w:lang w:bidi="ar-EG"/>
        </w:rPr>
        <w:t xml:space="preserve"> </w:t>
      </w:r>
      <w:r w:rsidRPr="00F95F58">
        <w:rPr>
          <w:color w:val="333333"/>
          <w:szCs w:val="22"/>
          <w:rtl/>
          <w:lang w:bidi="ar-EG"/>
        </w:rPr>
        <w:t>–</w:t>
      </w:r>
      <w:r w:rsidRPr="00F95F58">
        <w:rPr>
          <w:rFonts w:hint="cs"/>
          <w:color w:val="333333"/>
          <w:szCs w:val="22"/>
          <w:rtl/>
          <w:lang w:bidi="ar-EG"/>
        </w:rPr>
        <w:t xml:space="preserve"> تشير هذه الفئة إلى أن الهدف الوطني أو الالتزام المشابه أكثر طموحا من هدف </w:t>
      </w:r>
      <w:r w:rsidR="00CC2584">
        <w:rPr>
          <w:rFonts w:hint="cs"/>
          <w:color w:val="333333"/>
          <w:szCs w:val="22"/>
          <w:rtl/>
          <w:lang w:bidi="ar-EG"/>
        </w:rPr>
        <w:t>أيشي</w:t>
      </w:r>
      <w:r w:rsidR="00FF3E84">
        <w:rPr>
          <w:rFonts w:hint="cs"/>
          <w:color w:val="333333"/>
          <w:szCs w:val="22"/>
          <w:rtl/>
          <w:lang w:bidi="ar-EG"/>
        </w:rPr>
        <w:t xml:space="preserve"> </w:t>
      </w:r>
      <w:r w:rsidRPr="00F95F58">
        <w:rPr>
          <w:rFonts w:hint="cs"/>
          <w:color w:val="333333"/>
          <w:szCs w:val="22"/>
          <w:rtl/>
          <w:lang w:bidi="ar-EG"/>
        </w:rPr>
        <w:t>للتنوع البيولوجي. ويمكن أن يكون السبب في ذلك أن الهدف لديه عتبات كمية أعلى أو يحتوي على التزامات تتجاوز الالتزامات المحددة في هدف أيشي؛</w:t>
      </w:r>
    </w:p>
    <w:p w:rsidR="009049C2" w:rsidRPr="00F95F58" w:rsidRDefault="00F95F58" w:rsidP="00212CCF">
      <w:pPr>
        <w:pStyle w:val="Para1"/>
        <w:numPr>
          <w:ilvl w:val="1"/>
          <w:numId w:val="6"/>
        </w:numPr>
        <w:suppressLineNumbers/>
        <w:suppressAutoHyphens/>
        <w:kinsoku w:val="0"/>
        <w:overflowPunct w:val="0"/>
        <w:autoSpaceDE w:val="0"/>
        <w:autoSpaceDN w:val="0"/>
        <w:bidi/>
        <w:spacing w:before="0" w:after="80"/>
        <w:rPr>
          <w:rFonts w:eastAsia="Malgun Gothic"/>
          <w:kern w:val="22"/>
          <w:szCs w:val="22"/>
        </w:rPr>
      </w:pPr>
      <w:r w:rsidRPr="00F95F58">
        <w:rPr>
          <w:rFonts w:hint="cs"/>
          <w:i/>
          <w:iCs/>
          <w:color w:val="333333"/>
          <w:szCs w:val="22"/>
          <w:rtl/>
          <w:lang w:bidi="ar-EG"/>
        </w:rPr>
        <w:t xml:space="preserve">تناسب الهدف الوطني مع هدف </w:t>
      </w:r>
      <w:r w:rsidR="00CC2584">
        <w:rPr>
          <w:rFonts w:hint="cs"/>
          <w:i/>
          <w:iCs/>
          <w:color w:val="333333"/>
          <w:szCs w:val="22"/>
          <w:rtl/>
          <w:lang w:bidi="ar-EG"/>
        </w:rPr>
        <w:t>أيشي</w:t>
      </w:r>
      <w:r w:rsidR="00FF3E84">
        <w:rPr>
          <w:rFonts w:hint="cs"/>
          <w:i/>
          <w:iCs/>
          <w:color w:val="333333"/>
          <w:szCs w:val="22"/>
          <w:rtl/>
          <w:lang w:bidi="ar-EG"/>
        </w:rPr>
        <w:t xml:space="preserve"> </w:t>
      </w:r>
      <w:r w:rsidRPr="00F95F58">
        <w:rPr>
          <w:color w:val="333333"/>
          <w:szCs w:val="22"/>
          <w:rtl/>
          <w:lang w:bidi="ar-EG"/>
        </w:rPr>
        <w:t>–</w:t>
      </w:r>
      <w:r w:rsidRPr="00F95F58">
        <w:rPr>
          <w:rFonts w:hint="cs"/>
          <w:color w:val="333333"/>
          <w:szCs w:val="22"/>
          <w:rtl/>
          <w:lang w:bidi="ar-EG"/>
        </w:rPr>
        <w:t xml:space="preserve"> تشير هذه الفئة إلى أن الهدف الوطني أو الالتزام المشابه يتناسب على نحو واسع مع مدى ومستوى الطموح في هدف أيشي؛</w:t>
      </w:r>
    </w:p>
    <w:p w:rsidR="00F95F58" w:rsidRPr="00F95F58" w:rsidRDefault="00F95F58" w:rsidP="00212CCF">
      <w:pPr>
        <w:pStyle w:val="Para1"/>
        <w:numPr>
          <w:ilvl w:val="1"/>
          <w:numId w:val="6"/>
        </w:numPr>
        <w:suppressLineNumbers/>
        <w:suppressAutoHyphens/>
        <w:kinsoku w:val="0"/>
        <w:overflowPunct w:val="0"/>
        <w:autoSpaceDE w:val="0"/>
        <w:autoSpaceDN w:val="0"/>
        <w:bidi/>
        <w:spacing w:before="0" w:after="80"/>
        <w:rPr>
          <w:rFonts w:eastAsia="Malgun Gothic"/>
          <w:kern w:val="22"/>
          <w:szCs w:val="22"/>
        </w:rPr>
      </w:pPr>
      <w:r w:rsidRPr="00F95F58">
        <w:rPr>
          <w:rFonts w:hint="cs"/>
          <w:i/>
          <w:iCs/>
          <w:color w:val="333333"/>
          <w:szCs w:val="22"/>
          <w:rtl/>
          <w:lang w:bidi="ar-EG"/>
        </w:rPr>
        <w:lastRenderedPageBreak/>
        <w:t xml:space="preserve">الهدف الوطني أقل طموحا من هدف </w:t>
      </w:r>
      <w:r w:rsidR="00CC2584">
        <w:rPr>
          <w:rFonts w:hint="cs"/>
          <w:i/>
          <w:iCs/>
          <w:color w:val="333333"/>
          <w:szCs w:val="22"/>
          <w:rtl/>
          <w:lang w:bidi="ar-EG"/>
        </w:rPr>
        <w:t>أيشي</w:t>
      </w:r>
      <w:r w:rsidR="00FF3E84">
        <w:rPr>
          <w:rFonts w:hint="cs"/>
          <w:i/>
          <w:iCs/>
          <w:color w:val="333333"/>
          <w:szCs w:val="22"/>
          <w:rtl/>
          <w:lang w:bidi="ar-EG"/>
        </w:rPr>
        <w:t xml:space="preserve"> </w:t>
      </w:r>
      <w:r w:rsidRPr="00F95F58">
        <w:rPr>
          <w:rFonts w:hint="cs"/>
          <w:i/>
          <w:iCs/>
          <w:color w:val="333333"/>
          <w:szCs w:val="22"/>
          <w:rtl/>
          <w:lang w:bidi="ar-EG"/>
        </w:rPr>
        <w:t>أو لا يعالج جميع عناصره</w:t>
      </w:r>
      <w:r w:rsidRPr="00F95F58">
        <w:rPr>
          <w:rFonts w:hint="cs"/>
          <w:color w:val="333333"/>
          <w:szCs w:val="22"/>
          <w:rtl/>
          <w:lang w:bidi="ar-EG"/>
        </w:rPr>
        <w:t xml:space="preserve"> - تشير هذه الفئة إلى أن الهدف الوطني له عتبة أقل بالنسبة لمسائل معينة أو لا يعالج بوضوح جميع عناصر هدف أيشي. ويشمل ذلك الأهداف الأقل من هدف </w:t>
      </w:r>
      <w:r w:rsidR="00CC2584">
        <w:rPr>
          <w:rFonts w:hint="cs"/>
          <w:color w:val="333333"/>
          <w:szCs w:val="22"/>
          <w:rtl/>
          <w:lang w:bidi="ar-EG"/>
        </w:rPr>
        <w:t>أيشي</w:t>
      </w:r>
      <w:r w:rsidR="00FF3E84">
        <w:rPr>
          <w:rFonts w:hint="cs"/>
          <w:color w:val="333333"/>
          <w:szCs w:val="22"/>
          <w:rtl/>
          <w:lang w:bidi="ar-EG"/>
        </w:rPr>
        <w:t xml:space="preserve"> </w:t>
      </w:r>
      <w:r w:rsidRPr="00F95F58">
        <w:rPr>
          <w:rFonts w:hint="cs"/>
          <w:color w:val="333333"/>
          <w:szCs w:val="22"/>
          <w:rtl/>
          <w:lang w:bidi="ar-EG"/>
        </w:rPr>
        <w:t xml:space="preserve">للتنوع البيولوجي بدرجة كبيرة فضلا عن الأهداف التي قام طرف بترسيمها وفقا لهدف </w:t>
      </w:r>
      <w:r w:rsidR="00CC2584">
        <w:rPr>
          <w:rFonts w:hint="cs"/>
          <w:color w:val="333333"/>
          <w:szCs w:val="22"/>
          <w:rtl/>
          <w:lang w:bidi="ar-EG"/>
        </w:rPr>
        <w:t>أيشي</w:t>
      </w:r>
      <w:r w:rsidR="00FF3E84">
        <w:rPr>
          <w:rFonts w:hint="cs"/>
          <w:color w:val="333333"/>
          <w:szCs w:val="22"/>
          <w:rtl/>
          <w:lang w:bidi="ar-EG"/>
        </w:rPr>
        <w:t xml:space="preserve"> </w:t>
      </w:r>
      <w:r w:rsidRPr="00F95F58">
        <w:rPr>
          <w:rFonts w:hint="cs"/>
          <w:color w:val="333333"/>
          <w:szCs w:val="22"/>
          <w:rtl/>
          <w:lang w:bidi="ar-EG"/>
        </w:rPr>
        <w:t>والتي لا توجد علاقة واضحة بين الاثنين؛</w:t>
      </w:r>
    </w:p>
    <w:p w:rsidR="00F95F58" w:rsidRPr="00F95F58" w:rsidRDefault="00F95F58" w:rsidP="00212CCF">
      <w:pPr>
        <w:pStyle w:val="Para1"/>
        <w:numPr>
          <w:ilvl w:val="1"/>
          <w:numId w:val="6"/>
        </w:numPr>
        <w:suppressLineNumbers/>
        <w:suppressAutoHyphens/>
        <w:kinsoku w:val="0"/>
        <w:overflowPunct w:val="0"/>
        <w:autoSpaceDE w:val="0"/>
        <w:autoSpaceDN w:val="0"/>
        <w:bidi/>
        <w:spacing w:before="0"/>
        <w:rPr>
          <w:rFonts w:eastAsia="Malgun Gothic"/>
          <w:kern w:val="22"/>
          <w:szCs w:val="22"/>
        </w:rPr>
      </w:pPr>
      <w:r w:rsidRPr="00F95F58">
        <w:rPr>
          <w:rFonts w:hint="cs"/>
          <w:i/>
          <w:iCs/>
          <w:color w:val="333333"/>
          <w:szCs w:val="22"/>
          <w:rtl/>
          <w:lang w:bidi="ar-EG"/>
        </w:rPr>
        <w:t xml:space="preserve">لا توجد أهداف وطنية </w:t>
      </w:r>
      <w:r w:rsidRPr="00F95F58">
        <w:rPr>
          <w:color w:val="333333"/>
          <w:szCs w:val="22"/>
          <w:rtl/>
          <w:lang w:bidi="ar-EG"/>
        </w:rPr>
        <w:t>–</w:t>
      </w:r>
      <w:r w:rsidRPr="00F95F58">
        <w:rPr>
          <w:rFonts w:hint="cs"/>
          <w:color w:val="333333"/>
          <w:szCs w:val="22"/>
          <w:rtl/>
          <w:lang w:bidi="ar-EG"/>
        </w:rPr>
        <w:t xml:space="preserve"> لا تحتوي الاستراتيجية أو خطة العمل الوطنية للتنوع البيولوجي على هدف أو التزام مشابه يتصل بهدف </w:t>
      </w:r>
      <w:r w:rsidR="00CC2584">
        <w:rPr>
          <w:rFonts w:hint="cs"/>
          <w:color w:val="333333"/>
          <w:szCs w:val="22"/>
          <w:rtl/>
          <w:lang w:bidi="ar-EG"/>
        </w:rPr>
        <w:t>أيشي</w:t>
      </w:r>
      <w:r w:rsidR="00FF3E84">
        <w:rPr>
          <w:rFonts w:hint="cs"/>
          <w:color w:val="333333"/>
          <w:szCs w:val="22"/>
          <w:rtl/>
          <w:lang w:bidi="ar-EG"/>
        </w:rPr>
        <w:t xml:space="preserve"> </w:t>
      </w:r>
      <w:r w:rsidRPr="00F95F58">
        <w:rPr>
          <w:rFonts w:hint="cs"/>
          <w:color w:val="333333"/>
          <w:szCs w:val="22"/>
          <w:rtl/>
          <w:lang w:bidi="ar-EG"/>
        </w:rPr>
        <w:t>للتنوع البيولوجي.</w:t>
      </w:r>
    </w:p>
    <w:p w:rsidR="00291303" w:rsidRPr="00291303" w:rsidRDefault="00291303"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291303">
        <w:rPr>
          <w:rFonts w:hint="cs"/>
          <w:szCs w:val="22"/>
          <w:rtl/>
          <w:lang w:bidi="ar-EG"/>
        </w:rPr>
        <w:t xml:space="preserve">وتجدر ملاحظة أن هذا التقييم أجري بالنظر إلى مدى ومستوى الطموح في الهدف الوطني مقابل مثيله في هدف أيشي. ولم ينظر في الظروف الوطنية لبلد ما. ولذلك، فإن بعض الأهداف، التي إذا قورنت بهدف أيشي، تكون أقل من هدف </w:t>
      </w:r>
      <w:r w:rsidR="00CC2584">
        <w:rPr>
          <w:rFonts w:hint="cs"/>
          <w:szCs w:val="22"/>
          <w:rtl/>
          <w:lang w:bidi="ar-EG"/>
        </w:rPr>
        <w:t>أيشي</w:t>
      </w:r>
      <w:r w:rsidR="00FF3E84">
        <w:rPr>
          <w:rFonts w:hint="cs"/>
          <w:szCs w:val="22"/>
          <w:rtl/>
          <w:lang w:bidi="ar-EG"/>
        </w:rPr>
        <w:t xml:space="preserve"> </w:t>
      </w:r>
      <w:r w:rsidRPr="00291303">
        <w:rPr>
          <w:rFonts w:hint="cs"/>
          <w:szCs w:val="22"/>
          <w:rtl/>
          <w:lang w:bidi="ar-EG"/>
        </w:rPr>
        <w:t xml:space="preserve">قد تكون مع ذلك طموحة في ضوء نقطة البداية في البلد. ولهذا السبب، لا يمكن استخدام التقييم لبناء المقارنات بين البلدان بل يستخدم فقط لإرشاد مناقشة حول التقدم العالمي المحرز نحو تحقيق أهداف </w:t>
      </w:r>
      <w:r w:rsidR="00CC2584">
        <w:rPr>
          <w:rFonts w:hint="cs"/>
          <w:szCs w:val="22"/>
          <w:rtl/>
          <w:lang w:bidi="ar-EG"/>
        </w:rPr>
        <w:t>أيشي</w:t>
      </w:r>
      <w:r w:rsidR="00FF3E84">
        <w:rPr>
          <w:rFonts w:hint="cs"/>
          <w:szCs w:val="22"/>
          <w:rtl/>
          <w:lang w:bidi="ar-EG"/>
        </w:rPr>
        <w:t xml:space="preserve"> </w:t>
      </w:r>
      <w:r w:rsidRPr="00291303">
        <w:rPr>
          <w:rFonts w:hint="cs"/>
          <w:szCs w:val="22"/>
          <w:rtl/>
          <w:lang w:bidi="ar-EG"/>
        </w:rPr>
        <w:t>للتنوع البيولوجي.</w:t>
      </w:r>
    </w:p>
    <w:p w:rsidR="00291303" w:rsidRDefault="00291303" w:rsidP="00212CCF">
      <w:pPr>
        <w:suppressLineNumbers/>
        <w:suppressAutoHyphens/>
        <w:kinsoku w:val="0"/>
        <w:overflowPunct w:val="0"/>
        <w:autoSpaceDE w:val="0"/>
        <w:autoSpaceDN w:val="0"/>
        <w:bidi/>
        <w:spacing w:after="120"/>
        <w:jc w:val="center"/>
        <w:rPr>
          <w:b/>
          <w:bCs/>
          <w:snapToGrid w:val="0"/>
          <w:kern w:val="22"/>
          <w:szCs w:val="22"/>
          <w:rtl/>
        </w:rPr>
      </w:pPr>
      <w:r>
        <w:rPr>
          <w:rFonts w:hint="cs"/>
          <w:b/>
          <w:bCs/>
          <w:sz w:val="24"/>
          <w:rtl/>
          <w:lang w:bidi="ar-EG"/>
        </w:rPr>
        <w:t>باء -</w:t>
      </w:r>
      <w:r>
        <w:rPr>
          <w:rFonts w:hint="cs"/>
          <w:b/>
          <w:bCs/>
          <w:sz w:val="24"/>
          <w:rtl/>
          <w:lang w:bidi="ar-EG"/>
        </w:rPr>
        <w:tab/>
      </w:r>
      <w:r w:rsidRPr="00A143DE">
        <w:rPr>
          <w:rFonts w:hint="cs"/>
          <w:b/>
          <w:bCs/>
          <w:sz w:val="24"/>
          <w:rtl/>
          <w:lang w:bidi="ar-EG"/>
        </w:rPr>
        <w:t>التقارير الوطنية الخامسة</w:t>
      </w:r>
    </w:p>
    <w:p w:rsidR="00291303" w:rsidRPr="00291303" w:rsidRDefault="00291303" w:rsidP="00565307">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291303">
        <w:rPr>
          <w:rFonts w:hint="cs"/>
          <w:szCs w:val="22"/>
          <w:rtl/>
          <w:lang w:bidi="ar-EG"/>
        </w:rPr>
        <w:t xml:space="preserve">تم النظر في هذا التقييم في معلومات من </w:t>
      </w:r>
      <w:r>
        <w:rPr>
          <w:rFonts w:hint="cs"/>
          <w:szCs w:val="22"/>
          <w:rtl/>
          <w:lang w:bidi="ar-EG"/>
        </w:rPr>
        <w:t>191</w:t>
      </w:r>
      <w:r w:rsidRPr="00291303">
        <w:rPr>
          <w:rFonts w:hint="cs"/>
          <w:szCs w:val="22"/>
          <w:rtl/>
          <w:lang w:bidi="ar-EG"/>
        </w:rPr>
        <w:t xml:space="preserve"> تقريرا من التقارير الوطنية الخامسة.</w:t>
      </w:r>
      <w:r w:rsidR="00565307" w:rsidRPr="00565307">
        <w:rPr>
          <w:rStyle w:val="FootnoteReference"/>
          <w:kern w:val="22"/>
          <w:sz w:val="22"/>
          <w:szCs w:val="22"/>
          <w:u w:val="none"/>
          <w:vertAlign w:val="superscript"/>
        </w:rPr>
        <w:t xml:space="preserve"> </w:t>
      </w:r>
      <w:r w:rsidR="00565307" w:rsidRPr="00954712">
        <w:rPr>
          <w:rStyle w:val="FootnoteReference"/>
          <w:kern w:val="22"/>
          <w:sz w:val="22"/>
          <w:szCs w:val="22"/>
          <w:u w:val="none"/>
          <w:vertAlign w:val="superscript"/>
        </w:rPr>
        <w:footnoteReference w:id="8"/>
      </w:r>
      <w:r w:rsidRPr="00291303">
        <w:rPr>
          <w:rFonts w:hint="cs"/>
          <w:szCs w:val="22"/>
          <w:rtl/>
          <w:lang w:bidi="ar-EG"/>
        </w:rPr>
        <w:t xml:space="preserve"> واستخدمت المعلومات عن الحالة والاتجاهات والضغوط على التنوع البيولوجي فضلا عن المعلومات عن مختلف الإجراءات التي أبلغت الأطراف عن اتخاذها أو أنها ستقوم باتخاذها في المستقبل القريب، استخدمت لتصنيف التقدم الوطني المحرز نحو تحقيق كل هدف من أهداف </w:t>
      </w:r>
      <w:r w:rsidR="00CC2584">
        <w:rPr>
          <w:rFonts w:hint="cs"/>
          <w:szCs w:val="22"/>
          <w:rtl/>
          <w:lang w:bidi="ar-EG"/>
        </w:rPr>
        <w:t>أيشي</w:t>
      </w:r>
      <w:r w:rsidR="00FF3E84">
        <w:rPr>
          <w:rFonts w:hint="cs"/>
          <w:szCs w:val="22"/>
          <w:rtl/>
          <w:lang w:bidi="ar-EG"/>
        </w:rPr>
        <w:t xml:space="preserve"> </w:t>
      </w:r>
      <w:r w:rsidRPr="00291303">
        <w:rPr>
          <w:rFonts w:hint="cs"/>
          <w:szCs w:val="22"/>
          <w:rtl/>
          <w:lang w:bidi="ar-EG"/>
        </w:rPr>
        <w:t>في واحدة من ست فئات.</w:t>
      </w:r>
    </w:p>
    <w:p w:rsidR="00565307" w:rsidRPr="00565307" w:rsidRDefault="00565307" w:rsidP="00565307">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65307">
        <w:rPr>
          <w:rFonts w:hint="cs"/>
          <w:szCs w:val="22"/>
          <w:rtl/>
          <w:lang w:bidi="ar-EG"/>
        </w:rPr>
        <w:t xml:space="preserve">ويحتوي 46 في المائة تقريبا من التقارير الوطنية التي تم تقييمها على تقييم صريح للتقدم المحرز نحو أهداف أيشي. وفي تلك الحالات، استخدم التقييم القطري ولكنه ترجم إلى واحدة من ست فئات من أجل السماح بتجميع معلومات من جميع التقارير الوطنية في صورة عالمية للتقدم المحرز نحو تحقيق أهداف </w:t>
      </w:r>
      <w:r w:rsidR="00CC2584">
        <w:rPr>
          <w:rFonts w:hint="cs"/>
          <w:szCs w:val="22"/>
          <w:rtl/>
          <w:lang w:bidi="ar-EG"/>
        </w:rPr>
        <w:t>أيشي</w:t>
      </w:r>
      <w:r w:rsidR="00FF3E84">
        <w:rPr>
          <w:rFonts w:hint="cs"/>
          <w:szCs w:val="22"/>
          <w:rtl/>
          <w:lang w:bidi="ar-EG"/>
        </w:rPr>
        <w:t xml:space="preserve"> </w:t>
      </w:r>
      <w:r w:rsidRPr="00565307">
        <w:rPr>
          <w:rFonts w:hint="cs"/>
          <w:szCs w:val="22"/>
          <w:rtl/>
          <w:lang w:bidi="ar-EG"/>
        </w:rPr>
        <w:t>للتنوع البيولوجي. وفي الحالات التي لم يتم إجراء تقييمات للتقدم، أجرت الأمانة التقييم وفقا للخطوط المذكورة أعلاه.</w:t>
      </w:r>
    </w:p>
    <w:p w:rsidR="00565307" w:rsidRPr="00565307" w:rsidRDefault="00565307" w:rsidP="00212CCF">
      <w:pPr>
        <w:pStyle w:val="Para1"/>
        <w:suppressLineNumbers/>
        <w:tabs>
          <w:tab w:val="clear" w:pos="360"/>
        </w:tabs>
        <w:suppressAutoHyphens/>
        <w:kinsoku w:val="0"/>
        <w:overflowPunct w:val="0"/>
        <w:autoSpaceDE w:val="0"/>
        <w:autoSpaceDN w:val="0"/>
        <w:bidi/>
        <w:spacing w:before="0" w:after="80"/>
        <w:rPr>
          <w:rFonts w:eastAsia="Malgun Gothic"/>
          <w:kern w:val="22"/>
          <w:sz w:val="24"/>
          <w:szCs w:val="24"/>
        </w:rPr>
      </w:pPr>
      <w:r w:rsidRPr="00565307">
        <w:rPr>
          <w:rFonts w:hint="cs"/>
          <w:sz w:val="24"/>
          <w:szCs w:val="24"/>
          <w:rtl/>
          <w:lang w:bidi="ar-EG"/>
        </w:rPr>
        <w:t>وفيما يلي الفئات</w:t>
      </w:r>
      <w:r>
        <w:rPr>
          <w:rFonts w:hint="cs"/>
          <w:sz w:val="24"/>
          <w:szCs w:val="24"/>
          <w:rtl/>
          <w:lang w:bidi="ar-EG"/>
        </w:rPr>
        <w:t xml:space="preserve"> الستة</w:t>
      </w:r>
      <w:r w:rsidRPr="00565307">
        <w:rPr>
          <w:rFonts w:hint="cs"/>
          <w:sz w:val="24"/>
          <w:szCs w:val="24"/>
          <w:rtl/>
          <w:lang w:bidi="ar-EG"/>
        </w:rPr>
        <w:t xml:space="preserve"> المستخدمة في هذا التقييم، بما يتسق وتلك الفئات المستخدمة في الإصدار الرابع من نشرة </w:t>
      </w:r>
      <w:r w:rsidRPr="00565307">
        <w:rPr>
          <w:rFonts w:hint="cs"/>
          <w:i/>
          <w:iCs/>
          <w:sz w:val="24"/>
          <w:szCs w:val="24"/>
          <w:rtl/>
          <w:lang w:bidi="ar-EG"/>
        </w:rPr>
        <w:t>التوقعات العالمية للتنوع البيولوجي</w:t>
      </w:r>
      <w:r w:rsidRPr="00565307">
        <w:rPr>
          <w:rFonts w:hint="cs"/>
          <w:sz w:val="24"/>
          <w:szCs w:val="24"/>
          <w:rtl/>
          <w:lang w:bidi="ar-EG"/>
        </w:rPr>
        <w:t>:</w:t>
      </w:r>
    </w:p>
    <w:p w:rsidR="00AB1AC6" w:rsidRPr="00AB1AC6" w:rsidRDefault="00AB1AC6" w:rsidP="00AB1AC6">
      <w:pPr>
        <w:pStyle w:val="Para1"/>
        <w:numPr>
          <w:ilvl w:val="1"/>
          <w:numId w:val="6"/>
        </w:numPr>
        <w:suppressLineNumbers/>
        <w:suppressAutoHyphens/>
        <w:kinsoku w:val="0"/>
        <w:overflowPunct w:val="0"/>
        <w:autoSpaceDE w:val="0"/>
        <w:autoSpaceDN w:val="0"/>
        <w:bidi/>
        <w:spacing w:before="0" w:after="80"/>
        <w:rPr>
          <w:rFonts w:eastAsia="Malgun Gothic"/>
          <w:kern w:val="22"/>
          <w:szCs w:val="22"/>
          <w:rtl/>
        </w:rPr>
      </w:pPr>
      <w:r w:rsidRPr="00AB1AC6">
        <w:rPr>
          <w:rFonts w:eastAsia="Malgun Gothic" w:hint="cs"/>
          <w:kern w:val="22"/>
          <w:szCs w:val="22"/>
          <w:rtl/>
        </w:rPr>
        <w:t xml:space="preserve">على المسار الصحيح لتجاوز الهدف </w:t>
      </w:r>
      <w:r w:rsidRPr="00AB1AC6">
        <w:rPr>
          <w:rFonts w:eastAsia="Malgun Gothic"/>
          <w:kern w:val="22"/>
          <w:szCs w:val="22"/>
          <w:rtl/>
        </w:rPr>
        <w:t>–</w:t>
      </w:r>
      <w:r w:rsidRPr="00AB1AC6">
        <w:rPr>
          <w:rFonts w:eastAsia="Malgun Gothic" w:hint="cs"/>
          <w:kern w:val="22"/>
          <w:szCs w:val="22"/>
          <w:rtl/>
        </w:rPr>
        <w:t xml:space="preserve"> يشير أحد الأهداف في هذا التقييم إلى أن الإجراءات الوطنية المتخذة ستسمح بتجاوز المعايير/العتبات المحددة لهدف أيشي. وفي حالة تلك الأهداف ذات العناصر الكمية، سيعني أن العتبة المحددة سيتم تجاوزها. وفي حالة الأهداف النوعية، سيعني ذلك تجاوز الإجراءات أو الشروط المختلفة المطلوب الوفاء بها أو من المتوقع تجاوزها؛</w:t>
      </w:r>
    </w:p>
    <w:p w:rsidR="00AB1AC6" w:rsidRPr="00AB1AC6" w:rsidRDefault="00AB1AC6" w:rsidP="00AB1AC6">
      <w:pPr>
        <w:pStyle w:val="Para1"/>
        <w:numPr>
          <w:ilvl w:val="1"/>
          <w:numId w:val="6"/>
        </w:numPr>
        <w:suppressLineNumbers/>
        <w:suppressAutoHyphens/>
        <w:kinsoku w:val="0"/>
        <w:overflowPunct w:val="0"/>
        <w:autoSpaceDE w:val="0"/>
        <w:autoSpaceDN w:val="0"/>
        <w:bidi/>
        <w:spacing w:before="0" w:after="80"/>
        <w:rPr>
          <w:rFonts w:eastAsia="Malgun Gothic"/>
          <w:kern w:val="22"/>
          <w:szCs w:val="22"/>
          <w:rtl/>
        </w:rPr>
      </w:pPr>
      <w:r w:rsidRPr="00AB1AC6">
        <w:rPr>
          <w:rFonts w:eastAsia="Malgun Gothic" w:hint="cs"/>
          <w:kern w:val="22"/>
          <w:szCs w:val="22"/>
          <w:rtl/>
        </w:rPr>
        <w:t xml:space="preserve">على المسار الصحيح لتحقيق الهدف </w:t>
      </w:r>
      <w:r w:rsidRPr="00AB1AC6">
        <w:rPr>
          <w:rFonts w:eastAsia="Malgun Gothic"/>
          <w:kern w:val="22"/>
          <w:szCs w:val="22"/>
          <w:rtl/>
        </w:rPr>
        <w:t>–</w:t>
      </w:r>
      <w:r w:rsidRPr="00AB1AC6">
        <w:rPr>
          <w:rFonts w:eastAsia="Malgun Gothic" w:hint="cs"/>
          <w:kern w:val="22"/>
          <w:szCs w:val="22"/>
          <w:rtl/>
        </w:rPr>
        <w:t xml:space="preserve"> تشير هذه الفئة إلى أن الإجراءات المتخذة والحالة الحالية للمسائل التي يعالجها هدف </w:t>
      </w:r>
      <w:r w:rsidR="00CC2584">
        <w:rPr>
          <w:rFonts w:eastAsia="Malgun Gothic" w:hint="cs"/>
          <w:kern w:val="22"/>
          <w:szCs w:val="22"/>
          <w:rtl/>
        </w:rPr>
        <w:t>أيشي</w:t>
      </w:r>
      <w:r w:rsidR="00FF3E84">
        <w:rPr>
          <w:rFonts w:eastAsia="Malgun Gothic" w:hint="cs"/>
          <w:kern w:val="22"/>
          <w:szCs w:val="22"/>
          <w:rtl/>
        </w:rPr>
        <w:t xml:space="preserve"> </w:t>
      </w:r>
      <w:r w:rsidRPr="00AB1AC6">
        <w:rPr>
          <w:rFonts w:eastAsia="Malgun Gothic" w:hint="cs"/>
          <w:kern w:val="22"/>
          <w:szCs w:val="22"/>
          <w:rtl/>
        </w:rPr>
        <w:t>سيتم الوفاء بها بحلول الموعد النهائي للهدف؛</w:t>
      </w:r>
    </w:p>
    <w:p w:rsidR="00AB1AC6" w:rsidRPr="00AB1AC6" w:rsidRDefault="00AB1AC6" w:rsidP="00AB1AC6">
      <w:pPr>
        <w:pStyle w:val="Para1"/>
        <w:numPr>
          <w:ilvl w:val="1"/>
          <w:numId w:val="6"/>
        </w:numPr>
        <w:suppressLineNumbers/>
        <w:suppressAutoHyphens/>
        <w:kinsoku w:val="0"/>
        <w:overflowPunct w:val="0"/>
        <w:autoSpaceDE w:val="0"/>
        <w:autoSpaceDN w:val="0"/>
        <w:bidi/>
        <w:spacing w:before="0" w:after="80"/>
        <w:rPr>
          <w:rFonts w:eastAsia="Malgun Gothic"/>
          <w:kern w:val="22"/>
          <w:szCs w:val="22"/>
        </w:rPr>
      </w:pPr>
      <w:r w:rsidRPr="00AB1AC6">
        <w:rPr>
          <w:rFonts w:eastAsia="Malgun Gothic" w:hint="cs"/>
          <w:kern w:val="22"/>
          <w:szCs w:val="22"/>
          <w:rtl/>
        </w:rPr>
        <w:t xml:space="preserve">التقدم نحو تحقيق الهدف ولكن بمعدل غير كاف </w:t>
      </w:r>
      <w:r w:rsidRPr="00AB1AC6">
        <w:rPr>
          <w:rFonts w:eastAsia="Malgun Gothic"/>
          <w:kern w:val="22"/>
          <w:szCs w:val="22"/>
          <w:rtl/>
        </w:rPr>
        <w:t>–</w:t>
      </w:r>
      <w:r w:rsidRPr="00AB1AC6">
        <w:rPr>
          <w:rFonts w:eastAsia="Malgun Gothic" w:hint="cs"/>
          <w:kern w:val="22"/>
          <w:szCs w:val="22"/>
          <w:rtl/>
        </w:rPr>
        <w:t xml:space="preserve"> تشير هذه الفئة إلى إحراز تقدم ملحوظ نحو تحقيق هدف </w:t>
      </w:r>
      <w:r w:rsidR="00CC2584">
        <w:rPr>
          <w:rFonts w:eastAsia="Malgun Gothic" w:hint="cs"/>
          <w:kern w:val="22"/>
          <w:szCs w:val="22"/>
          <w:rtl/>
        </w:rPr>
        <w:t>أيشي</w:t>
      </w:r>
      <w:r w:rsidR="00FF3E84">
        <w:rPr>
          <w:rFonts w:eastAsia="Malgun Gothic" w:hint="cs"/>
          <w:kern w:val="22"/>
          <w:szCs w:val="22"/>
          <w:rtl/>
        </w:rPr>
        <w:t xml:space="preserve"> </w:t>
      </w:r>
      <w:r w:rsidRPr="00AB1AC6">
        <w:rPr>
          <w:rFonts w:eastAsia="Malgun Gothic" w:hint="cs"/>
          <w:kern w:val="22"/>
          <w:szCs w:val="22"/>
          <w:rtl/>
        </w:rPr>
        <w:t xml:space="preserve">منذ أن تم تحديده. ويمكن أن يتخذ التقدم شكل الإجراءات المتخذة أو </w:t>
      </w:r>
      <w:r w:rsidR="00CC2584" w:rsidRPr="00AB1AC6">
        <w:rPr>
          <w:rFonts w:eastAsia="Malgun Gothic" w:hint="cs"/>
          <w:kern w:val="22"/>
          <w:szCs w:val="22"/>
          <w:rtl/>
        </w:rPr>
        <w:t>التحسينات</w:t>
      </w:r>
      <w:r w:rsidRPr="00AB1AC6">
        <w:rPr>
          <w:rFonts w:eastAsia="Malgun Gothic" w:hint="cs"/>
          <w:kern w:val="22"/>
          <w:szCs w:val="22"/>
          <w:rtl/>
        </w:rPr>
        <w:t xml:space="preserve"> الفعلية في حالة القضايا التي يتم معالجتها. غير أن هذه الفئة تشير إلى تحسن الحالة، وأن التقدم المحرز لن يكون كافيا للوفاء بالهدف بحلول الموعد النهائي؛</w:t>
      </w:r>
    </w:p>
    <w:p w:rsidR="00AB1AC6" w:rsidRPr="00AB1AC6" w:rsidRDefault="00AB1AC6" w:rsidP="00AB1AC6">
      <w:pPr>
        <w:pStyle w:val="Para1"/>
        <w:numPr>
          <w:ilvl w:val="1"/>
          <w:numId w:val="6"/>
        </w:numPr>
        <w:suppressLineNumbers/>
        <w:suppressAutoHyphens/>
        <w:kinsoku w:val="0"/>
        <w:overflowPunct w:val="0"/>
        <w:autoSpaceDE w:val="0"/>
        <w:autoSpaceDN w:val="0"/>
        <w:bidi/>
        <w:spacing w:before="0" w:after="80"/>
        <w:rPr>
          <w:rFonts w:eastAsia="Malgun Gothic"/>
          <w:kern w:val="22"/>
          <w:szCs w:val="22"/>
          <w:rtl/>
        </w:rPr>
      </w:pPr>
      <w:r w:rsidRPr="00AB1AC6">
        <w:rPr>
          <w:rFonts w:eastAsia="Malgun Gothic" w:hint="cs"/>
          <w:kern w:val="22"/>
          <w:szCs w:val="22"/>
          <w:rtl/>
        </w:rPr>
        <w:t xml:space="preserve">لا يوجد تغير ملحوظ </w:t>
      </w:r>
      <w:r w:rsidRPr="00AB1AC6">
        <w:rPr>
          <w:rFonts w:eastAsia="Malgun Gothic"/>
          <w:kern w:val="22"/>
          <w:szCs w:val="22"/>
          <w:rtl/>
        </w:rPr>
        <w:t>–</w:t>
      </w:r>
      <w:r w:rsidRPr="00AB1AC6">
        <w:rPr>
          <w:rFonts w:eastAsia="Malgun Gothic" w:hint="cs"/>
          <w:kern w:val="22"/>
          <w:szCs w:val="22"/>
          <w:rtl/>
        </w:rPr>
        <w:t xml:space="preserve"> تشير هذه الفئة إلى أنه منذ تم تحديد هدف </w:t>
      </w:r>
      <w:r w:rsidR="00CC2584">
        <w:rPr>
          <w:rFonts w:eastAsia="Malgun Gothic" w:hint="cs"/>
          <w:kern w:val="22"/>
          <w:szCs w:val="22"/>
          <w:rtl/>
        </w:rPr>
        <w:t>أيشي</w:t>
      </w:r>
      <w:r w:rsidR="00FF3E84">
        <w:rPr>
          <w:rFonts w:eastAsia="Malgun Gothic" w:hint="cs"/>
          <w:kern w:val="22"/>
          <w:szCs w:val="22"/>
          <w:rtl/>
        </w:rPr>
        <w:t xml:space="preserve"> </w:t>
      </w:r>
      <w:r w:rsidRPr="00AB1AC6">
        <w:rPr>
          <w:rFonts w:eastAsia="Malgun Gothic" w:hint="cs"/>
          <w:kern w:val="22"/>
          <w:szCs w:val="22"/>
          <w:rtl/>
        </w:rPr>
        <w:t>لم يكن هناك أي تقدم ملحوظ نحو تحقيقه أو لم يكن هناك تدهور ملحوظ. وتعني التقييمات التي تستخدم هذه الفئة أنه لم تتخذ إجراءات ملحوظة لتحقيق الهدف أو من المخطط إجراؤها في المستقبل القريب وأن الحالة الشاملة للمسائل التي يعالجها الهدف لم تتحسن أو تتدهور؛</w:t>
      </w:r>
    </w:p>
    <w:p w:rsidR="00AB1AC6" w:rsidRPr="00AB1AC6" w:rsidRDefault="00AB1AC6" w:rsidP="00AB1AC6">
      <w:pPr>
        <w:pStyle w:val="Para1"/>
        <w:numPr>
          <w:ilvl w:val="1"/>
          <w:numId w:val="6"/>
        </w:numPr>
        <w:suppressLineNumbers/>
        <w:suppressAutoHyphens/>
        <w:kinsoku w:val="0"/>
        <w:overflowPunct w:val="0"/>
        <w:autoSpaceDE w:val="0"/>
        <w:autoSpaceDN w:val="0"/>
        <w:bidi/>
        <w:spacing w:before="0" w:after="80"/>
        <w:rPr>
          <w:rFonts w:eastAsia="Malgun Gothic"/>
          <w:kern w:val="22"/>
          <w:szCs w:val="22"/>
        </w:rPr>
      </w:pPr>
      <w:r w:rsidRPr="00AB1AC6">
        <w:rPr>
          <w:rFonts w:eastAsia="Malgun Gothic" w:hint="cs"/>
          <w:kern w:val="22"/>
          <w:szCs w:val="22"/>
          <w:rtl/>
        </w:rPr>
        <w:t xml:space="preserve">نسير بعيدا عن الهدف </w:t>
      </w:r>
      <w:r w:rsidRPr="00AB1AC6">
        <w:rPr>
          <w:rFonts w:eastAsia="Malgun Gothic"/>
          <w:kern w:val="22"/>
          <w:szCs w:val="22"/>
          <w:rtl/>
        </w:rPr>
        <w:t>–</w:t>
      </w:r>
      <w:r w:rsidRPr="00AB1AC6">
        <w:rPr>
          <w:rFonts w:eastAsia="Malgun Gothic" w:hint="cs"/>
          <w:kern w:val="22"/>
          <w:szCs w:val="22"/>
          <w:rtl/>
        </w:rPr>
        <w:t xml:space="preserve"> تشير هذه الفئة إلى تدهور المسائل التي يسعى هدف </w:t>
      </w:r>
      <w:r w:rsidR="00CC2584">
        <w:rPr>
          <w:rFonts w:eastAsia="Malgun Gothic" w:hint="cs"/>
          <w:kern w:val="22"/>
          <w:szCs w:val="22"/>
          <w:rtl/>
        </w:rPr>
        <w:t>أيشي</w:t>
      </w:r>
      <w:r w:rsidR="00FF3E84">
        <w:rPr>
          <w:rFonts w:eastAsia="Malgun Gothic" w:hint="cs"/>
          <w:kern w:val="22"/>
          <w:szCs w:val="22"/>
          <w:rtl/>
        </w:rPr>
        <w:t xml:space="preserve"> </w:t>
      </w:r>
      <w:r w:rsidRPr="00AB1AC6">
        <w:rPr>
          <w:rFonts w:eastAsia="Malgun Gothic" w:hint="cs"/>
          <w:kern w:val="22"/>
          <w:szCs w:val="22"/>
          <w:rtl/>
        </w:rPr>
        <w:t>إلى معالجتها. ويمكن أن يرجع ذلك إلى عدم اتخاذ أية إجراءات أو أن الإجراءات المتخذة لم تكن فعالة. وقد يكون ذلك أيضا بسبب الضغوط المتزايدة أو التغييرات أخرى في الظروف الوطنية.</w:t>
      </w:r>
    </w:p>
    <w:p w:rsidR="00AB1AC6" w:rsidRPr="00AB1AC6" w:rsidRDefault="00AB1AC6" w:rsidP="00AB1AC6">
      <w:pPr>
        <w:pStyle w:val="Para1"/>
        <w:numPr>
          <w:ilvl w:val="1"/>
          <w:numId w:val="6"/>
        </w:numPr>
        <w:suppressLineNumbers/>
        <w:suppressAutoHyphens/>
        <w:kinsoku w:val="0"/>
        <w:overflowPunct w:val="0"/>
        <w:autoSpaceDE w:val="0"/>
        <w:autoSpaceDN w:val="0"/>
        <w:bidi/>
        <w:spacing w:before="0" w:after="80"/>
        <w:rPr>
          <w:rFonts w:eastAsia="Malgun Gothic"/>
          <w:kern w:val="22"/>
          <w:szCs w:val="22"/>
        </w:rPr>
      </w:pPr>
      <w:r w:rsidRPr="00AB1AC6">
        <w:rPr>
          <w:rFonts w:eastAsia="Malgun Gothic" w:hint="cs"/>
          <w:kern w:val="22"/>
          <w:szCs w:val="22"/>
          <w:rtl/>
        </w:rPr>
        <w:t xml:space="preserve">لا توجد معلومات </w:t>
      </w:r>
      <w:r w:rsidRPr="00AB1AC6">
        <w:rPr>
          <w:rFonts w:eastAsia="Malgun Gothic"/>
          <w:kern w:val="22"/>
          <w:szCs w:val="22"/>
          <w:rtl/>
        </w:rPr>
        <w:t>–</w:t>
      </w:r>
      <w:r w:rsidRPr="00AB1AC6">
        <w:rPr>
          <w:rFonts w:eastAsia="Malgun Gothic" w:hint="cs"/>
          <w:kern w:val="22"/>
          <w:szCs w:val="22"/>
          <w:rtl/>
        </w:rPr>
        <w:t xml:space="preserve"> لا يحتوي التقرير على معلومات كافية للتمكين من تقييم التقدم المحرز نحو تحقيق هدف </w:t>
      </w:r>
      <w:r w:rsidR="00CC2584">
        <w:rPr>
          <w:rFonts w:eastAsia="Malgun Gothic" w:hint="cs"/>
          <w:kern w:val="22"/>
          <w:szCs w:val="22"/>
          <w:rtl/>
        </w:rPr>
        <w:t>أيشي</w:t>
      </w:r>
      <w:r w:rsidR="00FF3E84">
        <w:rPr>
          <w:rFonts w:eastAsia="Malgun Gothic" w:hint="cs"/>
          <w:kern w:val="22"/>
          <w:szCs w:val="22"/>
          <w:rtl/>
        </w:rPr>
        <w:t xml:space="preserve"> </w:t>
      </w:r>
      <w:r w:rsidRPr="00AB1AC6">
        <w:rPr>
          <w:rFonts w:eastAsia="Malgun Gothic" w:hint="cs"/>
          <w:kern w:val="22"/>
          <w:szCs w:val="22"/>
          <w:rtl/>
        </w:rPr>
        <w:t>مع أي مستوى من الثقة.</w:t>
      </w:r>
    </w:p>
    <w:p w:rsidR="00AB1AC6" w:rsidRPr="00AB1AC6" w:rsidRDefault="00AB1AC6" w:rsidP="00CC258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AB1AC6">
        <w:rPr>
          <w:rFonts w:hint="cs"/>
          <w:szCs w:val="22"/>
          <w:rtl/>
          <w:lang w:bidi="ar-EG"/>
        </w:rPr>
        <w:t xml:space="preserve">وتجدر الملاحظة أن التقييم المعروض في هذه المذكرة يعكس المستوى المتوقع من التقدم في نهاية تاريخ هدف </w:t>
      </w:r>
      <w:r w:rsidR="00CC2584">
        <w:rPr>
          <w:rFonts w:hint="cs"/>
          <w:szCs w:val="22"/>
          <w:rtl/>
          <w:lang w:bidi="ar-EG"/>
        </w:rPr>
        <w:t>أيشي</w:t>
      </w:r>
      <w:r w:rsidR="00FF3E84">
        <w:rPr>
          <w:rFonts w:hint="cs"/>
          <w:szCs w:val="22"/>
          <w:rtl/>
          <w:lang w:bidi="ar-EG"/>
        </w:rPr>
        <w:t xml:space="preserve"> </w:t>
      </w:r>
      <w:r w:rsidRPr="00AB1AC6">
        <w:rPr>
          <w:rFonts w:hint="cs"/>
          <w:szCs w:val="22"/>
          <w:rtl/>
          <w:lang w:bidi="ar-EG"/>
        </w:rPr>
        <w:t xml:space="preserve">استنادا إلى الحالة والإجراءات المتخذة حتى تاريخه على النحو المقدم في التقارير الوطنية الخامسة. ولذلك، تشير الفئات إلى المسار الحالي للتقدم وتفترض أنه لن يحدث أي تغير بين وقت </w:t>
      </w:r>
      <w:r w:rsidR="00B15D5A">
        <w:rPr>
          <w:rFonts w:hint="cs"/>
          <w:szCs w:val="22"/>
          <w:rtl/>
          <w:lang w:bidi="ar-EG"/>
        </w:rPr>
        <w:t xml:space="preserve">إعداد التقرير </w:t>
      </w:r>
      <w:r w:rsidR="00CC2584">
        <w:rPr>
          <w:rFonts w:hint="cs"/>
          <w:szCs w:val="22"/>
          <w:rtl/>
          <w:lang w:bidi="ar-EG"/>
        </w:rPr>
        <w:t>الوطني</w:t>
      </w:r>
      <w:r w:rsidRPr="00AB1AC6">
        <w:rPr>
          <w:rFonts w:hint="cs"/>
          <w:szCs w:val="22"/>
          <w:rtl/>
          <w:lang w:bidi="ar-EG"/>
        </w:rPr>
        <w:t xml:space="preserve"> وتاريخ الهدف. وعلاوة على ذلك، لا ينظر هذا التقييم في الظروف الوطنية أو خطوط الأساس. ولذلك، لا يمكن استخدام مثل هذه المعلومات لمقارنة التقدم المحرز بين البلدان. وهو مناسب فقط لتوليد صورة عالمية للتقدم المحرز نحو تحقيق أهداف </w:t>
      </w:r>
      <w:r w:rsidR="00CC2584">
        <w:rPr>
          <w:rFonts w:hint="cs"/>
          <w:szCs w:val="22"/>
          <w:rtl/>
          <w:lang w:bidi="ar-EG"/>
        </w:rPr>
        <w:t>أيشي</w:t>
      </w:r>
      <w:r w:rsidR="00FF3E84">
        <w:rPr>
          <w:rFonts w:hint="cs"/>
          <w:szCs w:val="22"/>
          <w:rtl/>
          <w:lang w:bidi="ar-EG"/>
        </w:rPr>
        <w:t xml:space="preserve"> </w:t>
      </w:r>
      <w:r w:rsidRPr="00AB1AC6">
        <w:rPr>
          <w:rFonts w:hint="cs"/>
          <w:szCs w:val="22"/>
          <w:rtl/>
          <w:lang w:bidi="ar-EG"/>
        </w:rPr>
        <w:t>للتنوع البيولوجي.</w:t>
      </w:r>
    </w:p>
    <w:p w:rsidR="00952441" w:rsidRDefault="00952441" w:rsidP="00952441">
      <w:pPr>
        <w:keepNext/>
        <w:suppressLineNumbers/>
        <w:suppressAutoHyphens/>
        <w:kinsoku w:val="0"/>
        <w:overflowPunct w:val="0"/>
        <w:autoSpaceDE w:val="0"/>
        <w:autoSpaceDN w:val="0"/>
        <w:bidi/>
        <w:spacing w:before="120" w:after="120"/>
        <w:ind w:left="720"/>
        <w:jc w:val="left"/>
        <w:rPr>
          <w:b/>
          <w:bCs/>
          <w:snapToGrid w:val="0"/>
          <w:kern w:val="22"/>
          <w:szCs w:val="22"/>
          <w:rtl/>
        </w:rPr>
      </w:pPr>
      <w:r w:rsidRPr="007A7689">
        <w:rPr>
          <w:rFonts w:hint="cs"/>
          <w:b/>
          <w:bCs/>
          <w:sz w:val="28"/>
          <w:szCs w:val="28"/>
          <w:rtl/>
          <w:lang w:bidi="ar-EG"/>
        </w:rPr>
        <w:lastRenderedPageBreak/>
        <w:t xml:space="preserve">ثانيا </w:t>
      </w:r>
      <w:r>
        <w:rPr>
          <w:rFonts w:hint="cs"/>
          <w:b/>
          <w:bCs/>
          <w:sz w:val="28"/>
          <w:szCs w:val="28"/>
          <w:rtl/>
          <w:lang w:bidi="ar-EG"/>
        </w:rPr>
        <w:t>-</w:t>
      </w:r>
      <w:r>
        <w:rPr>
          <w:rFonts w:hint="cs"/>
          <w:b/>
          <w:bCs/>
          <w:sz w:val="28"/>
          <w:szCs w:val="28"/>
          <w:rtl/>
          <w:lang w:bidi="ar-EG"/>
        </w:rPr>
        <w:tab/>
        <w:t>الأهداف</w:t>
      </w:r>
      <w:r w:rsidRPr="007A7689">
        <w:rPr>
          <w:rFonts w:hint="cs"/>
          <w:b/>
          <w:bCs/>
          <w:sz w:val="28"/>
          <w:szCs w:val="28"/>
          <w:rtl/>
          <w:lang w:bidi="ar-EG"/>
        </w:rPr>
        <w:t xml:space="preserve"> الوطنية من الاستراتيجيات وخطط العمل الوطنية للتنوع البيولوجي ال</w:t>
      </w:r>
      <w:r>
        <w:rPr>
          <w:rFonts w:hint="cs"/>
          <w:b/>
          <w:bCs/>
          <w:sz w:val="28"/>
          <w:szCs w:val="28"/>
          <w:rtl/>
          <w:lang w:bidi="ar-EG"/>
        </w:rPr>
        <w:t>تي وضعت</w:t>
      </w:r>
      <w:r w:rsidRPr="007A7689">
        <w:rPr>
          <w:rFonts w:hint="cs"/>
          <w:b/>
          <w:bCs/>
          <w:sz w:val="28"/>
          <w:szCs w:val="28"/>
          <w:rtl/>
          <w:lang w:bidi="ar-EG"/>
        </w:rPr>
        <w:t xml:space="preserve"> وفقا لأهداف </w:t>
      </w:r>
      <w:r w:rsidR="00CC2584">
        <w:rPr>
          <w:rFonts w:hint="cs"/>
          <w:b/>
          <w:bCs/>
          <w:sz w:val="28"/>
          <w:szCs w:val="28"/>
          <w:rtl/>
          <w:lang w:bidi="ar-EG"/>
        </w:rPr>
        <w:t>أيشي</w:t>
      </w:r>
      <w:r w:rsidR="00FF3E84">
        <w:rPr>
          <w:rFonts w:hint="cs"/>
          <w:b/>
          <w:bCs/>
          <w:sz w:val="28"/>
          <w:szCs w:val="28"/>
          <w:rtl/>
          <w:lang w:bidi="ar-EG"/>
        </w:rPr>
        <w:t xml:space="preserve"> </w:t>
      </w:r>
      <w:r w:rsidRPr="007A7689">
        <w:rPr>
          <w:rFonts w:hint="cs"/>
          <w:b/>
          <w:bCs/>
          <w:sz w:val="28"/>
          <w:szCs w:val="28"/>
          <w:rtl/>
          <w:lang w:bidi="ar-EG"/>
        </w:rPr>
        <w:t xml:space="preserve">للتنوع البيولوجي والتقدم المحرز نحو تحقيق أهداف </w:t>
      </w:r>
      <w:r w:rsidR="00CC2584">
        <w:rPr>
          <w:rFonts w:hint="cs"/>
          <w:b/>
          <w:bCs/>
          <w:sz w:val="28"/>
          <w:szCs w:val="28"/>
          <w:rtl/>
          <w:lang w:bidi="ar-EG"/>
        </w:rPr>
        <w:t>أيشي</w:t>
      </w:r>
      <w:r w:rsidR="00FF3E84">
        <w:rPr>
          <w:rFonts w:hint="cs"/>
          <w:b/>
          <w:bCs/>
          <w:sz w:val="28"/>
          <w:szCs w:val="28"/>
          <w:rtl/>
          <w:lang w:bidi="ar-EG"/>
        </w:rPr>
        <w:t xml:space="preserve"> </w:t>
      </w:r>
      <w:r w:rsidRPr="007A7689">
        <w:rPr>
          <w:rFonts w:hint="cs"/>
          <w:b/>
          <w:bCs/>
          <w:sz w:val="28"/>
          <w:szCs w:val="28"/>
          <w:rtl/>
          <w:lang w:bidi="ar-EG"/>
        </w:rPr>
        <w:t>للتنوع البيولوجي</w:t>
      </w:r>
    </w:p>
    <w:p w:rsidR="00952441" w:rsidRDefault="00952441" w:rsidP="00212CCF">
      <w:pPr>
        <w:keepNext/>
        <w:suppressLineNumbers/>
        <w:suppressAutoHyphens/>
        <w:kinsoku w:val="0"/>
        <w:overflowPunct w:val="0"/>
        <w:autoSpaceDE w:val="0"/>
        <w:autoSpaceDN w:val="0"/>
        <w:bidi/>
        <w:spacing w:after="120"/>
        <w:rPr>
          <w:i/>
          <w:iCs/>
          <w:snapToGrid w:val="0"/>
          <w:color w:val="333333"/>
          <w:kern w:val="22"/>
          <w:szCs w:val="22"/>
          <w:shd w:val="clear" w:color="auto" w:fill="FFFFFF"/>
          <w:rtl/>
        </w:rPr>
      </w:pPr>
      <w:r w:rsidRPr="00F64759">
        <w:rPr>
          <w:rFonts w:hint="cs"/>
          <w:i/>
          <w:iCs/>
          <w:color w:val="333333"/>
          <w:sz w:val="24"/>
          <w:rtl/>
          <w:lang w:bidi="ar-EG"/>
        </w:rPr>
        <w:t xml:space="preserve">الهدف 1 -  </w:t>
      </w:r>
      <w:r w:rsidRPr="00F64759">
        <w:rPr>
          <w:i/>
          <w:iCs/>
          <w:color w:val="333333"/>
          <w:sz w:val="24"/>
          <w:rtl/>
          <w:lang w:bidi="ar-EG"/>
        </w:rPr>
        <w:t>بحلول عام 2020</w:t>
      </w:r>
      <w:r w:rsidRPr="00F64759">
        <w:rPr>
          <w:rFonts w:hint="cs"/>
          <w:i/>
          <w:iCs/>
          <w:color w:val="333333"/>
          <w:sz w:val="24"/>
          <w:rtl/>
          <w:lang w:bidi="ar-EG"/>
        </w:rPr>
        <w:t xml:space="preserve"> كحد أقصى</w:t>
      </w:r>
      <w:r w:rsidRPr="00F64759">
        <w:rPr>
          <w:i/>
          <w:iCs/>
          <w:color w:val="333333"/>
          <w:sz w:val="24"/>
          <w:rtl/>
          <w:lang w:bidi="ar-EG"/>
        </w:rPr>
        <w:t xml:space="preserve">، يكون </w:t>
      </w:r>
      <w:r w:rsidRPr="00F64759">
        <w:rPr>
          <w:rFonts w:hint="cs"/>
          <w:i/>
          <w:iCs/>
          <w:color w:val="333333"/>
          <w:sz w:val="24"/>
          <w:rtl/>
          <w:lang w:bidi="ar-EG"/>
        </w:rPr>
        <w:t>الناس</w:t>
      </w:r>
      <w:r w:rsidRPr="00F64759">
        <w:rPr>
          <w:i/>
          <w:iCs/>
          <w:color w:val="333333"/>
          <w:sz w:val="24"/>
          <w:rtl/>
          <w:lang w:bidi="ar-EG"/>
        </w:rPr>
        <w:t xml:space="preserve"> على علم بقيم التنوع البيولوجي، و</w:t>
      </w:r>
      <w:r w:rsidRPr="00F64759">
        <w:rPr>
          <w:rFonts w:hint="cs"/>
          <w:i/>
          <w:iCs/>
          <w:color w:val="333333"/>
          <w:sz w:val="24"/>
          <w:rtl/>
          <w:lang w:bidi="ar-EG"/>
        </w:rPr>
        <w:t>ب</w:t>
      </w:r>
      <w:r w:rsidRPr="00F64759">
        <w:rPr>
          <w:i/>
          <w:iCs/>
          <w:color w:val="333333"/>
          <w:sz w:val="24"/>
          <w:rtl/>
          <w:lang w:bidi="ar-EG"/>
        </w:rPr>
        <w:t xml:space="preserve">الخطوات التي يمكن </w:t>
      </w:r>
      <w:r w:rsidRPr="00F64759">
        <w:rPr>
          <w:rFonts w:hint="cs"/>
          <w:i/>
          <w:iCs/>
          <w:color w:val="333333"/>
          <w:sz w:val="24"/>
          <w:rtl/>
          <w:lang w:bidi="ar-EG"/>
        </w:rPr>
        <w:t>اتخاذها</w:t>
      </w:r>
      <w:r w:rsidRPr="00F64759">
        <w:rPr>
          <w:i/>
          <w:iCs/>
          <w:color w:val="333333"/>
          <w:sz w:val="24"/>
          <w:rtl/>
          <w:lang w:bidi="ar-EG"/>
        </w:rPr>
        <w:t xml:space="preserve"> ل</w:t>
      </w:r>
      <w:r w:rsidRPr="00F64759">
        <w:rPr>
          <w:rFonts w:hint="cs"/>
          <w:i/>
          <w:iCs/>
          <w:color w:val="333333"/>
          <w:sz w:val="24"/>
          <w:rtl/>
          <w:lang w:bidi="ar-EG"/>
        </w:rPr>
        <w:t>حفظ</w:t>
      </w:r>
      <w:r w:rsidRPr="00F64759">
        <w:rPr>
          <w:i/>
          <w:iCs/>
          <w:color w:val="333333"/>
          <w:sz w:val="24"/>
          <w:rtl/>
          <w:lang w:bidi="ar-EG"/>
        </w:rPr>
        <w:t>ه</w:t>
      </w:r>
      <w:r w:rsidRPr="00F64759">
        <w:rPr>
          <w:rFonts w:hint="cs"/>
          <w:i/>
          <w:iCs/>
          <w:color w:val="333333"/>
          <w:sz w:val="24"/>
          <w:rtl/>
          <w:lang w:bidi="ar-EG"/>
        </w:rPr>
        <w:t xml:space="preserve"> واستخدامه على نحو مستدام</w:t>
      </w:r>
    </w:p>
    <w:p w:rsidR="00952441" w:rsidRPr="00952441" w:rsidRDefault="00952441" w:rsidP="00952441">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952441">
        <w:rPr>
          <w:rFonts w:hint="cs"/>
          <w:szCs w:val="22"/>
          <w:rtl/>
          <w:lang w:bidi="ar-EG"/>
        </w:rPr>
        <w:t xml:space="preserve">كان نحو </w:t>
      </w:r>
      <w:r>
        <w:rPr>
          <w:rFonts w:hint="cs"/>
          <w:szCs w:val="22"/>
          <w:rtl/>
          <w:lang w:bidi="ar-EG"/>
        </w:rPr>
        <w:t>ربع</w:t>
      </w:r>
      <w:r w:rsidRPr="00952441">
        <w:rPr>
          <w:rFonts w:hint="cs"/>
          <w:szCs w:val="22"/>
          <w:rtl/>
          <w:lang w:bidi="ar-EG"/>
        </w:rPr>
        <w:t xml:space="preserve"> (</w:t>
      </w:r>
      <w:r>
        <w:rPr>
          <w:rFonts w:hint="cs"/>
          <w:szCs w:val="22"/>
          <w:rtl/>
          <w:lang w:bidi="ar-EG"/>
        </w:rPr>
        <w:t>27</w:t>
      </w:r>
      <w:r w:rsidRPr="00952441">
        <w:rPr>
          <w:rFonts w:hint="cs"/>
          <w:szCs w:val="22"/>
          <w:rtl/>
          <w:lang w:bidi="ar-EG"/>
        </w:rPr>
        <w:t xml:space="preserve"> في المائة) الاستراتيجيات وخطط العمل الوطنية للتنوع البيولوجي التي تم استعرضها في هذا التحليل يحتوي على أهداف أو التزامات وطنية تعادل مدى ومستوى الطموح المحدد في هدف أيشي.</w:t>
      </w:r>
      <w:r w:rsidRPr="00952441">
        <w:rPr>
          <w:rStyle w:val="FootnoteReference"/>
          <w:sz w:val="22"/>
          <w:szCs w:val="22"/>
          <w:u w:val="none"/>
          <w:vertAlign w:val="superscript"/>
          <w:rtl/>
        </w:rPr>
        <w:footnoteReference w:id="9"/>
      </w:r>
      <w:r w:rsidRPr="00952441">
        <w:rPr>
          <w:rFonts w:hint="cs"/>
          <w:szCs w:val="22"/>
          <w:rtl/>
          <w:lang w:bidi="ar-EG"/>
        </w:rPr>
        <w:t xml:space="preserve"> والهدف 1 هو من بين الأهداف التي تمثل أقرب مواءمة مع الأهداف الوطنية في هذه الاستراتيجيات وخطط العمل. غير أن أكثر من نصف (55 في المائة) من الاستراتيجيات وخطط العمل الوطنية للتنوع البيولوجي بها أهداف أو التزامات أقل من هدف </w:t>
      </w:r>
      <w:r w:rsidR="00CC2584">
        <w:rPr>
          <w:rFonts w:hint="cs"/>
          <w:szCs w:val="22"/>
          <w:rtl/>
          <w:lang w:bidi="ar-EG"/>
        </w:rPr>
        <w:t>أيشي</w:t>
      </w:r>
      <w:r w:rsidR="00FF3E84">
        <w:rPr>
          <w:rFonts w:hint="cs"/>
          <w:szCs w:val="22"/>
          <w:rtl/>
          <w:lang w:bidi="ar-EG"/>
        </w:rPr>
        <w:t xml:space="preserve"> </w:t>
      </w:r>
      <w:r w:rsidRPr="00952441">
        <w:rPr>
          <w:rFonts w:hint="cs"/>
          <w:szCs w:val="22"/>
          <w:rtl/>
          <w:lang w:bidi="ar-EG"/>
        </w:rPr>
        <w:t>ولا تتناول جميع العناصر في هدف أيشي. ولا يحتوي حوالي 12 في المائة من هذه الاستراتيجيات وخطط العمل على أية أهداف تتعلق بهدف أيشي. ويبدو أن معظم الأهداف تركز على زيادة التوعية بالتنوع البيولوجي. وهناك أهداف وطنية أقل نسبيا تتناول أن يكون الناس على علم بالإجراءات التي يمكن أن يتخذوها لحفظ التنوع البيولوجي.</w:t>
      </w:r>
    </w:p>
    <w:p w:rsidR="0050137C" w:rsidRPr="0050137C" w:rsidRDefault="0050137C"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0137C">
        <w:rPr>
          <w:rFonts w:hint="cs"/>
          <w:szCs w:val="22"/>
          <w:rtl/>
          <w:lang w:bidi="ar-EG"/>
        </w:rPr>
        <w:t>وفيما يتعلق بالتقارير الوطنية، أشار 16 في المائة منها إلى أن الهدف سيتم الوفاء به بينما يحتوي أكثر من ثلثي التقارير (68 في المائة) على معلومات تشير إلى إحراز تقدم نحو تحقيق الهدف ولكن بمعدل لن يسمح بالوفاء به بحلول عام 2020. وأشار حوالي 10 في المائة من التقارير إلى عدم حدوث تغير ملحوظ ولم يشير أي من التقارير إلى تدهور العلم بالتنوع البيولوجي. وتوحي المعلومات في التقارير الوطنية أيضا أن عنصري الهدف (علم الجمهور بالتنوع البيولوجي يتزايد وأن الناس على علم بالخطوات التي يمكن اتخاذها) يتم معالجتهما من جانب الأطراف، غير أن عدد قليل من الأطراف اتخذت إجراءات تتعلق مباشرة بجعل الناس على علم بالإجراءات التي يمكن اتخاذها لحفظ التنوع البيولوجي واستخدامه المستدام.</w:t>
      </w:r>
    </w:p>
    <w:p w:rsidR="00A15D8E" w:rsidRPr="00A15D8E" w:rsidRDefault="00A15D8E" w:rsidP="00212CCF">
      <w:pPr>
        <w:keepNext/>
        <w:suppressLineNumbers/>
        <w:suppressAutoHyphens/>
        <w:kinsoku w:val="0"/>
        <w:overflowPunct w:val="0"/>
        <w:autoSpaceDE w:val="0"/>
        <w:autoSpaceDN w:val="0"/>
        <w:bidi/>
        <w:spacing w:after="120"/>
        <w:rPr>
          <w:i/>
          <w:iCs/>
          <w:snapToGrid w:val="0"/>
          <w:kern w:val="22"/>
          <w:szCs w:val="22"/>
          <w:shd w:val="clear" w:color="auto" w:fill="FFFFFF"/>
          <w:rtl/>
        </w:rPr>
      </w:pPr>
      <w:r w:rsidRPr="00A15D8E">
        <w:rPr>
          <w:rFonts w:hint="cs"/>
          <w:i/>
          <w:iCs/>
          <w:color w:val="333333"/>
          <w:szCs w:val="22"/>
          <w:rtl/>
          <w:lang w:bidi="ar-EG"/>
        </w:rPr>
        <w:t xml:space="preserve">الهدف 2 -  </w:t>
      </w:r>
      <w:r w:rsidRPr="00A15D8E">
        <w:rPr>
          <w:i/>
          <w:iCs/>
          <w:color w:val="333333"/>
          <w:szCs w:val="22"/>
          <w:rtl/>
          <w:lang w:bidi="ar-EG"/>
        </w:rPr>
        <w:t>بحلول عام 2020</w:t>
      </w:r>
      <w:r w:rsidRPr="00A15D8E">
        <w:rPr>
          <w:rFonts w:hint="cs"/>
          <w:i/>
          <w:iCs/>
          <w:color w:val="333333"/>
          <w:szCs w:val="22"/>
          <w:rtl/>
          <w:lang w:bidi="ar-EG"/>
        </w:rPr>
        <w:t xml:space="preserve"> كحد أقصى</w:t>
      </w:r>
      <w:r w:rsidRPr="00A15D8E">
        <w:rPr>
          <w:i/>
          <w:iCs/>
          <w:color w:val="333333"/>
          <w:szCs w:val="22"/>
          <w:rtl/>
          <w:lang w:bidi="ar-EG"/>
        </w:rPr>
        <w:t>، ت</w:t>
      </w:r>
      <w:r w:rsidRPr="00A15D8E">
        <w:rPr>
          <w:rFonts w:hint="cs"/>
          <w:i/>
          <w:iCs/>
          <w:color w:val="333333"/>
          <w:szCs w:val="22"/>
          <w:rtl/>
          <w:lang w:bidi="ar-EG"/>
        </w:rPr>
        <w:t>ُ</w:t>
      </w:r>
      <w:r w:rsidRPr="00A15D8E">
        <w:rPr>
          <w:i/>
          <w:iCs/>
          <w:color w:val="333333"/>
          <w:szCs w:val="22"/>
          <w:rtl/>
          <w:lang w:bidi="ar-EG"/>
        </w:rPr>
        <w:t>د</w:t>
      </w:r>
      <w:r w:rsidRPr="00A15D8E">
        <w:rPr>
          <w:rFonts w:hint="cs"/>
          <w:i/>
          <w:iCs/>
          <w:color w:val="333333"/>
          <w:szCs w:val="22"/>
          <w:rtl/>
          <w:lang w:bidi="ar-EG"/>
        </w:rPr>
        <w:t>م</w:t>
      </w:r>
      <w:r w:rsidRPr="00A15D8E">
        <w:rPr>
          <w:i/>
          <w:iCs/>
          <w:color w:val="333333"/>
          <w:szCs w:val="22"/>
          <w:rtl/>
          <w:lang w:bidi="ar-EG"/>
        </w:rPr>
        <w:t xml:space="preserve">ج </w:t>
      </w:r>
      <w:r w:rsidRPr="00A15D8E">
        <w:rPr>
          <w:rFonts w:hint="cs"/>
          <w:i/>
          <w:iCs/>
          <w:color w:val="333333"/>
          <w:szCs w:val="22"/>
          <w:rtl/>
          <w:lang w:bidi="ar-EG"/>
        </w:rPr>
        <w:t>قيم التنوع البيولوجي في ال</w:t>
      </w:r>
      <w:r w:rsidRPr="00A15D8E">
        <w:rPr>
          <w:i/>
          <w:iCs/>
          <w:color w:val="333333"/>
          <w:szCs w:val="22"/>
          <w:rtl/>
          <w:lang w:bidi="ar-EG"/>
        </w:rPr>
        <w:t xml:space="preserve">استراتيجيات الوطنية والمحلية </w:t>
      </w:r>
      <w:r w:rsidRPr="00A15D8E">
        <w:rPr>
          <w:rFonts w:hint="cs"/>
          <w:i/>
          <w:iCs/>
          <w:color w:val="333333"/>
          <w:szCs w:val="22"/>
          <w:rtl/>
          <w:lang w:bidi="ar-EG"/>
        </w:rPr>
        <w:t xml:space="preserve">للتنمية والحد من الفقر وعمليات التخطيط ويجري وإدماجها، حسب </w:t>
      </w:r>
      <w:r w:rsidR="00CC2584" w:rsidRPr="00A15D8E">
        <w:rPr>
          <w:rFonts w:hint="cs"/>
          <w:i/>
          <w:iCs/>
          <w:color w:val="333333"/>
          <w:szCs w:val="22"/>
          <w:rtl/>
          <w:lang w:bidi="ar-EG"/>
        </w:rPr>
        <w:t>الاقتضاء</w:t>
      </w:r>
      <w:r w:rsidRPr="00A15D8E">
        <w:rPr>
          <w:rFonts w:hint="cs"/>
          <w:i/>
          <w:iCs/>
          <w:color w:val="333333"/>
          <w:szCs w:val="22"/>
          <w:rtl/>
          <w:lang w:bidi="ar-EG"/>
        </w:rPr>
        <w:t>، في نظم الحسابات القومية ونظم الإبلاغ</w:t>
      </w:r>
    </w:p>
    <w:p w:rsidR="00A15D8E" w:rsidRPr="00A15D8E" w:rsidRDefault="00A15D8E" w:rsidP="00A15D8E">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A15D8E">
        <w:rPr>
          <w:rFonts w:hint="cs"/>
          <w:szCs w:val="22"/>
          <w:rtl/>
          <w:lang w:bidi="ar-EG"/>
        </w:rPr>
        <w:t>يحتوي 7 في المائة فقط من الاستراتيجيات وخطط العمل الوطنية للتنوع البيولوجي على أهداف وطنية أو التزامات مشابهة توافق مدى ومستوى الطموح المحدد في الهدف 2 من أهداف أيشي</w:t>
      </w:r>
      <w:r w:rsidRPr="00A15D8E">
        <w:rPr>
          <w:rStyle w:val="FootnoteReference"/>
          <w:sz w:val="22"/>
          <w:szCs w:val="22"/>
          <w:u w:val="none"/>
          <w:vertAlign w:val="superscript"/>
          <w:rtl/>
        </w:rPr>
        <w:footnoteReference w:id="10"/>
      </w:r>
      <w:r w:rsidRPr="00A15D8E">
        <w:rPr>
          <w:rFonts w:hint="cs"/>
          <w:szCs w:val="22"/>
          <w:rtl/>
          <w:lang w:bidi="ar-EG"/>
        </w:rPr>
        <w:t xml:space="preserve"> ووضع أحد الأطراف هدفا يتجاوز هدف </w:t>
      </w:r>
      <w:r w:rsidR="00CC2584">
        <w:rPr>
          <w:rFonts w:hint="cs"/>
          <w:szCs w:val="22"/>
          <w:rtl/>
          <w:lang w:bidi="ar-EG"/>
        </w:rPr>
        <w:t>أيشي</w:t>
      </w:r>
      <w:r w:rsidR="00FF3E84">
        <w:rPr>
          <w:rFonts w:hint="cs"/>
          <w:szCs w:val="22"/>
          <w:rtl/>
          <w:lang w:bidi="ar-EG"/>
        </w:rPr>
        <w:t xml:space="preserve"> </w:t>
      </w:r>
      <w:r w:rsidRPr="00A15D8E">
        <w:rPr>
          <w:rFonts w:hint="cs"/>
          <w:szCs w:val="22"/>
          <w:rtl/>
          <w:lang w:bidi="ar-EG"/>
        </w:rPr>
        <w:t>وبموعد نهائي قبله.</w:t>
      </w:r>
      <w:r w:rsidRPr="00A15D8E">
        <w:rPr>
          <w:rStyle w:val="FootnoteReference"/>
          <w:sz w:val="22"/>
          <w:szCs w:val="22"/>
          <w:u w:val="none"/>
          <w:vertAlign w:val="superscript"/>
          <w:rtl/>
        </w:rPr>
        <w:footnoteReference w:id="11"/>
      </w:r>
      <w:r w:rsidRPr="00A15D8E">
        <w:rPr>
          <w:rFonts w:hint="cs"/>
          <w:szCs w:val="22"/>
          <w:rtl/>
          <w:lang w:bidi="ar-EG"/>
        </w:rPr>
        <w:t xml:space="preserve"> ويحتوي أكثر من ثلاثة أرباع هذه الاستراتيجيات وخطط العمل (78 في المائة) على أهداف وطنية أو التزامات كانت أقل من هدف </w:t>
      </w:r>
      <w:r w:rsidR="00CC2584">
        <w:rPr>
          <w:rFonts w:hint="cs"/>
          <w:szCs w:val="22"/>
          <w:rtl/>
          <w:lang w:bidi="ar-EG"/>
        </w:rPr>
        <w:t>أيشي</w:t>
      </w:r>
      <w:r w:rsidR="00FF3E84">
        <w:rPr>
          <w:rFonts w:hint="cs"/>
          <w:szCs w:val="22"/>
          <w:rtl/>
          <w:lang w:bidi="ar-EG"/>
        </w:rPr>
        <w:t xml:space="preserve"> </w:t>
      </w:r>
      <w:r w:rsidRPr="00A15D8E">
        <w:rPr>
          <w:rFonts w:hint="cs"/>
          <w:szCs w:val="22"/>
          <w:rtl/>
          <w:lang w:bidi="ar-EG"/>
        </w:rPr>
        <w:t>أو لم تعالج جميع عناصر هدف أيشي. ولا يحتوي حوالي 16 في المائة من هذه الاستراتيجيات وخطط العمل على أية أهداف وطنية أو التزامات مشابهة تتعلق بهذا الهدف من أهداف أيشي. ومن الأهداف المحددة، تناول عدد قليل نسبيا دمج قيم التنوع البيولوجي في عمليات التخطيط الوطني والمحلي، ونظم الحسابات القومية أو عمليات الإبلاغ. وكانت الأهداف الوطنية المحددة تركز بدرجة كبيرة على دمج قيم التنوع البيولوجي في الاستراتيجيات الوطنية للتنمية واستراتيجيات الحد من الفقر. وعلاوة على ذلك، كان الكثير من الأهداف المحددة تتعلق بمسألة تماسك السياسات و/أو دمج التنوع البيولوجي في عمليات صنع القرار عموما.</w:t>
      </w:r>
    </w:p>
    <w:p w:rsidR="00A15D8E" w:rsidRPr="00A15D8E" w:rsidRDefault="00A15D8E" w:rsidP="00B15D5A">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A15D8E">
        <w:rPr>
          <w:rFonts w:hint="cs"/>
          <w:szCs w:val="22"/>
          <w:rtl/>
          <w:lang w:bidi="ar-EG"/>
        </w:rPr>
        <w:t xml:space="preserve">وفيما يتعلق بالتقارير الوطنية، يحتوي أقل من 10 في المائة من التقارير على معلومات توحي بأن هذا الهدف على المسار الصحيح للوفاء به. وأشار أكثر من 60 في المائة إلى إحراز تقدم نحو بلوغ الهدف 2 من أهداف </w:t>
      </w:r>
      <w:r w:rsidR="00CC2584">
        <w:rPr>
          <w:rFonts w:hint="cs"/>
          <w:szCs w:val="22"/>
          <w:rtl/>
          <w:lang w:bidi="ar-EG"/>
        </w:rPr>
        <w:t>أيشي</w:t>
      </w:r>
      <w:r w:rsidR="00FF3E84">
        <w:rPr>
          <w:rFonts w:hint="cs"/>
          <w:szCs w:val="22"/>
          <w:rtl/>
          <w:lang w:bidi="ar-EG"/>
        </w:rPr>
        <w:t xml:space="preserve"> </w:t>
      </w:r>
      <w:r w:rsidRPr="00A15D8E">
        <w:rPr>
          <w:rFonts w:hint="cs"/>
          <w:szCs w:val="22"/>
          <w:rtl/>
          <w:lang w:bidi="ar-EG"/>
        </w:rPr>
        <w:t xml:space="preserve">ولكن ليس بمعدل يسمح بالوفاء بالهدف بحلول عام 2020. </w:t>
      </w:r>
      <w:r>
        <w:rPr>
          <w:rFonts w:hint="cs"/>
          <w:szCs w:val="22"/>
          <w:rtl/>
          <w:lang w:bidi="ar-EG"/>
        </w:rPr>
        <w:t xml:space="preserve">وعلاوة على ذلك فإن أكثر من خمس التقارير الوطنية (22 في المائة) يتضمن معلومات تشير إلى عدم إجراء تغييرات كبيرة منذ اعتماد الخطة الاستراتيجية للتنوع البيولوجي 2011-2020 </w:t>
      </w:r>
      <w:r w:rsidRPr="00A15D8E">
        <w:rPr>
          <w:rFonts w:hint="cs"/>
          <w:szCs w:val="22"/>
          <w:rtl/>
          <w:lang w:bidi="ar-EG"/>
        </w:rPr>
        <w:t>ويبدو أن معظم التقدم المحرز يتعلق بدمج التنوع البيولوجي في استراتيجيات التنمية الوطنية واستراتيجيات الحد من الفقر وفي عمليات التخطيط الوطني والمحلي. وبالمقارنة، أحرز تقدم أقل في مجال دمج التنوع البيولوجي في نظم الحسابات القومية ونظم الإبلاغ..</w:t>
      </w:r>
    </w:p>
    <w:p w:rsidR="00A15D8E" w:rsidRDefault="00A15D8E" w:rsidP="00212CCF">
      <w:pPr>
        <w:keepNext/>
        <w:suppressLineNumbers/>
        <w:suppressAutoHyphens/>
        <w:kinsoku w:val="0"/>
        <w:overflowPunct w:val="0"/>
        <w:autoSpaceDE w:val="0"/>
        <w:autoSpaceDN w:val="0"/>
        <w:bidi/>
        <w:spacing w:before="120" w:after="120"/>
        <w:rPr>
          <w:i/>
          <w:iCs/>
          <w:snapToGrid w:val="0"/>
          <w:kern w:val="22"/>
          <w:szCs w:val="22"/>
          <w:shd w:val="clear" w:color="auto" w:fill="FFFFFF"/>
          <w:rtl/>
        </w:rPr>
      </w:pPr>
      <w:r w:rsidRPr="00F64759">
        <w:rPr>
          <w:rFonts w:hint="cs"/>
          <w:i/>
          <w:iCs/>
          <w:color w:val="333333"/>
          <w:sz w:val="24"/>
          <w:rtl/>
          <w:lang w:bidi="ar-EG"/>
        </w:rPr>
        <w:t xml:space="preserve">الهدف 3 -  </w:t>
      </w:r>
      <w:r w:rsidRPr="00F64759">
        <w:rPr>
          <w:i/>
          <w:iCs/>
          <w:color w:val="333333"/>
          <w:sz w:val="24"/>
          <w:rtl/>
          <w:lang w:bidi="ar-EG"/>
        </w:rPr>
        <w:t>بحلول عام 2020</w:t>
      </w:r>
      <w:r w:rsidRPr="00F64759">
        <w:rPr>
          <w:rFonts w:hint="cs"/>
          <w:i/>
          <w:iCs/>
          <w:color w:val="333333"/>
          <w:sz w:val="24"/>
          <w:rtl/>
          <w:lang w:bidi="ar-EG"/>
        </w:rPr>
        <w:t xml:space="preserve"> كحد أقصى</w:t>
      </w:r>
      <w:r w:rsidRPr="00F64759">
        <w:rPr>
          <w:i/>
          <w:iCs/>
          <w:color w:val="333333"/>
          <w:sz w:val="24"/>
          <w:rtl/>
          <w:lang w:bidi="ar-EG"/>
        </w:rPr>
        <w:t>، ت</w:t>
      </w:r>
      <w:r w:rsidRPr="00F64759">
        <w:rPr>
          <w:rFonts w:hint="cs"/>
          <w:i/>
          <w:iCs/>
          <w:color w:val="333333"/>
          <w:sz w:val="24"/>
          <w:rtl/>
          <w:lang w:bidi="ar-EG"/>
        </w:rPr>
        <w:t>ُ</w:t>
      </w:r>
      <w:r w:rsidRPr="00F64759">
        <w:rPr>
          <w:i/>
          <w:iCs/>
          <w:color w:val="333333"/>
          <w:sz w:val="24"/>
          <w:rtl/>
          <w:lang w:bidi="ar-EG"/>
        </w:rPr>
        <w:t>لغى</w:t>
      </w:r>
      <w:r w:rsidRPr="00F64759">
        <w:rPr>
          <w:rFonts w:hint="cs"/>
          <w:i/>
          <w:iCs/>
          <w:color w:val="333333"/>
          <w:sz w:val="24"/>
          <w:rtl/>
          <w:lang w:bidi="ar-EG"/>
        </w:rPr>
        <w:t xml:space="preserve"> الحوافز، بما فيها </w:t>
      </w:r>
      <w:r w:rsidRPr="00F64759">
        <w:rPr>
          <w:i/>
          <w:iCs/>
          <w:color w:val="333333"/>
          <w:sz w:val="24"/>
          <w:rtl/>
          <w:lang w:bidi="ar-EG"/>
        </w:rPr>
        <w:t>الإعانات</w:t>
      </w:r>
      <w:r w:rsidRPr="00F64759">
        <w:rPr>
          <w:rFonts w:hint="cs"/>
          <w:i/>
          <w:iCs/>
          <w:color w:val="333333"/>
          <w:sz w:val="24"/>
          <w:rtl/>
          <w:lang w:bidi="ar-EG"/>
        </w:rPr>
        <w:t>،</w:t>
      </w:r>
      <w:r w:rsidRPr="00F64759">
        <w:rPr>
          <w:i/>
          <w:iCs/>
          <w:color w:val="333333"/>
          <w:sz w:val="24"/>
          <w:rtl/>
          <w:lang w:bidi="ar-EG"/>
        </w:rPr>
        <w:t xml:space="preserve"> الضارة بالتنوع البيولوجي</w:t>
      </w:r>
      <w:r w:rsidRPr="00F64759">
        <w:rPr>
          <w:rFonts w:hint="cs"/>
          <w:i/>
          <w:iCs/>
          <w:color w:val="333333"/>
          <w:sz w:val="24"/>
          <w:rtl/>
          <w:lang w:bidi="ar-EG"/>
        </w:rPr>
        <w:t>، أو تزال تدريجيا</w:t>
      </w:r>
      <w:r w:rsidRPr="00F64759">
        <w:rPr>
          <w:i/>
          <w:iCs/>
          <w:color w:val="333333"/>
          <w:sz w:val="24"/>
          <w:rtl/>
          <w:lang w:bidi="ar-EG"/>
        </w:rPr>
        <w:t xml:space="preserve"> </w:t>
      </w:r>
      <w:r w:rsidRPr="00F64759">
        <w:rPr>
          <w:rFonts w:hint="cs"/>
          <w:i/>
          <w:iCs/>
          <w:color w:val="333333"/>
          <w:sz w:val="24"/>
          <w:rtl/>
          <w:lang w:bidi="ar-EG"/>
        </w:rPr>
        <w:t>أو تعدل من أجل تقليل أو تجنب التأثيرات السلبية،</w:t>
      </w:r>
      <w:r w:rsidRPr="00F64759">
        <w:rPr>
          <w:i/>
          <w:iCs/>
          <w:color w:val="333333"/>
          <w:sz w:val="24"/>
          <w:rtl/>
          <w:lang w:bidi="ar-EG"/>
        </w:rPr>
        <w:t xml:space="preserve"> وتوضع وت</w:t>
      </w:r>
      <w:r w:rsidRPr="00F64759">
        <w:rPr>
          <w:rFonts w:hint="cs"/>
          <w:i/>
          <w:iCs/>
          <w:color w:val="333333"/>
          <w:sz w:val="24"/>
          <w:rtl/>
          <w:lang w:bidi="ar-EG"/>
        </w:rPr>
        <w:t>ُ</w:t>
      </w:r>
      <w:r w:rsidRPr="00F64759">
        <w:rPr>
          <w:i/>
          <w:iCs/>
          <w:color w:val="333333"/>
          <w:sz w:val="24"/>
          <w:rtl/>
          <w:lang w:bidi="ar-EG"/>
        </w:rPr>
        <w:t xml:space="preserve">طبق حوافز إيجابية لحفظ التنوع البيولوجي واستخدامه </w:t>
      </w:r>
      <w:r w:rsidRPr="00F64759">
        <w:rPr>
          <w:rFonts w:hint="cs"/>
          <w:i/>
          <w:iCs/>
          <w:color w:val="333333"/>
          <w:sz w:val="24"/>
          <w:rtl/>
          <w:lang w:bidi="ar-EG"/>
        </w:rPr>
        <w:t>ال</w:t>
      </w:r>
      <w:r w:rsidRPr="00F64759">
        <w:rPr>
          <w:i/>
          <w:iCs/>
          <w:color w:val="333333"/>
          <w:sz w:val="24"/>
          <w:rtl/>
          <w:lang w:bidi="ar-EG"/>
        </w:rPr>
        <w:t>مستدام</w:t>
      </w:r>
      <w:r w:rsidRPr="00F64759">
        <w:rPr>
          <w:rFonts w:hint="cs"/>
          <w:i/>
          <w:iCs/>
          <w:color w:val="333333"/>
          <w:sz w:val="24"/>
          <w:rtl/>
          <w:lang w:bidi="ar-EG"/>
        </w:rPr>
        <w:t>، بما يتمشى وينسجم مع الاتفاقية والالتزامات الدولية الأخرى ذات الصلة، مع مراعاة الظروف الاجتماعية-الاقتصادية الوطنية</w:t>
      </w:r>
    </w:p>
    <w:p w:rsidR="00A15D8E" w:rsidRPr="00A15D8E" w:rsidRDefault="00A15D8E" w:rsidP="00A15D8E">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A15D8E">
        <w:rPr>
          <w:rFonts w:hint="cs"/>
          <w:szCs w:val="22"/>
          <w:rtl/>
          <w:lang w:bidi="ar-EG"/>
        </w:rPr>
        <w:t>يحتوي حوالي 11 في المائة من الاستراتيجيات وخطط العمل الوطنية للتنوع البيولوجي التي تم تقييمها على أهداف مشابهة من حيث مدى ومستوى الطموح للهدف 3 من أهداف أيشي</w:t>
      </w:r>
      <w:r w:rsidRPr="00A15D8E">
        <w:rPr>
          <w:rStyle w:val="FootnoteReference"/>
          <w:sz w:val="22"/>
          <w:szCs w:val="22"/>
          <w:u w:val="none"/>
          <w:vertAlign w:val="superscript"/>
          <w:rtl/>
        </w:rPr>
        <w:footnoteReference w:id="12"/>
      </w:r>
      <w:r w:rsidRPr="00A15D8E">
        <w:rPr>
          <w:rFonts w:hint="cs"/>
          <w:szCs w:val="22"/>
          <w:rtl/>
          <w:lang w:bidi="ar-EG"/>
        </w:rPr>
        <w:t xml:space="preserve"> واحتوت واحدة على هدف وطني يتجاوز هدف </w:t>
      </w:r>
      <w:r w:rsidR="00CC2584">
        <w:rPr>
          <w:rFonts w:hint="cs"/>
          <w:szCs w:val="22"/>
          <w:rtl/>
          <w:lang w:bidi="ar-EG"/>
        </w:rPr>
        <w:t>أيشي</w:t>
      </w:r>
      <w:r w:rsidR="00FF3E84">
        <w:rPr>
          <w:rFonts w:hint="cs"/>
          <w:szCs w:val="22"/>
          <w:rtl/>
          <w:lang w:bidi="ar-EG"/>
        </w:rPr>
        <w:t xml:space="preserve"> </w:t>
      </w:r>
      <w:r w:rsidRPr="00A15D8E">
        <w:rPr>
          <w:rFonts w:hint="cs"/>
          <w:szCs w:val="22"/>
          <w:rtl/>
          <w:lang w:bidi="ar-EG"/>
        </w:rPr>
        <w:t>إذ أن موعده النهائي كان عام 2017.</w:t>
      </w:r>
      <w:r w:rsidRPr="00A15D8E">
        <w:rPr>
          <w:rStyle w:val="FootnoteReference"/>
          <w:sz w:val="22"/>
          <w:szCs w:val="22"/>
          <w:rtl/>
        </w:rPr>
        <w:footnoteReference w:id="13"/>
      </w:r>
      <w:r w:rsidRPr="00A15D8E">
        <w:rPr>
          <w:rFonts w:hint="cs"/>
          <w:szCs w:val="22"/>
          <w:rtl/>
          <w:lang w:bidi="ar-EG"/>
        </w:rPr>
        <w:t xml:space="preserve"> ويحتوي ما مجموعه </w:t>
      </w:r>
      <w:r>
        <w:rPr>
          <w:rFonts w:hint="cs"/>
          <w:szCs w:val="22"/>
          <w:rtl/>
          <w:lang w:bidi="ar-EG"/>
        </w:rPr>
        <w:t>48</w:t>
      </w:r>
      <w:r w:rsidRPr="00A15D8E">
        <w:rPr>
          <w:rFonts w:hint="cs"/>
          <w:szCs w:val="22"/>
          <w:rtl/>
          <w:lang w:bidi="ar-EG"/>
        </w:rPr>
        <w:t xml:space="preserve"> في المائة من هذه الاستراتيجيات وخطط العمل على أهداف لها مستوى أقل من الطموح أو لم </w:t>
      </w:r>
      <w:r w:rsidRPr="00A15D8E">
        <w:rPr>
          <w:rFonts w:hint="cs"/>
          <w:szCs w:val="22"/>
          <w:rtl/>
          <w:lang w:bidi="ar-EG"/>
        </w:rPr>
        <w:lastRenderedPageBreak/>
        <w:t xml:space="preserve">تعالج جميع العناصر الواردة في هدف أيشي. وكان الكثير من هذه الأهداف ذات طبيعة عامة وتشير إلى الحوافز والإعانات على نحو واسع بدون تحديد الإزالة أو الحوافز الضارة أو تطوير حوافز إيجابية. ومن الاستراتيجيات وخطط العمل هذه التي تم تقييمها، لا يحتوي 42 في المائة على أي أهداف وطنية أو التزامات تتعلق بهذا الهدف. وهذا الهدف من أهداف </w:t>
      </w:r>
      <w:r w:rsidR="00CC2584">
        <w:rPr>
          <w:rFonts w:hint="cs"/>
          <w:szCs w:val="22"/>
          <w:rtl/>
          <w:lang w:bidi="ar-EG"/>
        </w:rPr>
        <w:t>أيشي</w:t>
      </w:r>
      <w:r w:rsidR="00FF3E84">
        <w:rPr>
          <w:rFonts w:hint="cs"/>
          <w:szCs w:val="22"/>
          <w:rtl/>
          <w:lang w:bidi="ar-EG"/>
        </w:rPr>
        <w:t xml:space="preserve"> </w:t>
      </w:r>
      <w:r w:rsidRPr="00A15D8E">
        <w:rPr>
          <w:rFonts w:hint="cs"/>
          <w:szCs w:val="22"/>
          <w:rtl/>
          <w:lang w:bidi="ar-EG"/>
        </w:rPr>
        <w:t>هو واحد من بين تلك الأهداف التي لديها أقل مستوى من المواءمة للأهداف الوطنية الواردة في الاستراتيجيات وخطط العمل الوطنية للتنوع البيولوجي.</w:t>
      </w:r>
    </w:p>
    <w:p w:rsidR="00FE1069" w:rsidRPr="00FE1069" w:rsidRDefault="00FE1069" w:rsidP="00FE1069">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E1069">
        <w:rPr>
          <w:rFonts w:hint="cs"/>
          <w:szCs w:val="22"/>
          <w:rtl/>
          <w:lang w:bidi="ar-EG"/>
        </w:rPr>
        <w:t xml:space="preserve">ويحتوي </w:t>
      </w:r>
      <w:r>
        <w:rPr>
          <w:rFonts w:hint="cs"/>
          <w:szCs w:val="22"/>
          <w:rtl/>
          <w:lang w:bidi="ar-EG"/>
        </w:rPr>
        <w:t>3</w:t>
      </w:r>
      <w:r w:rsidRPr="00FE1069">
        <w:rPr>
          <w:rFonts w:hint="cs"/>
          <w:szCs w:val="22"/>
          <w:rtl/>
          <w:lang w:bidi="ar-EG"/>
        </w:rPr>
        <w:t xml:space="preserve"> في المائة فقط من التقارير الوطنية على معلومات تشير إلى أن هذا الاتجاه على المسار الصحيح للوفاء به. ويشير أكثر من 40 في المائة من التقارير الوطنية الخامسة إلى إحراز تقدم نحو تحقيق هذا الهدف ولكن بمعدل لن يسمح بالوفاء به بحلول عام 2020. ويشير 30 في المائة تقريبا من التقارير إلى عدم حدوث تغيرات ملحوظة في التقدم نحو تحقيق هذا الهدف بينما يحتوي ربع التقارير الوطنية تقريبا (24 في المائة) على معلومات غير كافية للتمكين من تقييم التقدم المحرز نحو تحقيق هذا الهدف. وتشير المعلومات في التقارير الوطنية إلى وجود اهتمام أكثر نسبيا على تطوير الحوافز الإيجابية بدلا من إزالة الحوافز الضارة أو تعديلها.</w:t>
      </w:r>
      <w:r>
        <w:rPr>
          <w:rFonts w:hint="cs"/>
          <w:szCs w:val="22"/>
          <w:rtl/>
          <w:lang w:bidi="ar-EG"/>
        </w:rPr>
        <w:t xml:space="preserve"> وترد معلومات إضافية عن الهدف 3 في الوثيقة </w:t>
      </w:r>
      <w:r w:rsidRPr="00E771FA">
        <w:rPr>
          <w:rFonts w:eastAsia="Malgun Gothic"/>
          <w:kern w:val="22"/>
          <w:szCs w:val="22"/>
        </w:rPr>
        <w:t>CBD/SBI/2/2/Add.4</w:t>
      </w:r>
      <w:r>
        <w:rPr>
          <w:rFonts w:hint="cs"/>
          <w:szCs w:val="22"/>
          <w:rtl/>
          <w:lang w:bidi="ar-EG"/>
        </w:rPr>
        <w:t>.</w:t>
      </w:r>
    </w:p>
    <w:p w:rsidR="00FE1069" w:rsidRPr="00FE1069" w:rsidRDefault="00FE1069" w:rsidP="00212CCF">
      <w:pPr>
        <w:keepNext/>
        <w:suppressLineNumbers/>
        <w:suppressAutoHyphens/>
        <w:kinsoku w:val="0"/>
        <w:overflowPunct w:val="0"/>
        <w:autoSpaceDE w:val="0"/>
        <w:autoSpaceDN w:val="0"/>
        <w:bidi/>
        <w:spacing w:before="120" w:after="120"/>
        <w:rPr>
          <w:i/>
          <w:iCs/>
          <w:snapToGrid w:val="0"/>
          <w:kern w:val="22"/>
          <w:szCs w:val="22"/>
          <w:shd w:val="clear" w:color="auto" w:fill="FFFFFF"/>
          <w:rtl/>
        </w:rPr>
      </w:pPr>
      <w:r w:rsidRPr="00FE1069">
        <w:rPr>
          <w:rFonts w:hint="cs"/>
          <w:i/>
          <w:iCs/>
          <w:color w:val="333333"/>
          <w:szCs w:val="22"/>
          <w:rtl/>
          <w:lang w:bidi="ar-EG"/>
        </w:rPr>
        <w:t>الهدف 4 -  ب</w:t>
      </w:r>
      <w:r w:rsidRPr="00FE1069">
        <w:rPr>
          <w:i/>
          <w:iCs/>
          <w:color w:val="333333"/>
          <w:szCs w:val="22"/>
          <w:rtl/>
          <w:lang w:bidi="ar-EG"/>
        </w:rPr>
        <w:t>حلول</w:t>
      </w:r>
      <w:r w:rsidRPr="00FE1069">
        <w:rPr>
          <w:rFonts w:hint="cs"/>
          <w:i/>
          <w:iCs/>
          <w:color w:val="333333"/>
          <w:szCs w:val="22"/>
          <w:rtl/>
          <w:lang w:bidi="ar-EG"/>
        </w:rPr>
        <w:t xml:space="preserve"> عام</w:t>
      </w:r>
      <w:r w:rsidRPr="00FE1069">
        <w:rPr>
          <w:i/>
          <w:iCs/>
          <w:color w:val="333333"/>
          <w:szCs w:val="22"/>
          <w:rtl/>
          <w:lang w:bidi="ar-EG"/>
        </w:rPr>
        <w:t xml:space="preserve"> 2020</w:t>
      </w:r>
      <w:r w:rsidRPr="00FE1069">
        <w:rPr>
          <w:rFonts w:hint="cs"/>
          <w:i/>
          <w:iCs/>
          <w:color w:val="333333"/>
          <w:szCs w:val="22"/>
          <w:rtl/>
          <w:lang w:bidi="ar-EG"/>
        </w:rPr>
        <w:t xml:space="preserve"> كحد أقصى</w:t>
      </w:r>
      <w:r w:rsidRPr="00FE1069">
        <w:rPr>
          <w:i/>
          <w:iCs/>
          <w:color w:val="333333"/>
          <w:szCs w:val="22"/>
          <w:rtl/>
          <w:lang w:bidi="ar-EG"/>
        </w:rPr>
        <w:t xml:space="preserve">، </w:t>
      </w:r>
      <w:r w:rsidRPr="00FE1069">
        <w:rPr>
          <w:rFonts w:hint="cs"/>
          <w:i/>
          <w:iCs/>
          <w:color w:val="333333"/>
          <w:szCs w:val="22"/>
          <w:rtl/>
          <w:lang w:bidi="ar-EG"/>
        </w:rPr>
        <w:t xml:space="preserve">تكون </w:t>
      </w:r>
      <w:r w:rsidRPr="00FE1069">
        <w:rPr>
          <w:i/>
          <w:iCs/>
          <w:color w:val="333333"/>
          <w:szCs w:val="22"/>
          <w:rtl/>
          <w:lang w:bidi="ar-EG"/>
        </w:rPr>
        <w:t xml:space="preserve">الحكومات </w:t>
      </w:r>
      <w:r w:rsidRPr="00FE1069">
        <w:rPr>
          <w:rFonts w:hint="cs"/>
          <w:i/>
          <w:iCs/>
          <w:color w:val="333333"/>
          <w:szCs w:val="22"/>
          <w:rtl/>
          <w:lang w:bidi="ar-EG"/>
        </w:rPr>
        <w:t>وقطاع الأعمال وأصحاب</w:t>
      </w:r>
      <w:r w:rsidRPr="00FE1069">
        <w:rPr>
          <w:i/>
          <w:iCs/>
          <w:color w:val="333333"/>
          <w:szCs w:val="22"/>
          <w:rtl/>
          <w:lang w:bidi="ar-EG"/>
        </w:rPr>
        <w:t xml:space="preserve"> المصلحة على جميع المستويات </w:t>
      </w:r>
      <w:r w:rsidRPr="00FE1069">
        <w:rPr>
          <w:rFonts w:hint="cs"/>
          <w:i/>
          <w:iCs/>
          <w:color w:val="333333"/>
          <w:szCs w:val="22"/>
          <w:rtl/>
          <w:lang w:bidi="ar-EG"/>
        </w:rPr>
        <w:t xml:space="preserve">قد اتخذت خطوات لتنفيذ </w:t>
      </w:r>
      <w:r w:rsidRPr="00FE1069">
        <w:rPr>
          <w:i/>
          <w:iCs/>
          <w:color w:val="333333"/>
          <w:szCs w:val="22"/>
          <w:rtl/>
          <w:lang w:bidi="ar-EG"/>
        </w:rPr>
        <w:t xml:space="preserve">خطط </w:t>
      </w:r>
      <w:r w:rsidRPr="00FE1069">
        <w:rPr>
          <w:rFonts w:hint="cs"/>
          <w:i/>
          <w:iCs/>
          <w:color w:val="333333"/>
          <w:szCs w:val="22"/>
          <w:rtl/>
          <w:lang w:bidi="ar-EG"/>
        </w:rPr>
        <w:t xml:space="preserve">أو تكون قد نفذت خططاً من أجل تحقيق الإنتاج والاستهلاك المستدامين وتكون قد سيطرت على تأثيرات استخدام </w:t>
      </w:r>
      <w:r w:rsidRPr="00FE1069">
        <w:rPr>
          <w:i/>
          <w:iCs/>
          <w:color w:val="333333"/>
          <w:szCs w:val="22"/>
          <w:rtl/>
          <w:lang w:bidi="ar-EG"/>
        </w:rPr>
        <w:t xml:space="preserve">الموارد </w:t>
      </w:r>
      <w:r w:rsidRPr="00FE1069">
        <w:rPr>
          <w:rFonts w:hint="cs"/>
          <w:i/>
          <w:iCs/>
          <w:color w:val="333333"/>
          <w:szCs w:val="22"/>
          <w:rtl/>
          <w:lang w:bidi="ar-EG"/>
        </w:rPr>
        <w:t>الطبيعية في</w:t>
      </w:r>
      <w:r w:rsidRPr="00FE1069">
        <w:rPr>
          <w:i/>
          <w:iCs/>
          <w:color w:val="333333"/>
          <w:szCs w:val="22"/>
          <w:rtl/>
          <w:lang w:bidi="ar-EG"/>
        </w:rPr>
        <w:t xml:space="preserve"> </w:t>
      </w:r>
      <w:r w:rsidRPr="00FE1069">
        <w:rPr>
          <w:rFonts w:hint="cs"/>
          <w:i/>
          <w:iCs/>
          <w:color w:val="333333"/>
          <w:szCs w:val="22"/>
          <w:rtl/>
          <w:lang w:bidi="ar-EG"/>
        </w:rPr>
        <w:t>نطاق ال</w:t>
      </w:r>
      <w:r w:rsidRPr="00FE1069">
        <w:rPr>
          <w:i/>
          <w:iCs/>
          <w:color w:val="333333"/>
          <w:szCs w:val="22"/>
          <w:rtl/>
          <w:lang w:bidi="ar-EG"/>
        </w:rPr>
        <w:t xml:space="preserve">حدود </w:t>
      </w:r>
      <w:r w:rsidRPr="00FE1069">
        <w:rPr>
          <w:rFonts w:hint="cs"/>
          <w:i/>
          <w:iCs/>
          <w:color w:val="333333"/>
          <w:szCs w:val="22"/>
          <w:rtl/>
          <w:lang w:bidi="ar-EG"/>
        </w:rPr>
        <w:t>الإيكولوجية المأمونة</w:t>
      </w:r>
    </w:p>
    <w:p w:rsidR="00FE1069" w:rsidRPr="00FE1069" w:rsidRDefault="00FE1069" w:rsidP="00FE1069">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E1069">
        <w:rPr>
          <w:rFonts w:hint="cs"/>
          <w:szCs w:val="22"/>
          <w:rtl/>
          <w:lang w:bidi="ar-EG"/>
        </w:rPr>
        <w:t xml:space="preserve">يحتوي </w:t>
      </w:r>
      <w:r>
        <w:rPr>
          <w:rFonts w:hint="cs"/>
          <w:szCs w:val="22"/>
          <w:rtl/>
          <w:lang w:bidi="ar-EG"/>
        </w:rPr>
        <w:t>11</w:t>
      </w:r>
      <w:r w:rsidRPr="00FE1069">
        <w:rPr>
          <w:rFonts w:hint="cs"/>
          <w:szCs w:val="22"/>
          <w:rtl/>
          <w:lang w:bidi="ar-EG"/>
        </w:rPr>
        <w:t xml:space="preserve"> في المائة فقط من الاستراتيجيات وخطط العمل الوطنية للتنوع البيولوجي على أهداف مشابهة لمدى وطموح هدف أيشي</w:t>
      </w:r>
      <w:r w:rsidRPr="00FE1069">
        <w:rPr>
          <w:rStyle w:val="FootnoteReference"/>
          <w:sz w:val="22"/>
          <w:szCs w:val="22"/>
          <w:u w:val="none"/>
          <w:vertAlign w:val="superscript"/>
          <w:rtl/>
        </w:rPr>
        <w:footnoteReference w:id="14"/>
      </w:r>
      <w:r w:rsidRPr="00FE1069">
        <w:rPr>
          <w:rFonts w:hint="cs"/>
          <w:szCs w:val="22"/>
          <w:rtl/>
          <w:lang w:bidi="ar-EG"/>
        </w:rPr>
        <w:t xml:space="preserve"> بينما يحتوي 61 في المائة على أهداف بمستوى أقل من الطموح أو أنها لا تغطي جميع عناصر هدف أيشي. ولا تحتوي أكثر من ربع (</w:t>
      </w:r>
      <w:r>
        <w:rPr>
          <w:rFonts w:hint="cs"/>
          <w:szCs w:val="22"/>
          <w:rtl/>
          <w:lang w:bidi="ar-EG"/>
        </w:rPr>
        <w:t>24</w:t>
      </w:r>
      <w:r w:rsidRPr="00FE1069">
        <w:rPr>
          <w:rFonts w:hint="cs"/>
          <w:szCs w:val="22"/>
          <w:rtl/>
          <w:lang w:bidi="ar-EG"/>
        </w:rPr>
        <w:t xml:space="preserve"> في المائة) هذه الاستراتيجيات وخطط العمل على أهداف تتعلق بهذا الهدف. ومن بين الأهداف التي تم تحديدها أشار عدد قليل إلى الإبقاء على أثر استخدام الموارد الطبيعية في نطاق الحدود الإيكولوجية المأمونة. ويشير معظم الهدف المحدد إلى الاستخدام المستدام على نحو عام ولا يعالج بالتحديد الإنتاج والاستهلاك المستدامين.</w:t>
      </w:r>
    </w:p>
    <w:p w:rsidR="00FE1069" w:rsidRPr="00FE1069" w:rsidRDefault="00FE1069" w:rsidP="00FE1069">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E1069">
        <w:rPr>
          <w:rFonts w:hint="cs"/>
          <w:szCs w:val="22"/>
          <w:rtl/>
          <w:lang w:bidi="ar-EG"/>
        </w:rPr>
        <w:t xml:space="preserve">ويحتوي </w:t>
      </w:r>
      <w:r>
        <w:rPr>
          <w:rFonts w:hint="cs"/>
          <w:szCs w:val="22"/>
          <w:rtl/>
          <w:lang w:bidi="ar-EG"/>
        </w:rPr>
        <w:t>3</w:t>
      </w:r>
      <w:r w:rsidRPr="00FE1069">
        <w:rPr>
          <w:rFonts w:hint="cs"/>
          <w:szCs w:val="22"/>
          <w:rtl/>
          <w:lang w:bidi="ar-EG"/>
        </w:rPr>
        <w:t xml:space="preserve"> في المائة فقط من التقارير الوطنية على معلومات تشير إلى أن هذا الهدف على المسار الصحيح للوفاء به في الموعد النهائي. ويحتوي أكثر من نصف التقارير الوطنية (55 في المائة) على معلومات تشير إلى إحراز تقدم نحو تحقيق هذا الهدف ولكن بمعدل لن يسمح بالوفاء بالهدف بحلول عام 2020. </w:t>
      </w:r>
      <w:r>
        <w:rPr>
          <w:rFonts w:hint="cs"/>
          <w:szCs w:val="22"/>
          <w:rtl/>
          <w:lang w:bidi="ar-EG"/>
        </w:rPr>
        <w:t xml:space="preserve">ويشير </w:t>
      </w:r>
      <w:r w:rsidR="00CC2584">
        <w:rPr>
          <w:rFonts w:hint="cs"/>
          <w:szCs w:val="22"/>
          <w:rtl/>
          <w:lang w:bidi="ar-EG"/>
        </w:rPr>
        <w:t>ما يقر</w:t>
      </w:r>
      <w:r w:rsidR="00CC2584">
        <w:rPr>
          <w:rFonts w:hint="eastAsia"/>
          <w:szCs w:val="22"/>
          <w:rtl/>
          <w:lang w:bidi="ar-EG"/>
        </w:rPr>
        <w:t>ب</w:t>
      </w:r>
      <w:r>
        <w:rPr>
          <w:rFonts w:hint="cs"/>
          <w:szCs w:val="22"/>
          <w:rtl/>
          <w:lang w:bidi="ar-EG"/>
        </w:rPr>
        <w:t xml:space="preserve"> من ثلث التقارير (31 في المائة) أنه لم تحدث إلى تغييرات كبيرة </w:t>
      </w:r>
      <w:r w:rsidRPr="00FE1069">
        <w:rPr>
          <w:rFonts w:hint="cs"/>
          <w:szCs w:val="22"/>
          <w:rtl/>
          <w:lang w:bidi="ar-EG"/>
        </w:rPr>
        <w:t>ويبدو أن التقدم المحرز يركز بدرجة أعلى على اتخاذ خطوات لتعزيز الإنتاج المستدام عامة. وبالمقارنة، تم إحراز تقدم أقل نسبيا بشأن المسائل المتعلقة بالاستهلاك المستدام ويحتوي عدد قليل من التقارير على معلومات تتعلق بالإبقاء على تأثيرات استخدام الموارد الطبيعية في نطاق الحدود الإيكولوجية المأمونة.</w:t>
      </w:r>
    </w:p>
    <w:p w:rsidR="00FE1069" w:rsidRPr="00FE1069" w:rsidRDefault="00FE1069" w:rsidP="00212CCF">
      <w:pPr>
        <w:keepNext/>
        <w:suppressLineNumbers/>
        <w:suppressAutoHyphens/>
        <w:kinsoku w:val="0"/>
        <w:overflowPunct w:val="0"/>
        <w:autoSpaceDE w:val="0"/>
        <w:autoSpaceDN w:val="0"/>
        <w:bidi/>
        <w:spacing w:before="120" w:after="120"/>
        <w:rPr>
          <w:i/>
          <w:iCs/>
          <w:snapToGrid w:val="0"/>
          <w:kern w:val="22"/>
          <w:szCs w:val="22"/>
          <w:shd w:val="clear" w:color="auto" w:fill="FFFFFF"/>
          <w:rtl/>
        </w:rPr>
      </w:pPr>
      <w:r w:rsidRPr="00FE1069">
        <w:rPr>
          <w:i/>
          <w:iCs/>
          <w:color w:val="333333"/>
          <w:szCs w:val="22"/>
          <w:rtl/>
          <w:lang w:bidi="ar-EG"/>
        </w:rPr>
        <w:t>الهدف 5</w:t>
      </w:r>
      <w:r w:rsidRPr="00FE1069">
        <w:rPr>
          <w:rFonts w:hint="cs"/>
          <w:b/>
          <w:bCs/>
          <w:i/>
          <w:iCs/>
          <w:color w:val="333333"/>
          <w:szCs w:val="22"/>
          <w:rtl/>
          <w:lang w:bidi="ar-EG"/>
        </w:rPr>
        <w:t xml:space="preserve"> -</w:t>
      </w:r>
      <w:r w:rsidRPr="00FE1069">
        <w:rPr>
          <w:rFonts w:hint="cs"/>
          <w:color w:val="333333"/>
          <w:szCs w:val="22"/>
          <w:rtl/>
          <w:lang w:bidi="ar-EG"/>
        </w:rPr>
        <w:t xml:space="preserve"> </w:t>
      </w:r>
      <w:r w:rsidRPr="00FE1069">
        <w:rPr>
          <w:rFonts w:hint="cs"/>
          <w:i/>
          <w:iCs/>
          <w:color w:val="333333"/>
          <w:szCs w:val="22"/>
          <w:rtl/>
          <w:lang w:bidi="ar-EG"/>
        </w:rPr>
        <w:t xml:space="preserve"> </w:t>
      </w:r>
      <w:r w:rsidRPr="00FE1069">
        <w:rPr>
          <w:i/>
          <w:iCs/>
          <w:color w:val="333333"/>
          <w:szCs w:val="22"/>
          <w:rtl/>
          <w:lang w:bidi="ar-EG"/>
        </w:rPr>
        <w:t xml:space="preserve">بحلول عام 2020، </w:t>
      </w:r>
      <w:r w:rsidRPr="00FE1069">
        <w:rPr>
          <w:rFonts w:hint="cs"/>
          <w:i/>
          <w:iCs/>
          <w:color w:val="333333"/>
          <w:szCs w:val="22"/>
          <w:rtl/>
          <w:lang w:bidi="ar-EG"/>
        </w:rPr>
        <w:t>يخفَّض</w:t>
      </w:r>
      <w:r w:rsidRPr="00FE1069">
        <w:rPr>
          <w:i/>
          <w:iCs/>
          <w:color w:val="333333"/>
          <w:szCs w:val="22"/>
          <w:rtl/>
          <w:lang w:bidi="ar-EG"/>
        </w:rPr>
        <w:t xml:space="preserve"> </w:t>
      </w:r>
      <w:r w:rsidRPr="00FE1069">
        <w:rPr>
          <w:rFonts w:hint="cs"/>
          <w:i/>
          <w:iCs/>
          <w:color w:val="333333"/>
          <w:szCs w:val="22"/>
          <w:rtl/>
          <w:lang w:bidi="ar-EG"/>
        </w:rPr>
        <w:t xml:space="preserve">معدل </w:t>
      </w:r>
      <w:r w:rsidRPr="00FE1069">
        <w:rPr>
          <w:i/>
          <w:iCs/>
          <w:color w:val="333333"/>
          <w:szCs w:val="22"/>
          <w:rtl/>
          <w:lang w:bidi="ar-EG"/>
        </w:rPr>
        <w:t xml:space="preserve">فقدان </w:t>
      </w:r>
      <w:r w:rsidRPr="00FE1069">
        <w:rPr>
          <w:rFonts w:hint="cs"/>
          <w:i/>
          <w:iCs/>
          <w:color w:val="333333"/>
          <w:szCs w:val="22"/>
          <w:rtl/>
          <w:lang w:bidi="ar-EG"/>
        </w:rPr>
        <w:t xml:space="preserve">جميع </w:t>
      </w:r>
      <w:r w:rsidRPr="00FE1069">
        <w:rPr>
          <w:i/>
          <w:iCs/>
          <w:color w:val="333333"/>
          <w:szCs w:val="22"/>
          <w:rtl/>
          <w:lang w:bidi="ar-EG"/>
        </w:rPr>
        <w:t>الموائل الطبيعية</w:t>
      </w:r>
      <w:r w:rsidRPr="00FE1069">
        <w:rPr>
          <w:rFonts w:hint="cs"/>
          <w:i/>
          <w:iCs/>
          <w:color w:val="333333"/>
          <w:szCs w:val="22"/>
          <w:rtl/>
          <w:lang w:bidi="ar-EG"/>
        </w:rPr>
        <w:t>،</w:t>
      </w:r>
      <w:r w:rsidRPr="00FE1069">
        <w:rPr>
          <w:i/>
          <w:iCs/>
          <w:color w:val="333333"/>
          <w:szCs w:val="22"/>
          <w:rtl/>
          <w:lang w:bidi="ar-EG"/>
        </w:rPr>
        <w:t xml:space="preserve"> </w:t>
      </w:r>
      <w:r w:rsidRPr="00FE1069">
        <w:rPr>
          <w:rFonts w:hint="cs"/>
          <w:i/>
          <w:iCs/>
          <w:color w:val="333333"/>
          <w:szCs w:val="22"/>
          <w:rtl/>
          <w:lang w:bidi="ar-EG"/>
        </w:rPr>
        <w:t xml:space="preserve">بما في ذلك الغابات، </w:t>
      </w:r>
      <w:r w:rsidRPr="00FE1069">
        <w:rPr>
          <w:i/>
          <w:iCs/>
          <w:color w:val="333333"/>
          <w:szCs w:val="22"/>
          <w:rtl/>
          <w:lang w:bidi="ar-EG"/>
        </w:rPr>
        <w:t>إلى النصف</w:t>
      </w:r>
      <w:r w:rsidRPr="00FE1069">
        <w:rPr>
          <w:rFonts w:hint="cs"/>
          <w:i/>
          <w:iCs/>
          <w:color w:val="333333"/>
          <w:szCs w:val="22"/>
          <w:rtl/>
          <w:lang w:bidi="ar-EG"/>
        </w:rPr>
        <w:t xml:space="preserve"> على الأقل، وحيثما يكون ممكنا إلى ما يقرب من الصفر، ويخفض </w:t>
      </w:r>
      <w:r w:rsidRPr="00FE1069">
        <w:rPr>
          <w:i/>
          <w:iCs/>
          <w:color w:val="333333"/>
          <w:szCs w:val="22"/>
          <w:rtl/>
          <w:lang w:bidi="ar-EG"/>
        </w:rPr>
        <w:t xml:space="preserve">تدهور </w:t>
      </w:r>
      <w:r w:rsidRPr="00FE1069">
        <w:rPr>
          <w:rFonts w:hint="cs"/>
          <w:i/>
          <w:iCs/>
          <w:color w:val="333333"/>
          <w:szCs w:val="22"/>
          <w:rtl/>
          <w:lang w:bidi="ar-EG"/>
        </w:rPr>
        <w:t>وتفتت الموائل الطبيعية بقدر كبير</w:t>
      </w:r>
    </w:p>
    <w:p w:rsidR="00FE1069" w:rsidRPr="00FE1069" w:rsidRDefault="00FE1069"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E1069">
        <w:rPr>
          <w:rFonts w:hint="cs"/>
          <w:szCs w:val="22"/>
          <w:rtl/>
          <w:lang w:bidi="ar-EG"/>
        </w:rPr>
        <w:t>من بين الاستراتيجيات وخطط العمل الوطنية للتنوع البيولوجي التي تم تقييمها، كان 7 في المائة منها يحتوي على أهداف أو التزامات لها مدى ومستوى طموح مشابه للهدف 5 من أهداف أيشي،</w:t>
      </w:r>
      <w:r w:rsidRPr="00FE1069">
        <w:rPr>
          <w:rStyle w:val="FootnoteReference"/>
          <w:sz w:val="22"/>
          <w:szCs w:val="22"/>
          <w:u w:val="none"/>
          <w:vertAlign w:val="superscript"/>
          <w:rtl/>
        </w:rPr>
        <w:footnoteReference w:id="15"/>
      </w:r>
      <w:r w:rsidRPr="00FE1069">
        <w:rPr>
          <w:rFonts w:hint="cs"/>
          <w:szCs w:val="22"/>
          <w:rtl/>
          <w:lang w:bidi="ar-EG"/>
        </w:rPr>
        <w:t xml:space="preserve"> بينما يحتوي 1 في المائة على أهداف أكثر طموحا من هدف أيشي.</w:t>
      </w:r>
      <w:r w:rsidRPr="00FE1069">
        <w:rPr>
          <w:rStyle w:val="FootnoteReference"/>
          <w:sz w:val="22"/>
          <w:szCs w:val="22"/>
          <w:u w:val="none"/>
          <w:vertAlign w:val="superscript"/>
          <w:rtl/>
        </w:rPr>
        <w:footnoteReference w:id="16"/>
      </w:r>
      <w:r w:rsidRPr="00FE1069">
        <w:rPr>
          <w:rFonts w:hint="cs"/>
          <w:szCs w:val="22"/>
          <w:rtl/>
          <w:lang w:bidi="ar-EG"/>
        </w:rPr>
        <w:t xml:space="preserve"> ويحتوي نحو ثلاثة أرباع (70 في المائة) من الاستراتيجيات وخطط العمل الوطنية على أهداف لها مستوى أقل من الطموح أو لا تعالج صراحة جميع عناصر هدف </w:t>
      </w:r>
      <w:r w:rsidR="00CC2584">
        <w:rPr>
          <w:rFonts w:hint="cs"/>
          <w:szCs w:val="22"/>
          <w:rtl/>
          <w:lang w:bidi="ar-EG"/>
        </w:rPr>
        <w:t>أيشي</w:t>
      </w:r>
      <w:r w:rsidR="00FF3E84">
        <w:rPr>
          <w:rFonts w:hint="cs"/>
          <w:szCs w:val="22"/>
          <w:rtl/>
          <w:lang w:bidi="ar-EG"/>
        </w:rPr>
        <w:t xml:space="preserve"> </w:t>
      </w:r>
      <w:r w:rsidRPr="00FE1069">
        <w:rPr>
          <w:rFonts w:hint="cs"/>
          <w:szCs w:val="22"/>
          <w:rtl/>
          <w:lang w:bidi="ar-EG"/>
        </w:rPr>
        <w:t xml:space="preserve">بينما لا يحتوي نحو خُمس (21 في المائة) هذه الاستراتيجيات وخطط العمل على أي أهداف ذات صلة. ومعظم الأهداف المحددة تشير إلى خفض فقدان البيئات الطبيعة عامة. ومعظم </w:t>
      </w:r>
      <w:r w:rsidR="00CC2584" w:rsidRPr="00FE1069">
        <w:rPr>
          <w:rFonts w:hint="cs"/>
          <w:szCs w:val="22"/>
          <w:rtl/>
          <w:lang w:bidi="ar-EG"/>
        </w:rPr>
        <w:t>الأهداف</w:t>
      </w:r>
      <w:r w:rsidRPr="00FE1069">
        <w:rPr>
          <w:rFonts w:hint="cs"/>
          <w:szCs w:val="22"/>
          <w:rtl/>
          <w:lang w:bidi="ar-EG"/>
        </w:rPr>
        <w:t xml:space="preserve"> الوطنية التي تشير إلى موائل محددة تشير إلى الغابات. غير أن </w:t>
      </w:r>
      <w:r w:rsidR="00CC2584" w:rsidRPr="00FE1069">
        <w:rPr>
          <w:rFonts w:hint="cs"/>
          <w:szCs w:val="22"/>
          <w:rtl/>
          <w:lang w:bidi="ar-EG"/>
        </w:rPr>
        <w:t>المانغرو</w:t>
      </w:r>
      <w:r w:rsidR="00CC2584" w:rsidRPr="00FE1069">
        <w:rPr>
          <w:rFonts w:hint="eastAsia"/>
          <w:szCs w:val="22"/>
          <w:rtl/>
          <w:lang w:bidi="ar-EG"/>
        </w:rPr>
        <w:t>ف</w:t>
      </w:r>
      <w:r w:rsidRPr="00FE1069">
        <w:rPr>
          <w:rFonts w:hint="cs"/>
          <w:szCs w:val="22"/>
          <w:rtl/>
          <w:lang w:bidi="ar-EG"/>
        </w:rPr>
        <w:t>، والشعاب المرجانية، والأنهار، وأراضي الرعي والبيئات البحرية قد تم ذكرها أيضا ولكن على نطاق أقل بكثير. وهناك عدد قليل من الأهداف الوطنية تحدد المدى الذي سيتم فيه خفض معدل فقدان الموائل ويشير عدد قليل صراحة إلى تدهور الموائل أو تفتيتها.</w:t>
      </w:r>
    </w:p>
    <w:p w:rsidR="00FE1069" w:rsidRPr="00FE1069" w:rsidRDefault="00FE1069" w:rsidP="000335B7">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E1069">
        <w:rPr>
          <w:rFonts w:hint="cs"/>
          <w:szCs w:val="22"/>
          <w:rtl/>
          <w:lang w:bidi="ar-EG"/>
        </w:rPr>
        <w:t xml:space="preserve">ويحتوي </w:t>
      </w:r>
      <w:r>
        <w:rPr>
          <w:rFonts w:hint="cs"/>
          <w:szCs w:val="22"/>
          <w:rtl/>
          <w:lang w:bidi="ar-EG"/>
        </w:rPr>
        <w:t>5</w:t>
      </w:r>
      <w:r w:rsidRPr="00FE1069">
        <w:rPr>
          <w:rFonts w:hint="cs"/>
          <w:szCs w:val="22"/>
          <w:rtl/>
          <w:lang w:bidi="ar-EG"/>
        </w:rPr>
        <w:t xml:space="preserve"> في المائة فقط من التقارير الوطنية على معلومات تشير إلى أن هذا الهدف على المسار الصحيح للوفاء به. ويحتوي أكثر من 40 في المائة من التقارير على معلومات تشير إلى أن الحالة بخصوص </w:t>
      </w:r>
      <w:r w:rsidR="000335B7">
        <w:rPr>
          <w:rFonts w:hint="cs"/>
          <w:szCs w:val="22"/>
          <w:rtl/>
          <w:lang w:bidi="ar-EG"/>
        </w:rPr>
        <w:t>فقدان الموائل لم تتغير أو ت</w:t>
      </w:r>
      <w:r w:rsidRPr="00FE1069">
        <w:rPr>
          <w:rFonts w:hint="cs"/>
          <w:szCs w:val="22"/>
          <w:rtl/>
          <w:lang w:bidi="ar-EG"/>
        </w:rPr>
        <w:t>دهور</w:t>
      </w:r>
      <w:r w:rsidR="000335B7">
        <w:rPr>
          <w:rFonts w:hint="cs"/>
          <w:szCs w:val="22"/>
          <w:rtl/>
          <w:lang w:bidi="ar-EG"/>
        </w:rPr>
        <w:t>ت في حين تشير نفس النسبة إلى أن التقدم تحقق إلاّ أنه لم تكن بالمعدل الذي سيتيح تحقيق الهدف بحلول عام 2020 وتشير معلومات التقارير الوطنية إلى أنه يسند نفس الاهتمام لخفض فقدان الموائل وتدهور وتفتيت الموائل</w:t>
      </w:r>
      <w:r w:rsidRPr="00FE1069">
        <w:rPr>
          <w:rFonts w:hint="cs"/>
          <w:szCs w:val="22"/>
          <w:rtl/>
          <w:lang w:bidi="ar-EG"/>
        </w:rPr>
        <w:t>.</w:t>
      </w:r>
    </w:p>
    <w:p w:rsidR="00597154" w:rsidRPr="00597154" w:rsidRDefault="00597154" w:rsidP="00212CCF">
      <w:pPr>
        <w:keepNext/>
        <w:suppressLineNumbers/>
        <w:suppressAutoHyphens/>
        <w:kinsoku w:val="0"/>
        <w:overflowPunct w:val="0"/>
        <w:autoSpaceDE w:val="0"/>
        <w:autoSpaceDN w:val="0"/>
        <w:bidi/>
        <w:spacing w:before="120" w:after="120"/>
        <w:rPr>
          <w:i/>
          <w:iCs/>
          <w:snapToGrid w:val="0"/>
          <w:kern w:val="22"/>
          <w:szCs w:val="22"/>
          <w:shd w:val="clear" w:color="auto" w:fill="FFFFFF"/>
          <w:rtl/>
        </w:rPr>
      </w:pPr>
      <w:r w:rsidRPr="00597154">
        <w:rPr>
          <w:i/>
          <w:iCs/>
          <w:color w:val="333333"/>
          <w:szCs w:val="22"/>
          <w:rtl/>
          <w:lang w:bidi="ar-EG"/>
        </w:rPr>
        <w:lastRenderedPageBreak/>
        <w:t>الهدف 6</w:t>
      </w:r>
      <w:r w:rsidRPr="00597154">
        <w:rPr>
          <w:rFonts w:hint="cs"/>
          <w:i/>
          <w:iCs/>
          <w:color w:val="333333"/>
          <w:szCs w:val="22"/>
          <w:rtl/>
          <w:lang w:bidi="ar-EG"/>
        </w:rPr>
        <w:t xml:space="preserve"> -  </w:t>
      </w:r>
      <w:r w:rsidRPr="00597154">
        <w:rPr>
          <w:i/>
          <w:iCs/>
          <w:color w:val="333333"/>
          <w:szCs w:val="22"/>
          <w:rtl/>
          <w:lang w:bidi="ar-EG"/>
        </w:rPr>
        <w:t xml:space="preserve">بحلول عام 2020، </w:t>
      </w:r>
      <w:r w:rsidRPr="00597154">
        <w:rPr>
          <w:rFonts w:hint="cs"/>
          <w:i/>
          <w:iCs/>
          <w:color w:val="333333"/>
          <w:szCs w:val="22"/>
          <w:rtl/>
          <w:lang w:bidi="ar-EG"/>
        </w:rPr>
        <w:t xml:space="preserve">يتم على نحو مستدام إدارة وحصاد جميع الأرصدة السمكية واللافقاريات والنباتات المائية، بطريقة قانونية وبتطبيق النُهج القائمة على النظام الإيكولوجي، وذلك لتجنب الصيد المفرط، ووضع خطط وتدابير انعاش لجميع الأنواع المستنفدة، ولا يكون لمصايد الأسماك تأثيرات ضارة كبيرة على الأنواع المهددة </w:t>
      </w:r>
      <w:r w:rsidR="00CC2584" w:rsidRPr="00597154">
        <w:rPr>
          <w:rFonts w:hint="cs"/>
          <w:i/>
          <w:iCs/>
          <w:color w:val="333333"/>
          <w:szCs w:val="22"/>
          <w:rtl/>
          <w:lang w:bidi="ar-EG"/>
        </w:rPr>
        <w:t>بالانقراض</w:t>
      </w:r>
      <w:r w:rsidRPr="00597154">
        <w:rPr>
          <w:rFonts w:hint="cs"/>
          <w:i/>
          <w:iCs/>
          <w:color w:val="333333"/>
          <w:szCs w:val="22"/>
          <w:rtl/>
          <w:lang w:bidi="ar-EG"/>
        </w:rPr>
        <w:t xml:space="preserve"> والنظم الإيكولوجية الضعيفة، وأن تكون تأثيرات مصايد الأسماك على الأرصدة السمكية والأنواع والنظم الإيكولوجية </w:t>
      </w:r>
      <w:r w:rsidRPr="00597154">
        <w:rPr>
          <w:i/>
          <w:iCs/>
          <w:color w:val="333333"/>
          <w:szCs w:val="22"/>
          <w:rtl/>
          <w:lang w:bidi="ar-EG"/>
        </w:rPr>
        <w:t xml:space="preserve">في نطاق الحدود </w:t>
      </w:r>
      <w:r w:rsidRPr="00597154">
        <w:rPr>
          <w:rFonts w:hint="cs"/>
          <w:i/>
          <w:iCs/>
          <w:color w:val="333333"/>
          <w:szCs w:val="22"/>
          <w:rtl/>
          <w:lang w:bidi="ar-EG"/>
        </w:rPr>
        <w:t>الإيكولوجية المأمونة</w:t>
      </w:r>
    </w:p>
    <w:p w:rsidR="00597154" w:rsidRPr="00597154" w:rsidRDefault="00597154" w:rsidP="0059715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97154">
        <w:rPr>
          <w:rFonts w:hint="cs"/>
          <w:szCs w:val="22"/>
          <w:rtl/>
          <w:lang w:bidi="ar-EG"/>
        </w:rPr>
        <w:t xml:space="preserve">وكان </w:t>
      </w:r>
      <w:r>
        <w:rPr>
          <w:rFonts w:hint="cs"/>
          <w:szCs w:val="22"/>
          <w:rtl/>
          <w:lang w:bidi="ar-EG"/>
        </w:rPr>
        <w:t>8</w:t>
      </w:r>
      <w:r w:rsidRPr="00597154">
        <w:rPr>
          <w:rFonts w:hint="cs"/>
          <w:szCs w:val="22"/>
          <w:rtl/>
          <w:lang w:bidi="ar-EG"/>
        </w:rPr>
        <w:t xml:space="preserve"> في المائة فقط من الاستراتيجيات وخطط العمل الوطنية للتنوع البيولوجي التي تم تقييمها يحتوي على أهداف وطنية أو التزامات مشابهة لمستوى الطموح والمدى المحدد في هدف أيشي.</w:t>
      </w:r>
      <w:r w:rsidRPr="00597154">
        <w:rPr>
          <w:rStyle w:val="FootnoteReference"/>
          <w:sz w:val="22"/>
          <w:szCs w:val="22"/>
          <w:u w:val="none"/>
          <w:vertAlign w:val="superscript"/>
          <w:rtl/>
        </w:rPr>
        <w:footnoteReference w:id="17"/>
      </w:r>
      <w:r w:rsidRPr="00597154">
        <w:rPr>
          <w:rFonts w:hint="cs"/>
          <w:szCs w:val="22"/>
          <w:rtl/>
          <w:lang w:bidi="ar-EG"/>
        </w:rPr>
        <w:t xml:space="preserve"> وكان أكثر من نصف (</w:t>
      </w:r>
      <w:r>
        <w:rPr>
          <w:rFonts w:hint="cs"/>
          <w:szCs w:val="22"/>
          <w:rtl/>
          <w:lang w:bidi="ar-EG"/>
        </w:rPr>
        <w:t>59</w:t>
      </w:r>
      <w:r w:rsidRPr="00597154">
        <w:rPr>
          <w:rFonts w:hint="cs"/>
          <w:szCs w:val="22"/>
          <w:rtl/>
          <w:lang w:bidi="ar-EG"/>
        </w:rPr>
        <w:t xml:space="preserve"> في المائة) الأهداف تقريبا في الاستراتيجيات وخطط العمل الوطنية يحتوي على أهداف كانت أقل من هدف </w:t>
      </w:r>
      <w:r w:rsidR="00CC2584">
        <w:rPr>
          <w:rFonts w:hint="cs"/>
          <w:szCs w:val="22"/>
          <w:rtl/>
          <w:lang w:bidi="ar-EG"/>
        </w:rPr>
        <w:t>أيشي</w:t>
      </w:r>
      <w:r w:rsidR="00FF3E84">
        <w:rPr>
          <w:rFonts w:hint="cs"/>
          <w:szCs w:val="22"/>
          <w:rtl/>
          <w:lang w:bidi="ar-EG"/>
        </w:rPr>
        <w:t xml:space="preserve"> </w:t>
      </w:r>
      <w:r w:rsidRPr="00597154">
        <w:rPr>
          <w:rFonts w:hint="cs"/>
          <w:szCs w:val="22"/>
          <w:rtl/>
          <w:lang w:bidi="ar-EG"/>
        </w:rPr>
        <w:t xml:space="preserve">أو لم تعالج جميع العناصر في هدف أيشي. وهذا الهدف من أهداف </w:t>
      </w:r>
      <w:r w:rsidR="00CC2584">
        <w:rPr>
          <w:rFonts w:hint="cs"/>
          <w:szCs w:val="22"/>
          <w:rtl/>
          <w:lang w:bidi="ar-EG"/>
        </w:rPr>
        <w:t>أيشي</w:t>
      </w:r>
      <w:r w:rsidR="00FF3E84">
        <w:rPr>
          <w:rFonts w:hint="cs"/>
          <w:szCs w:val="22"/>
          <w:rtl/>
          <w:lang w:bidi="ar-EG"/>
        </w:rPr>
        <w:t xml:space="preserve"> </w:t>
      </w:r>
      <w:r w:rsidRPr="00597154">
        <w:rPr>
          <w:rFonts w:hint="cs"/>
          <w:szCs w:val="22"/>
          <w:rtl/>
          <w:lang w:bidi="ar-EG"/>
        </w:rPr>
        <w:t xml:space="preserve">هو أحد الأهداف التي لديها أقل عدد من الاستراتيجيات وخطط العمل الوطنية للتنوع البيولوجي التي تحتوي على أهداف قابلة للمقارنة. ومن بين هذه الاستراتيجيات وخطط العمل الوطنية التي تم تقييمها لا يحوي 33 في المائة على أهداف وطنية أو التزامات تتعلق بهذا الهدف. وفي معظم الحالات، يطبق الهدف على مصايد الأسماك البحرية. غير أن بعض البلدان غير الساحلية لديها أهداف أيضا تتعلق بالهدف 6 من أهداف </w:t>
      </w:r>
      <w:r w:rsidR="00CC2584">
        <w:rPr>
          <w:rFonts w:hint="cs"/>
          <w:szCs w:val="22"/>
          <w:rtl/>
          <w:lang w:bidi="ar-EG"/>
        </w:rPr>
        <w:t>أيشي</w:t>
      </w:r>
      <w:r w:rsidR="00FF3E84">
        <w:rPr>
          <w:rFonts w:hint="cs"/>
          <w:szCs w:val="22"/>
          <w:rtl/>
          <w:lang w:bidi="ar-EG"/>
        </w:rPr>
        <w:t xml:space="preserve"> </w:t>
      </w:r>
      <w:r w:rsidRPr="00597154">
        <w:rPr>
          <w:rFonts w:hint="cs"/>
          <w:szCs w:val="22"/>
          <w:rtl/>
          <w:lang w:bidi="ar-EG"/>
        </w:rPr>
        <w:t>وتشير إلى أن هذه الأهداف الوطنية ستطبق على أسماك المياه الداخلية وأرصدة اللافقاريات والنباتات المائية.</w:t>
      </w:r>
    </w:p>
    <w:p w:rsidR="00597154" w:rsidRPr="00597154" w:rsidRDefault="00597154"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97154">
        <w:rPr>
          <w:rFonts w:hint="cs"/>
          <w:szCs w:val="22"/>
          <w:rtl/>
        </w:rPr>
        <w:t xml:space="preserve">ومن بين الأهداف المحددة، تركز الأغلبية على القضايا المتعلقة بضمان أن الأرصدة السمكية كانت تدار وتحصد بشكل مستدام. وبالمقارنة، فإن عددا من الأهداف القليلة نسبيا عالجت قضايا تتعلق بتفادي الصيد المفرط، ووضع خطط </w:t>
      </w:r>
      <w:r w:rsidR="00CC2584" w:rsidRPr="00597154">
        <w:rPr>
          <w:rFonts w:hint="cs"/>
          <w:szCs w:val="22"/>
          <w:rtl/>
        </w:rPr>
        <w:t>الانتعاش</w:t>
      </w:r>
      <w:r w:rsidRPr="00597154">
        <w:rPr>
          <w:rFonts w:hint="cs"/>
          <w:szCs w:val="22"/>
          <w:rtl/>
        </w:rPr>
        <w:t xml:space="preserve"> للأنواع التي تعاني المستنفدة، وضمان أن مصايد الأسماك ليست لها آثار عكسية كبيرة على النظم الإيكولوجية المهددة أو الضعيفة، والإبقاء على تأثيرات مصايد الأسماك في نطاق الحدود الإيكولوجية المأمونة.</w:t>
      </w:r>
    </w:p>
    <w:p w:rsidR="00597154" w:rsidRPr="00597154" w:rsidRDefault="00597154" w:rsidP="0004006A">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97154">
        <w:rPr>
          <w:rFonts w:hint="cs"/>
          <w:szCs w:val="22"/>
          <w:rtl/>
        </w:rPr>
        <w:t xml:space="preserve">ويحتوي </w:t>
      </w:r>
      <w:r w:rsidR="00FA4246">
        <w:rPr>
          <w:rFonts w:hint="cs"/>
          <w:szCs w:val="22"/>
          <w:rtl/>
        </w:rPr>
        <w:t>4</w:t>
      </w:r>
      <w:r w:rsidRPr="00597154">
        <w:rPr>
          <w:rFonts w:hint="cs"/>
          <w:szCs w:val="22"/>
          <w:rtl/>
        </w:rPr>
        <w:t xml:space="preserve"> في المائة </w:t>
      </w:r>
      <w:r w:rsidR="00FA4246">
        <w:rPr>
          <w:rFonts w:hint="cs"/>
          <w:szCs w:val="22"/>
          <w:rtl/>
        </w:rPr>
        <w:t xml:space="preserve">فقط </w:t>
      </w:r>
      <w:r w:rsidRPr="00597154">
        <w:rPr>
          <w:rFonts w:hint="cs"/>
          <w:szCs w:val="22"/>
          <w:rtl/>
        </w:rPr>
        <w:t xml:space="preserve">من التقارير الوطنية على معلومات توحي </w:t>
      </w:r>
      <w:r w:rsidR="0004006A">
        <w:rPr>
          <w:rFonts w:hint="cs"/>
          <w:szCs w:val="22"/>
          <w:rtl/>
        </w:rPr>
        <w:t>ب</w:t>
      </w:r>
      <w:r w:rsidRPr="00597154">
        <w:rPr>
          <w:rFonts w:hint="cs"/>
          <w:szCs w:val="22"/>
          <w:rtl/>
        </w:rPr>
        <w:t xml:space="preserve">أن هذا الهدف </w:t>
      </w:r>
      <w:r w:rsidRPr="00597154">
        <w:rPr>
          <w:rFonts w:hint="cs"/>
          <w:szCs w:val="22"/>
          <w:rtl/>
          <w:lang w:bidi="ar-EG"/>
        </w:rPr>
        <w:t>على المسار الصحيح للوفاء به</w:t>
      </w:r>
      <w:r w:rsidRPr="00597154">
        <w:rPr>
          <w:rFonts w:hint="cs"/>
          <w:szCs w:val="22"/>
          <w:rtl/>
        </w:rPr>
        <w:t xml:space="preserve"> بحلول التاريخ النهائي. ويحتوي ما يبلغ من نصف (47 في المائة) التقارير الوطنية على معلومات تفيد بحدوث التقدم نحو هذا الهدف ولكن بمعدل لا يسمح بالوفاء به. ويفيد </w:t>
      </w:r>
      <w:r w:rsidR="00FA4246">
        <w:rPr>
          <w:rFonts w:hint="cs"/>
          <w:szCs w:val="22"/>
          <w:rtl/>
        </w:rPr>
        <w:t>أكثر من ربع</w:t>
      </w:r>
      <w:r w:rsidRPr="00597154">
        <w:rPr>
          <w:rFonts w:hint="cs"/>
          <w:szCs w:val="22"/>
          <w:rtl/>
        </w:rPr>
        <w:t xml:space="preserve"> من التقارير</w:t>
      </w:r>
      <w:r w:rsidR="00FA4246">
        <w:rPr>
          <w:rFonts w:hint="cs"/>
          <w:szCs w:val="22"/>
          <w:rtl/>
        </w:rPr>
        <w:t xml:space="preserve"> (29 في المائة)</w:t>
      </w:r>
      <w:r w:rsidRPr="00597154">
        <w:rPr>
          <w:rFonts w:hint="cs"/>
          <w:szCs w:val="22"/>
          <w:rtl/>
        </w:rPr>
        <w:t xml:space="preserve"> إلى أنه لم يحدث تغير ملحوظ يتعلق بتحقيق هذا الهدف. ولا يحتوي 15 في المائة من التقارير الوطنية على معلومات كافية للتمكين من تقييم التقدم نحو هذا الهدف.</w:t>
      </w:r>
    </w:p>
    <w:p w:rsidR="00FA4246" w:rsidRPr="00FA4246" w:rsidRDefault="00FA4246" w:rsidP="00FA4246">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A4246">
        <w:rPr>
          <w:rFonts w:hint="cs"/>
          <w:szCs w:val="22"/>
          <w:rtl/>
        </w:rPr>
        <w:t>وتشير المعلومات في التقارير الوطنية الخامسة بشكل عام إلى أن معظم التركيز كان على الإدارة المستدامة للأرصدة السمكية وعلى تفادي الصيد المفرط. ولا يحتوي أكثر من 50 في المائة على معلومات عن تنفيذ خطط الإنعاش للأنواع المستنفدة وعلى الإبقاء على تأثيرات مصايد الأسماك في نطاق الحدود الإيكولوجية المأمونة. وعلى معلومات كافية التقدم نحو ضمان ألا يكون لأنشطة الصيد آثارا ضارة على الأنواع المهددة بالانقراض والنظم الإيكولوجية الضعيفة.</w:t>
      </w:r>
    </w:p>
    <w:p w:rsidR="00FA4246" w:rsidRPr="00FA4246" w:rsidRDefault="00FA4246" w:rsidP="00212CCF">
      <w:pPr>
        <w:keepNext/>
        <w:suppressLineNumbers/>
        <w:suppressAutoHyphens/>
        <w:kinsoku w:val="0"/>
        <w:overflowPunct w:val="0"/>
        <w:autoSpaceDE w:val="0"/>
        <w:autoSpaceDN w:val="0"/>
        <w:bidi/>
        <w:spacing w:before="120" w:after="120"/>
        <w:rPr>
          <w:i/>
          <w:iCs/>
          <w:snapToGrid w:val="0"/>
          <w:color w:val="333333"/>
          <w:kern w:val="22"/>
          <w:szCs w:val="22"/>
          <w:shd w:val="clear" w:color="auto" w:fill="FFFFFF"/>
          <w:rtl/>
        </w:rPr>
      </w:pPr>
      <w:r w:rsidRPr="00FA4246">
        <w:rPr>
          <w:i/>
          <w:iCs/>
          <w:color w:val="333333"/>
          <w:szCs w:val="22"/>
          <w:rtl/>
          <w:lang w:bidi="ar-EG"/>
        </w:rPr>
        <w:t>الهدف 7</w:t>
      </w:r>
      <w:r w:rsidRPr="00FA4246">
        <w:rPr>
          <w:rFonts w:hint="cs"/>
          <w:i/>
          <w:iCs/>
          <w:color w:val="333333"/>
          <w:szCs w:val="22"/>
          <w:rtl/>
          <w:lang w:bidi="ar-EG"/>
        </w:rPr>
        <w:t xml:space="preserve"> -  </w:t>
      </w:r>
      <w:r w:rsidRPr="00FA4246">
        <w:rPr>
          <w:i/>
          <w:iCs/>
          <w:color w:val="333333"/>
          <w:szCs w:val="22"/>
          <w:rtl/>
          <w:lang w:bidi="ar-EG"/>
        </w:rPr>
        <w:t xml:space="preserve">بحلول عام 2020، تدار مناطق الزراعة وتربية </w:t>
      </w:r>
      <w:r w:rsidRPr="00FA4246">
        <w:rPr>
          <w:rFonts w:hint="cs"/>
          <w:i/>
          <w:iCs/>
          <w:color w:val="333333"/>
          <w:szCs w:val="22"/>
          <w:rtl/>
          <w:lang w:bidi="ar-EG"/>
        </w:rPr>
        <w:t>الأحياء المائية</w:t>
      </w:r>
      <w:r w:rsidRPr="00FA4246">
        <w:rPr>
          <w:i/>
          <w:iCs/>
          <w:color w:val="333333"/>
          <w:szCs w:val="22"/>
          <w:rtl/>
          <w:lang w:bidi="ar-EG"/>
        </w:rPr>
        <w:t xml:space="preserve"> والحراجة </w:t>
      </w:r>
      <w:r w:rsidRPr="00FA4246">
        <w:rPr>
          <w:rFonts w:hint="cs"/>
          <w:i/>
          <w:iCs/>
          <w:color w:val="333333"/>
          <w:szCs w:val="22"/>
          <w:rtl/>
          <w:lang w:bidi="ar-EG"/>
        </w:rPr>
        <w:t>على نحو مستدام، لضمان حفظ التنوع البيولوجي</w:t>
      </w:r>
    </w:p>
    <w:p w:rsidR="00FA4246" w:rsidRPr="00FA4246" w:rsidRDefault="00FA4246" w:rsidP="00565BD1">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A4246">
        <w:rPr>
          <w:rFonts w:hint="cs"/>
          <w:szCs w:val="22"/>
          <w:rtl/>
          <w:lang w:bidi="ar-EG"/>
        </w:rPr>
        <w:t xml:space="preserve">من </w:t>
      </w:r>
      <w:r w:rsidRPr="00FA4246">
        <w:rPr>
          <w:rFonts w:hint="cs"/>
          <w:szCs w:val="22"/>
          <w:rtl/>
        </w:rPr>
        <w:t xml:space="preserve">الاستراتيجيات وخطط العمل الوطنية للتنوع البيولوجي التي جرى تقييمها، </w:t>
      </w:r>
      <w:r w:rsidRPr="00FA4246">
        <w:rPr>
          <w:rFonts w:hint="cs"/>
          <w:szCs w:val="22"/>
          <w:rtl/>
          <w:lang w:bidi="ar-EG"/>
        </w:rPr>
        <w:t xml:space="preserve">احتوى </w:t>
      </w:r>
      <w:r w:rsidR="005320A1">
        <w:rPr>
          <w:rFonts w:hint="cs"/>
          <w:szCs w:val="22"/>
          <w:rtl/>
          <w:lang w:bidi="ar-EG"/>
        </w:rPr>
        <w:t>9</w:t>
      </w:r>
      <w:r w:rsidRPr="00FA4246">
        <w:rPr>
          <w:rFonts w:hint="cs"/>
          <w:szCs w:val="22"/>
          <w:rtl/>
          <w:lang w:bidi="ar-EG"/>
        </w:rPr>
        <w:t xml:space="preserve"> في المائة </w:t>
      </w:r>
      <w:r w:rsidRPr="00FA4246">
        <w:rPr>
          <w:rFonts w:hint="cs"/>
          <w:szCs w:val="22"/>
          <w:rtl/>
        </w:rPr>
        <w:t xml:space="preserve">على أهداف وطنية أو التزامات تساوي النطاق الشامل ومستوى الطموح المحدد في هدف </w:t>
      </w:r>
      <w:r w:rsidR="00CC2584">
        <w:rPr>
          <w:rFonts w:hint="cs"/>
          <w:szCs w:val="22"/>
          <w:rtl/>
        </w:rPr>
        <w:t>أيشي</w:t>
      </w:r>
      <w:r w:rsidRPr="00FA4246">
        <w:rPr>
          <w:rStyle w:val="FootnoteReference"/>
          <w:sz w:val="22"/>
          <w:szCs w:val="22"/>
          <w:u w:val="none"/>
          <w:vertAlign w:val="superscript"/>
          <w:rtl/>
        </w:rPr>
        <w:footnoteReference w:id="18"/>
      </w:r>
      <w:r w:rsidRPr="00FA4246">
        <w:rPr>
          <w:rFonts w:hint="cs"/>
          <w:szCs w:val="22"/>
          <w:rtl/>
        </w:rPr>
        <w:t xml:space="preserve">. ويحتوي </w:t>
      </w:r>
      <w:r w:rsidR="00565BD1">
        <w:rPr>
          <w:rFonts w:hint="cs"/>
          <w:szCs w:val="22"/>
          <w:rtl/>
        </w:rPr>
        <w:t>ستة عشرة من</w:t>
      </w:r>
      <w:r w:rsidRPr="00FA4246">
        <w:rPr>
          <w:rFonts w:hint="cs"/>
          <w:szCs w:val="22"/>
          <w:rtl/>
        </w:rPr>
        <w:t xml:space="preserve"> الاستراتيجيات وخطط العمل الوطنية هذه على أهداف أقل من هدف </w:t>
      </w:r>
      <w:r w:rsidR="00CC2584">
        <w:rPr>
          <w:rFonts w:hint="cs"/>
          <w:szCs w:val="22"/>
          <w:rtl/>
        </w:rPr>
        <w:t>أيشي</w:t>
      </w:r>
      <w:r w:rsidR="00FF3E84">
        <w:rPr>
          <w:rFonts w:hint="cs"/>
          <w:szCs w:val="22"/>
          <w:rtl/>
        </w:rPr>
        <w:t xml:space="preserve"> </w:t>
      </w:r>
      <w:r w:rsidRPr="00FA4246">
        <w:rPr>
          <w:rFonts w:hint="cs"/>
          <w:szCs w:val="22"/>
          <w:rtl/>
        </w:rPr>
        <w:t xml:space="preserve">أو تعالج فقط بعضا من العناصر التي يشملها هدف </w:t>
      </w:r>
      <w:r w:rsidR="00CC2584">
        <w:rPr>
          <w:rFonts w:hint="cs"/>
          <w:szCs w:val="22"/>
          <w:rtl/>
        </w:rPr>
        <w:t>أيشي</w:t>
      </w:r>
      <w:r w:rsidRPr="00FA4246">
        <w:rPr>
          <w:rFonts w:hint="cs"/>
          <w:szCs w:val="22"/>
          <w:rtl/>
        </w:rPr>
        <w:t xml:space="preserve">. ولا يحتوي ما يقرب من خُمس هذه الاستراتيجيات وخطط العمل (16 في المائة) على أي أهداف وطنية أو التزامات مشابهة تتعلق بالهدف 7 من أهداف </w:t>
      </w:r>
      <w:r w:rsidR="00CC2584">
        <w:rPr>
          <w:rFonts w:hint="cs"/>
          <w:szCs w:val="22"/>
          <w:rtl/>
        </w:rPr>
        <w:t>أيشي</w:t>
      </w:r>
      <w:r w:rsidR="00FF3E84">
        <w:rPr>
          <w:rFonts w:hint="cs"/>
          <w:szCs w:val="22"/>
          <w:rtl/>
        </w:rPr>
        <w:t xml:space="preserve"> </w:t>
      </w:r>
      <w:r w:rsidRPr="00FA4246">
        <w:rPr>
          <w:rFonts w:hint="cs"/>
          <w:szCs w:val="22"/>
          <w:rtl/>
        </w:rPr>
        <w:t xml:space="preserve">للتنوع البيولوجي. وبشكل مقارن فإن قليلا من الأهداف أو الالتزامات الوطنية في الاستراتيجيات وخطط العمل الوطنية التي تتعلق بهدف </w:t>
      </w:r>
      <w:r w:rsidR="00CC2584">
        <w:rPr>
          <w:rFonts w:hint="cs"/>
          <w:szCs w:val="22"/>
          <w:rtl/>
        </w:rPr>
        <w:t>أيشي</w:t>
      </w:r>
      <w:r w:rsidR="00FF3E84">
        <w:rPr>
          <w:rFonts w:hint="cs"/>
          <w:szCs w:val="22"/>
          <w:rtl/>
        </w:rPr>
        <w:t xml:space="preserve"> </w:t>
      </w:r>
      <w:r w:rsidRPr="00FA4246">
        <w:rPr>
          <w:rFonts w:hint="cs"/>
          <w:szCs w:val="22"/>
          <w:rtl/>
        </w:rPr>
        <w:t>هذا تعالج قضايا متعلقة بتربية الأحياء المائية. ويتعلق الكثير من الأهداف الوطنية أيضا بالإدارة المستدامة عموما ولا تحدد الزراعة أو الحراجة.</w:t>
      </w:r>
    </w:p>
    <w:p w:rsidR="00070492" w:rsidRPr="00070492" w:rsidRDefault="00070492" w:rsidP="00C34E2E">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070492">
        <w:rPr>
          <w:rFonts w:hint="cs"/>
          <w:szCs w:val="22"/>
          <w:rtl/>
          <w:lang w:bidi="ar-EG"/>
        </w:rPr>
        <w:t>و</w:t>
      </w:r>
      <w:r>
        <w:rPr>
          <w:rFonts w:hint="cs"/>
          <w:szCs w:val="22"/>
          <w:rtl/>
          <w:lang w:bidi="ar-EG"/>
        </w:rPr>
        <w:t>لا</w:t>
      </w:r>
      <w:r w:rsidR="00CC2584">
        <w:rPr>
          <w:rFonts w:hint="cs"/>
          <w:szCs w:val="22"/>
          <w:rtl/>
          <w:lang w:bidi="ar-EG"/>
        </w:rPr>
        <w:t xml:space="preserve"> </w:t>
      </w:r>
      <w:r w:rsidRPr="00070492">
        <w:rPr>
          <w:rFonts w:hint="cs"/>
          <w:szCs w:val="22"/>
          <w:rtl/>
          <w:lang w:bidi="ar-EG"/>
        </w:rPr>
        <w:t xml:space="preserve">يحتوي </w:t>
      </w:r>
      <w:r>
        <w:rPr>
          <w:rFonts w:hint="cs"/>
          <w:szCs w:val="22"/>
          <w:rtl/>
          <w:lang w:bidi="ar-EG"/>
        </w:rPr>
        <w:t>سوى 7 في المائة من</w:t>
      </w:r>
      <w:r w:rsidRPr="00070492">
        <w:rPr>
          <w:rFonts w:hint="cs"/>
          <w:szCs w:val="22"/>
          <w:rtl/>
          <w:lang w:bidi="ar-EG"/>
        </w:rPr>
        <w:t xml:space="preserve"> التقارير الوطنية على معلومات تشير إلى أن هذا الهدف على المسار الصحيح للوفاء به بحلول عام 2020. وتشير معظم التقارير الوطنية (</w:t>
      </w:r>
      <w:r w:rsidR="00C34E2E">
        <w:rPr>
          <w:rFonts w:hint="cs"/>
          <w:szCs w:val="22"/>
          <w:rtl/>
          <w:lang w:bidi="ar-EG"/>
        </w:rPr>
        <w:t>57</w:t>
      </w:r>
      <w:r w:rsidRPr="00070492">
        <w:rPr>
          <w:rFonts w:hint="cs"/>
          <w:szCs w:val="22"/>
          <w:rtl/>
          <w:lang w:bidi="ar-EG"/>
        </w:rPr>
        <w:t xml:space="preserve"> في المائة) إلى حدوث التقدم نحو هدف </w:t>
      </w:r>
      <w:r w:rsidR="00CC2584">
        <w:rPr>
          <w:rFonts w:hint="cs"/>
          <w:szCs w:val="22"/>
          <w:rtl/>
          <w:lang w:bidi="ar-EG"/>
        </w:rPr>
        <w:t>أيشي</w:t>
      </w:r>
      <w:r w:rsidR="00FF3E84">
        <w:rPr>
          <w:rFonts w:hint="cs"/>
          <w:szCs w:val="22"/>
          <w:rtl/>
          <w:lang w:bidi="ar-EG"/>
        </w:rPr>
        <w:t xml:space="preserve"> </w:t>
      </w:r>
      <w:r w:rsidRPr="00070492">
        <w:rPr>
          <w:rFonts w:hint="cs"/>
          <w:szCs w:val="22"/>
          <w:rtl/>
          <w:lang w:bidi="ar-EG"/>
        </w:rPr>
        <w:t xml:space="preserve">ولكن ليس بالمعدل الذي يسمح بالوفاء به بحلول عام 2020. </w:t>
      </w:r>
      <w:r w:rsidR="00C34E2E">
        <w:rPr>
          <w:rFonts w:hint="cs"/>
          <w:szCs w:val="22"/>
          <w:rtl/>
          <w:lang w:bidi="ar-EG"/>
        </w:rPr>
        <w:t xml:space="preserve">ويشير نحو الربع (23 في المائة) إلى عدم حدوث تغييرات كبيرة </w:t>
      </w:r>
      <w:r w:rsidRPr="00070492">
        <w:rPr>
          <w:rFonts w:hint="cs"/>
          <w:szCs w:val="22"/>
          <w:rtl/>
          <w:lang w:bidi="ar-EG"/>
        </w:rPr>
        <w:t>ومن المعلومات في التقارير الوطنية هناك القليل نسبيا حول استدامة تربية الأحياء المائية. وقد نوقشت بشكل طيب الحراجة والزراعة في التقارير الوطنية وهي تفيد باتخاذ التدابير لمعالجة كلا المسألتين.</w:t>
      </w:r>
    </w:p>
    <w:p w:rsidR="003C232C" w:rsidRPr="003C232C" w:rsidRDefault="003C232C" w:rsidP="00212CCF">
      <w:pPr>
        <w:keepNext/>
        <w:suppressLineNumbers/>
        <w:suppressAutoHyphens/>
        <w:kinsoku w:val="0"/>
        <w:overflowPunct w:val="0"/>
        <w:autoSpaceDE w:val="0"/>
        <w:autoSpaceDN w:val="0"/>
        <w:bidi/>
        <w:spacing w:after="120"/>
        <w:rPr>
          <w:i/>
          <w:iCs/>
          <w:snapToGrid w:val="0"/>
          <w:color w:val="333333"/>
          <w:kern w:val="22"/>
          <w:szCs w:val="22"/>
          <w:shd w:val="clear" w:color="auto" w:fill="FFFFFF"/>
          <w:rtl/>
        </w:rPr>
      </w:pPr>
      <w:r w:rsidRPr="003C232C">
        <w:rPr>
          <w:i/>
          <w:iCs/>
          <w:szCs w:val="22"/>
          <w:rtl/>
          <w:lang w:bidi="ar-EG"/>
        </w:rPr>
        <w:t xml:space="preserve">الهدف </w:t>
      </w:r>
      <w:r w:rsidRPr="003C232C">
        <w:rPr>
          <w:rFonts w:hint="cs"/>
          <w:i/>
          <w:iCs/>
          <w:szCs w:val="22"/>
          <w:rtl/>
          <w:lang w:bidi="ar-EG"/>
        </w:rPr>
        <w:t xml:space="preserve">8 -  </w:t>
      </w:r>
      <w:r w:rsidRPr="003C232C">
        <w:rPr>
          <w:i/>
          <w:iCs/>
          <w:szCs w:val="22"/>
          <w:rtl/>
          <w:lang w:bidi="ar-EG"/>
        </w:rPr>
        <w:t>بحلول عام 2020، ي</w:t>
      </w:r>
      <w:r w:rsidRPr="003C232C">
        <w:rPr>
          <w:rFonts w:hint="cs"/>
          <w:i/>
          <w:iCs/>
          <w:szCs w:val="22"/>
          <w:rtl/>
          <w:lang w:bidi="ar-EG"/>
        </w:rPr>
        <w:t>خفَّض</w:t>
      </w:r>
      <w:r w:rsidRPr="003C232C">
        <w:rPr>
          <w:i/>
          <w:iCs/>
          <w:szCs w:val="22"/>
          <w:rtl/>
          <w:lang w:bidi="ar-EG"/>
        </w:rPr>
        <w:t xml:space="preserve"> التلوث</w:t>
      </w:r>
      <w:r w:rsidRPr="003C232C">
        <w:rPr>
          <w:rFonts w:hint="cs"/>
          <w:i/>
          <w:iCs/>
          <w:szCs w:val="22"/>
          <w:rtl/>
          <w:lang w:bidi="ar-EG"/>
        </w:rPr>
        <w:t>، بما في ذلك</w:t>
      </w:r>
      <w:r w:rsidRPr="003C232C">
        <w:rPr>
          <w:i/>
          <w:iCs/>
          <w:szCs w:val="22"/>
          <w:rtl/>
          <w:lang w:bidi="ar-EG"/>
        </w:rPr>
        <w:t xml:space="preserve"> </w:t>
      </w:r>
      <w:r w:rsidRPr="003C232C">
        <w:rPr>
          <w:rFonts w:hint="cs"/>
          <w:i/>
          <w:iCs/>
          <w:szCs w:val="22"/>
          <w:rtl/>
          <w:lang w:bidi="ar-EG"/>
        </w:rPr>
        <w:t xml:space="preserve">التلوث </w:t>
      </w:r>
      <w:r w:rsidRPr="003C232C">
        <w:rPr>
          <w:i/>
          <w:iCs/>
          <w:szCs w:val="22"/>
          <w:rtl/>
          <w:lang w:bidi="ar-EG"/>
        </w:rPr>
        <w:t>الناتج عن المغذيات الزائدة</w:t>
      </w:r>
      <w:r w:rsidRPr="003C232C">
        <w:rPr>
          <w:rFonts w:hint="cs"/>
          <w:i/>
          <w:iCs/>
          <w:szCs w:val="22"/>
          <w:rtl/>
          <w:lang w:bidi="ar-EG"/>
        </w:rPr>
        <w:t>،</w:t>
      </w:r>
      <w:r w:rsidRPr="003C232C">
        <w:rPr>
          <w:i/>
          <w:iCs/>
          <w:szCs w:val="22"/>
          <w:rtl/>
          <w:lang w:bidi="ar-EG"/>
        </w:rPr>
        <w:t xml:space="preserve"> </w:t>
      </w:r>
      <w:r w:rsidRPr="003C232C">
        <w:rPr>
          <w:rFonts w:hint="cs"/>
          <w:i/>
          <w:iCs/>
          <w:szCs w:val="22"/>
          <w:rtl/>
          <w:lang w:bidi="ar-EG"/>
        </w:rPr>
        <w:t>إلى</w:t>
      </w:r>
      <w:r w:rsidRPr="003C232C">
        <w:rPr>
          <w:i/>
          <w:iCs/>
          <w:szCs w:val="22"/>
          <w:rtl/>
          <w:lang w:bidi="ar-EG"/>
        </w:rPr>
        <w:t xml:space="preserve"> مستويات </w:t>
      </w:r>
      <w:r w:rsidRPr="003C232C">
        <w:rPr>
          <w:rFonts w:hint="cs"/>
          <w:i/>
          <w:iCs/>
          <w:szCs w:val="22"/>
          <w:rtl/>
          <w:lang w:bidi="ar-EG"/>
        </w:rPr>
        <w:t>لا تضر بوظيفة ا</w:t>
      </w:r>
      <w:r w:rsidRPr="003C232C">
        <w:rPr>
          <w:i/>
          <w:iCs/>
          <w:szCs w:val="22"/>
          <w:rtl/>
          <w:lang w:bidi="ar-EG"/>
        </w:rPr>
        <w:t>لنظم الإيكولوجية</w:t>
      </w:r>
      <w:r w:rsidRPr="003C232C">
        <w:rPr>
          <w:rFonts w:hint="cs"/>
          <w:i/>
          <w:iCs/>
          <w:szCs w:val="22"/>
          <w:rtl/>
          <w:lang w:bidi="ar-EG"/>
        </w:rPr>
        <w:t xml:space="preserve"> وبالتنوع البيولوجي</w:t>
      </w:r>
    </w:p>
    <w:p w:rsidR="003C232C" w:rsidRPr="003C232C" w:rsidRDefault="003C232C" w:rsidP="00E44E36">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3C232C">
        <w:rPr>
          <w:rFonts w:hint="cs"/>
          <w:szCs w:val="22"/>
          <w:rtl/>
          <w:lang w:bidi="ar-EG"/>
        </w:rPr>
        <w:t xml:space="preserve">ويحتوي </w:t>
      </w:r>
      <w:r w:rsidR="008F78E9">
        <w:rPr>
          <w:rFonts w:hint="cs"/>
          <w:szCs w:val="22"/>
          <w:rtl/>
          <w:lang w:bidi="ar-EG"/>
        </w:rPr>
        <w:t>ما مجموعه 14 في المائة من</w:t>
      </w:r>
      <w:r w:rsidRPr="003C232C">
        <w:rPr>
          <w:rFonts w:hint="cs"/>
          <w:szCs w:val="22"/>
          <w:rtl/>
          <w:lang w:bidi="ar-EG"/>
        </w:rPr>
        <w:t xml:space="preserve"> الاستراتيجيات وخطط العمل الوطنية للتنوع البيولوجي التي جرى تقييمها على أهداف أو التزامات أخرى مشابهة لمدى ومستوى الطموح في الهدف 8 من أهداف أيشي.</w:t>
      </w:r>
      <w:r w:rsidRPr="003C232C">
        <w:rPr>
          <w:rStyle w:val="FootnoteReference"/>
          <w:sz w:val="22"/>
          <w:szCs w:val="22"/>
          <w:u w:val="none"/>
          <w:vertAlign w:val="superscript"/>
        </w:rPr>
        <w:footnoteReference w:id="19"/>
      </w:r>
      <w:r w:rsidRPr="003C232C">
        <w:rPr>
          <w:rFonts w:hint="cs"/>
          <w:szCs w:val="22"/>
          <w:rtl/>
          <w:lang w:bidi="ar-EG"/>
        </w:rPr>
        <w:t xml:space="preserve"> غير أن أكثر من نصف الاستراتيجيات وخطط العمل الوطنية (</w:t>
      </w:r>
      <w:r w:rsidR="00E44E36">
        <w:rPr>
          <w:rFonts w:hint="cs"/>
          <w:szCs w:val="22"/>
          <w:rtl/>
          <w:lang w:bidi="ar-EG"/>
        </w:rPr>
        <w:t>58</w:t>
      </w:r>
      <w:r w:rsidRPr="003C232C">
        <w:rPr>
          <w:rFonts w:hint="cs"/>
          <w:szCs w:val="22"/>
          <w:rtl/>
          <w:lang w:bidi="ar-EG"/>
        </w:rPr>
        <w:t xml:space="preserve"> في المائة) يحتوي على أهداف أقل من هدف </w:t>
      </w:r>
      <w:r w:rsidR="00CC2584">
        <w:rPr>
          <w:rFonts w:hint="cs"/>
          <w:szCs w:val="22"/>
          <w:rtl/>
          <w:lang w:bidi="ar-EG"/>
        </w:rPr>
        <w:t>أيشي</w:t>
      </w:r>
      <w:r w:rsidR="00FF3E84">
        <w:rPr>
          <w:rFonts w:hint="cs"/>
          <w:szCs w:val="22"/>
          <w:rtl/>
          <w:lang w:bidi="ar-EG"/>
        </w:rPr>
        <w:t xml:space="preserve"> </w:t>
      </w:r>
      <w:r w:rsidRPr="003C232C">
        <w:rPr>
          <w:rFonts w:hint="cs"/>
          <w:szCs w:val="22"/>
          <w:rtl/>
          <w:lang w:bidi="ar-EG"/>
        </w:rPr>
        <w:t xml:space="preserve">و/أو لا تغطي جميع العناصر في هدف أيشي. وحوالي 28 في المائة من الاستراتيجيات وخطط العمل الوطنية لا يحتوي على أي أهداف تتعلق بالهدف 8 من أهداف </w:t>
      </w:r>
      <w:r w:rsidR="00CC2584">
        <w:rPr>
          <w:rFonts w:hint="cs"/>
          <w:szCs w:val="22"/>
          <w:rtl/>
          <w:lang w:bidi="ar-EG"/>
        </w:rPr>
        <w:t>أيشي</w:t>
      </w:r>
      <w:r w:rsidRPr="003C232C">
        <w:rPr>
          <w:rFonts w:hint="cs"/>
          <w:szCs w:val="22"/>
          <w:rtl/>
          <w:lang w:bidi="ar-EG"/>
        </w:rPr>
        <w:t xml:space="preserve">. </w:t>
      </w:r>
      <w:r w:rsidR="00CB2022">
        <w:rPr>
          <w:rFonts w:hint="cs"/>
          <w:szCs w:val="22"/>
          <w:rtl/>
          <w:lang w:bidi="ar-EG"/>
        </w:rPr>
        <w:t xml:space="preserve">ولا يحتوي أكثر من الربع (28 في المائة) </w:t>
      </w:r>
      <w:r w:rsidRPr="003C232C">
        <w:rPr>
          <w:rFonts w:hint="cs"/>
          <w:szCs w:val="22"/>
          <w:rtl/>
          <w:lang w:bidi="ar-EG"/>
        </w:rPr>
        <w:t>على خفض التلوث بدلا من خفض المغذيات الزائدة.</w:t>
      </w:r>
    </w:p>
    <w:p w:rsidR="00E44E36" w:rsidRPr="00E44E36" w:rsidRDefault="00E44E36" w:rsidP="00514F21">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E44E36">
        <w:rPr>
          <w:rFonts w:hint="cs"/>
          <w:szCs w:val="22"/>
          <w:rtl/>
          <w:lang w:bidi="ar-EG"/>
        </w:rPr>
        <w:t>ويحتوي 4 في المائة فقط من التقارير الوطنية على معلومات توجي بأن هذا الهدف على المسار الصحيح للوفاء به. ويحتوي أكثر من 40 في المائة من التقارير على معلومات تشير إلى أن إحراز تقدم نحو الوفاء بالهدف ولكن بمعدل لن يسمح بالوفاء به بحلول عام 2020. وتشير نسبة مشابهة من التقارير إلى عدم إحراز تقدم (</w:t>
      </w:r>
      <w:r w:rsidR="00514F21">
        <w:rPr>
          <w:rFonts w:hint="cs"/>
          <w:szCs w:val="22"/>
          <w:rtl/>
          <w:lang w:bidi="ar-EG"/>
        </w:rPr>
        <w:t>27</w:t>
      </w:r>
      <w:r w:rsidRPr="00E44E36">
        <w:rPr>
          <w:rFonts w:hint="cs"/>
          <w:szCs w:val="22"/>
          <w:rtl/>
          <w:lang w:bidi="ar-EG"/>
        </w:rPr>
        <w:t xml:space="preserve"> في المائة) نحو تحقيق الهدف أو إلى أن الحالة تتدهور (9 في المائة). وهناك تقارير أكثر نسبيا تحتوي على معلومات عن التلوث عامة عن المسائل المرتبطة بالمغذيات الزائدة.</w:t>
      </w:r>
    </w:p>
    <w:p w:rsidR="00514F21" w:rsidRPr="003439D9" w:rsidRDefault="003439D9" w:rsidP="00212CCF">
      <w:pPr>
        <w:keepNext/>
        <w:suppressLineNumbers/>
        <w:suppressAutoHyphens/>
        <w:kinsoku w:val="0"/>
        <w:overflowPunct w:val="0"/>
        <w:autoSpaceDE w:val="0"/>
        <w:autoSpaceDN w:val="0"/>
        <w:bidi/>
        <w:spacing w:before="120" w:after="120"/>
        <w:rPr>
          <w:i/>
          <w:iCs/>
          <w:snapToGrid w:val="0"/>
          <w:color w:val="333333"/>
          <w:kern w:val="22"/>
          <w:szCs w:val="22"/>
          <w:shd w:val="clear" w:color="auto" w:fill="FFFFFF"/>
          <w:rtl/>
        </w:rPr>
      </w:pPr>
      <w:r w:rsidRPr="003439D9">
        <w:rPr>
          <w:i/>
          <w:iCs/>
          <w:color w:val="333333"/>
          <w:szCs w:val="22"/>
          <w:rtl/>
          <w:lang w:bidi="ar-EG"/>
        </w:rPr>
        <w:t xml:space="preserve">الهدف </w:t>
      </w:r>
      <w:r w:rsidRPr="003439D9">
        <w:rPr>
          <w:rFonts w:hint="cs"/>
          <w:i/>
          <w:iCs/>
          <w:color w:val="333333"/>
          <w:szCs w:val="22"/>
          <w:rtl/>
          <w:lang w:bidi="ar-EG"/>
        </w:rPr>
        <w:t>9</w:t>
      </w:r>
      <w:r w:rsidRPr="003439D9">
        <w:rPr>
          <w:rFonts w:hint="cs"/>
          <w:b/>
          <w:bCs/>
          <w:i/>
          <w:iCs/>
          <w:color w:val="333333"/>
          <w:szCs w:val="22"/>
          <w:rtl/>
          <w:lang w:bidi="ar-EG"/>
        </w:rPr>
        <w:t xml:space="preserve"> -</w:t>
      </w:r>
      <w:r w:rsidRPr="003439D9">
        <w:rPr>
          <w:rFonts w:hint="cs"/>
          <w:i/>
          <w:iCs/>
          <w:color w:val="333333"/>
          <w:szCs w:val="22"/>
          <w:rtl/>
          <w:lang w:bidi="ar-EG"/>
        </w:rPr>
        <w:t xml:space="preserve">  </w:t>
      </w:r>
      <w:r w:rsidRPr="003439D9">
        <w:rPr>
          <w:i/>
          <w:iCs/>
          <w:color w:val="333333"/>
          <w:szCs w:val="22"/>
          <w:rtl/>
          <w:lang w:bidi="ar-EG"/>
        </w:rPr>
        <w:t>بحلول عام 2020، ت</w:t>
      </w:r>
      <w:r w:rsidRPr="003439D9">
        <w:rPr>
          <w:rFonts w:hint="cs"/>
          <w:i/>
          <w:iCs/>
          <w:color w:val="333333"/>
          <w:szCs w:val="22"/>
          <w:rtl/>
          <w:lang w:bidi="ar-EG"/>
        </w:rPr>
        <w:t>عرّف</w:t>
      </w:r>
      <w:r w:rsidRPr="003439D9">
        <w:rPr>
          <w:i/>
          <w:iCs/>
          <w:color w:val="333333"/>
          <w:szCs w:val="22"/>
          <w:rtl/>
          <w:lang w:bidi="ar-EG"/>
        </w:rPr>
        <w:t xml:space="preserve"> الأنواع الغريبة الغازية </w:t>
      </w:r>
      <w:r w:rsidRPr="003439D9">
        <w:rPr>
          <w:rFonts w:hint="cs"/>
          <w:i/>
          <w:iCs/>
          <w:color w:val="333333"/>
          <w:szCs w:val="22"/>
          <w:rtl/>
          <w:lang w:bidi="ar-EG"/>
        </w:rPr>
        <w:t>ومساراتها، ويحدد ترتيبها حسب الأولوية،</w:t>
      </w:r>
      <w:r w:rsidRPr="003439D9">
        <w:rPr>
          <w:i/>
          <w:iCs/>
          <w:color w:val="333333"/>
          <w:szCs w:val="22"/>
          <w:rtl/>
          <w:lang w:bidi="ar-EG"/>
        </w:rPr>
        <w:t xml:space="preserve"> </w:t>
      </w:r>
      <w:r w:rsidRPr="003439D9">
        <w:rPr>
          <w:rFonts w:hint="cs"/>
          <w:i/>
          <w:iCs/>
          <w:color w:val="333333"/>
          <w:szCs w:val="22"/>
          <w:rtl/>
          <w:lang w:bidi="ar-EG"/>
        </w:rPr>
        <w:t>وتخضع للمراقبة الأنواع ذات الأولوية</w:t>
      </w:r>
      <w:r w:rsidRPr="003439D9">
        <w:rPr>
          <w:i/>
          <w:iCs/>
          <w:color w:val="333333"/>
          <w:szCs w:val="22"/>
          <w:rtl/>
          <w:lang w:bidi="ar-EG"/>
        </w:rPr>
        <w:t xml:space="preserve"> أ</w:t>
      </w:r>
      <w:r w:rsidRPr="003439D9">
        <w:rPr>
          <w:rFonts w:hint="cs"/>
          <w:i/>
          <w:iCs/>
          <w:color w:val="333333"/>
          <w:szCs w:val="22"/>
          <w:rtl/>
          <w:lang w:bidi="ar-EG"/>
        </w:rPr>
        <w:t>و</w:t>
      </w:r>
      <w:r w:rsidRPr="003439D9">
        <w:rPr>
          <w:i/>
          <w:iCs/>
          <w:color w:val="333333"/>
          <w:szCs w:val="22"/>
          <w:rtl/>
          <w:lang w:bidi="ar-EG"/>
        </w:rPr>
        <w:t xml:space="preserve"> يتم القضاء عليها</w:t>
      </w:r>
      <w:r w:rsidRPr="003439D9">
        <w:rPr>
          <w:rFonts w:hint="cs"/>
          <w:i/>
          <w:iCs/>
          <w:color w:val="333333"/>
          <w:szCs w:val="22"/>
          <w:rtl/>
          <w:lang w:bidi="ar-EG"/>
        </w:rPr>
        <w:t xml:space="preserve"> وتوضع تدابير لإدارة المسارات لمنع إدخالها وانتشارها</w:t>
      </w:r>
    </w:p>
    <w:p w:rsidR="003439D9" w:rsidRPr="00660344" w:rsidRDefault="00660344" w:rsidP="002E515D">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660344">
        <w:rPr>
          <w:rFonts w:hint="cs"/>
          <w:szCs w:val="22"/>
          <w:rtl/>
          <w:lang w:bidi="ar-EG"/>
        </w:rPr>
        <w:t xml:space="preserve">وهدف </w:t>
      </w:r>
      <w:r w:rsidR="00CC2584">
        <w:rPr>
          <w:rFonts w:hint="cs"/>
          <w:szCs w:val="22"/>
          <w:rtl/>
          <w:lang w:bidi="ar-EG"/>
        </w:rPr>
        <w:t>أيشي</w:t>
      </w:r>
      <w:r w:rsidR="00FF3E84">
        <w:rPr>
          <w:rFonts w:hint="cs"/>
          <w:szCs w:val="22"/>
          <w:rtl/>
          <w:lang w:bidi="ar-EG"/>
        </w:rPr>
        <w:t xml:space="preserve"> </w:t>
      </w:r>
      <w:r w:rsidRPr="00660344">
        <w:rPr>
          <w:rFonts w:hint="cs"/>
          <w:szCs w:val="22"/>
          <w:rtl/>
          <w:lang w:bidi="ar-EG"/>
        </w:rPr>
        <w:t xml:space="preserve">هذا هو </w:t>
      </w:r>
      <w:r>
        <w:rPr>
          <w:rFonts w:hint="cs"/>
          <w:szCs w:val="22"/>
          <w:rtl/>
          <w:lang w:bidi="ar-EG"/>
        </w:rPr>
        <w:t xml:space="preserve">من </w:t>
      </w:r>
      <w:r w:rsidRPr="00660344">
        <w:rPr>
          <w:rFonts w:hint="cs"/>
          <w:szCs w:val="22"/>
          <w:rtl/>
          <w:lang w:bidi="ar-EG"/>
        </w:rPr>
        <w:t>بين تلك الأهداف الأعلى مستوى من المواءمة مع الأهداف الوطنية في الاستراتيجيات وخطط العمل الوطنية. وتقريبا ربع (</w:t>
      </w:r>
      <w:r w:rsidR="002E515D">
        <w:rPr>
          <w:rFonts w:hint="cs"/>
          <w:szCs w:val="22"/>
          <w:rtl/>
          <w:lang w:bidi="ar-EG"/>
        </w:rPr>
        <w:t>22</w:t>
      </w:r>
      <w:r w:rsidRPr="00660344">
        <w:rPr>
          <w:rFonts w:hint="cs"/>
          <w:szCs w:val="22"/>
          <w:rtl/>
          <w:lang w:bidi="ar-EG"/>
        </w:rPr>
        <w:t xml:space="preserve"> في المائة) الاستراتيجيات وخطط العمل الوطنية التي تم النظر فيها في هذا التقييم احتوى على أهداف وطنية أو التزامات أخرى مشابهة لمدى ومستوى الطموح المحدد في هدف أيشي</w:t>
      </w:r>
      <w:r w:rsidRPr="00660344">
        <w:rPr>
          <w:rStyle w:val="FootnoteReference"/>
          <w:sz w:val="22"/>
          <w:szCs w:val="22"/>
          <w:u w:val="none"/>
          <w:vertAlign w:val="superscript"/>
        </w:rPr>
        <w:footnoteReference w:id="20"/>
      </w:r>
      <w:r w:rsidRPr="00660344">
        <w:rPr>
          <w:rFonts w:hint="cs"/>
          <w:szCs w:val="22"/>
          <w:rtl/>
          <w:lang w:bidi="ar-EG"/>
        </w:rPr>
        <w:t xml:space="preserve">. وبالإضافة إلى ذلك، تحتو استراتيجية وخطط عمل وطنية للتنوع البيولوجي على هدف وطني يتجاوز هدف </w:t>
      </w:r>
      <w:r w:rsidR="00CC2584">
        <w:rPr>
          <w:rFonts w:hint="cs"/>
          <w:szCs w:val="22"/>
          <w:rtl/>
          <w:lang w:bidi="ar-EG"/>
        </w:rPr>
        <w:t>أيشي</w:t>
      </w:r>
      <w:r w:rsidR="00FF3E84">
        <w:rPr>
          <w:rFonts w:hint="cs"/>
          <w:szCs w:val="22"/>
          <w:rtl/>
          <w:lang w:bidi="ar-EG"/>
        </w:rPr>
        <w:t xml:space="preserve"> </w:t>
      </w:r>
      <w:r w:rsidRPr="00660344">
        <w:rPr>
          <w:rFonts w:hint="cs"/>
          <w:szCs w:val="22"/>
          <w:rtl/>
          <w:lang w:bidi="ar-EG"/>
        </w:rPr>
        <w:t>وموعده النهائي عام 2015.</w:t>
      </w:r>
      <w:r w:rsidRPr="00660344">
        <w:rPr>
          <w:rStyle w:val="FootnoteReference"/>
          <w:sz w:val="22"/>
          <w:szCs w:val="22"/>
          <w:u w:val="none"/>
          <w:vertAlign w:val="superscript"/>
          <w:rtl/>
        </w:rPr>
        <w:footnoteReference w:id="21"/>
      </w:r>
      <w:r w:rsidRPr="00660344">
        <w:rPr>
          <w:rFonts w:hint="cs"/>
          <w:szCs w:val="22"/>
          <w:rtl/>
          <w:lang w:bidi="ar-EG"/>
        </w:rPr>
        <w:t xml:space="preserve"> ويحتوي أكثر من نصف الاستراتيجيات وخطط العمل الوطنية (59 في المائة) على أهداف أقل و/أو أنها لا تعالج كل العناصر في هدف أيشي. ولا يحتوي 17 في المائة من الاستراتيجيات وخطط العمل الوطنية على أية أهداف متعلقة بهدف </w:t>
      </w:r>
      <w:r w:rsidR="00CC2584">
        <w:rPr>
          <w:rFonts w:hint="cs"/>
          <w:szCs w:val="22"/>
          <w:rtl/>
          <w:lang w:bidi="ar-EG"/>
        </w:rPr>
        <w:t>أيشي</w:t>
      </w:r>
      <w:r w:rsidR="00FF3E84">
        <w:rPr>
          <w:rFonts w:hint="cs"/>
          <w:szCs w:val="22"/>
          <w:rtl/>
          <w:lang w:bidi="ar-EG"/>
        </w:rPr>
        <w:t xml:space="preserve"> </w:t>
      </w:r>
      <w:r w:rsidRPr="00660344">
        <w:rPr>
          <w:rFonts w:hint="cs"/>
          <w:szCs w:val="22"/>
          <w:rtl/>
          <w:lang w:bidi="ar-EG"/>
        </w:rPr>
        <w:t>هذا. والكثير من الأهداف التي حددتها الأطراف هي واسعة وتشير عموما إلى مكافحة الأنواع الغريبة الغازية. كما أن الكثير من الأهداف الوطنية المحددة لا تناقش المسائل المرتبطة بتحديد وترتيب أولوية مسارات إدخال الأنواع الغريبة الغازية.</w:t>
      </w:r>
    </w:p>
    <w:p w:rsidR="002E515D" w:rsidRPr="002E515D" w:rsidRDefault="002E515D" w:rsidP="002E515D">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2E515D">
        <w:rPr>
          <w:rFonts w:hint="cs"/>
          <w:szCs w:val="22"/>
          <w:rtl/>
          <w:lang w:bidi="ar-EG"/>
        </w:rPr>
        <w:t xml:space="preserve">والمعلومات التي تشير إلى أن هذا الهدف على المسار الصحيح للوفاء به ترد في </w:t>
      </w:r>
      <w:r>
        <w:rPr>
          <w:rFonts w:hint="cs"/>
          <w:szCs w:val="22"/>
          <w:rtl/>
          <w:lang w:bidi="ar-EG"/>
        </w:rPr>
        <w:t>3</w:t>
      </w:r>
      <w:r w:rsidRPr="002E515D">
        <w:rPr>
          <w:rFonts w:hint="cs"/>
          <w:szCs w:val="22"/>
          <w:rtl/>
          <w:lang w:bidi="ar-EG"/>
        </w:rPr>
        <w:t xml:space="preserve"> في المائة من التقارير الوطنية. ويحتوي ما يقرب من نصف التقارير الوطنية تقريبا (49 في المائة) على معلومات تفيد بحدوث التقدم نحو هذا الهدف ولكن بمعدل لا يسمح بالوفاء بهذا الهدف بحلول عام 2020، بينما يفيد أكثر من ثلث (34 في المائة) التقارير الوطنية بأنه لم يحدث أي تقدم شامل نحو تحقيق هذا الهدف. وتركز المعلومات في التقارير الوطنية على أن معظم الجهود المبذولة لتحقيق هذا الهدف تركز على المكافحة و/أو القضاء على الأنواع الغريبة الغازية التي ثبتت أقدامها بينما كان هناك جهد أقل لوضع إجراءات لإدارة المسارات.</w:t>
      </w:r>
    </w:p>
    <w:p w:rsidR="002E515D" w:rsidRPr="002E3799" w:rsidRDefault="002E3799" w:rsidP="00212CCF">
      <w:pPr>
        <w:keepNext/>
        <w:suppressLineNumbers/>
        <w:suppressAutoHyphens/>
        <w:kinsoku w:val="0"/>
        <w:overflowPunct w:val="0"/>
        <w:autoSpaceDE w:val="0"/>
        <w:autoSpaceDN w:val="0"/>
        <w:bidi/>
        <w:spacing w:before="120" w:after="120"/>
        <w:rPr>
          <w:i/>
          <w:iCs/>
          <w:snapToGrid w:val="0"/>
          <w:kern w:val="22"/>
          <w:szCs w:val="22"/>
          <w:rtl/>
        </w:rPr>
      </w:pPr>
      <w:r w:rsidRPr="002E3799">
        <w:rPr>
          <w:i/>
          <w:iCs/>
          <w:szCs w:val="22"/>
          <w:rtl/>
          <w:lang w:bidi="ar-EG"/>
        </w:rPr>
        <w:t>الهدف 10</w:t>
      </w:r>
      <w:r w:rsidRPr="002E3799">
        <w:rPr>
          <w:rFonts w:hint="cs"/>
          <w:b/>
          <w:bCs/>
          <w:i/>
          <w:iCs/>
          <w:szCs w:val="22"/>
          <w:rtl/>
          <w:lang w:bidi="ar-EG"/>
        </w:rPr>
        <w:t xml:space="preserve"> -  </w:t>
      </w:r>
      <w:r w:rsidRPr="002E3799">
        <w:rPr>
          <w:i/>
          <w:iCs/>
          <w:szCs w:val="22"/>
          <w:rtl/>
          <w:lang w:bidi="ar-EG"/>
        </w:rPr>
        <w:t xml:space="preserve">بحلول عام </w:t>
      </w:r>
      <w:r w:rsidRPr="002E3799">
        <w:rPr>
          <w:rFonts w:hint="cs"/>
          <w:i/>
          <w:iCs/>
          <w:szCs w:val="22"/>
          <w:rtl/>
          <w:lang w:bidi="ar-EG"/>
        </w:rPr>
        <w:t>2015</w:t>
      </w:r>
      <w:r w:rsidRPr="002E3799">
        <w:rPr>
          <w:i/>
          <w:iCs/>
          <w:szCs w:val="22"/>
          <w:rtl/>
          <w:lang w:bidi="ar-EG"/>
        </w:rPr>
        <w:t xml:space="preserve">، </w:t>
      </w:r>
      <w:r w:rsidRPr="002E3799">
        <w:rPr>
          <w:rFonts w:hint="cs"/>
          <w:i/>
          <w:iCs/>
          <w:szCs w:val="22"/>
          <w:rtl/>
          <w:lang w:bidi="ar-EG"/>
        </w:rPr>
        <w:t>تُخفَّض إلى أدنى حد الضغوط البشرية المتعددة على الشعب المرجانية،</w:t>
      </w:r>
      <w:r w:rsidRPr="002E3799">
        <w:rPr>
          <w:i/>
          <w:iCs/>
          <w:szCs w:val="22"/>
          <w:rtl/>
          <w:lang w:bidi="ar-EG"/>
        </w:rPr>
        <w:t xml:space="preserve"> والنظم الإيكولوجية </w:t>
      </w:r>
      <w:r w:rsidRPr="002E3799">
        <w:rPr>
          <w:rFonts w:hint="cs"/>
          <w:i/>
          <w:iCs/>
          <w:szCs w:val="22"/>
          <w:rtl/>
          <w:lang w:bidi="ar-EG"/>
        </w:rPr>
        <w:t xml:space="preserve">الضعيفة الأخرى </w:t>
      </w:r>
      <w:r w:rsidRPr="002E3799">
        <w:rPr>
          <w:i/>
          <w:iCs/>
          <w:szCs w:val="22"/>
          <w:rtl/>
          <w:lang w:bidi="ar-EG"/>
        </w:rPr>
        <w:t xml:space="preserve">التي تتأثر بتغير المناخ </w:t>
      </w:r>
      <w:r w:rsidRPr="002E3799">
        <w:rPr>
          <w:rFonts w:hint="cs"/>
          <w:i/>
          <w:iCs/>
          <w:szCs w:val="22"/>
          <w:rtl/>
          <w:lang w:bidi="ar-EG"/>
        </w:rPr>
        <w:t>أو تحمّض</w:t>
      </w:r>
      <w:r w:rsidRPr="002E3799">
        <w:rPr>
          <w:i/>
          <w:iCs/>
          <w:szCs w:val="22"/>
          <w:rtl/>
          <w:lang w:bidi="ar-EG"/>
        </w:rPr>
        <w:t xml:space="preserve"> المحيطات</w:t>
      </w:r>
      <w:r w:rsidRPr="002E3799">
        <w:rPr>
          <w:rFonts w:hint="cs"/>
          <w:i/>
          <w:iCs/>
          <w:szCs w:val="22"/>
          <w:rtl/>
          <w:lang w:bidi="ar-EG"/>
        </w:rPr>
        <w:t>،</w:t>
      </w:r>
      <w:r w:rsidRPr="002E3799">
        <w:rPr>
          <w:i/>
          <w:iCs/>
          <w:szCs w:val="22"/>
          <w:rtl/>
          <w:lang w:bidi="ar-EG"/>
        </w:rPr>
        <w:t xml:space="preserve"> من أجل المحافظة على سلامتها و</w:t>
      </w:r>
      <w:r w:rsidRPr="002E3799">
        <w:rPr>
          <w:rFonts w:hint="cs"/>
          <w:i/>
          <w:iCs/>
          <w:szCs w:val="22"/>
          <w:rtl/>
          <w:lang w:bidi="ar-EG"/>
        </w:rPr>
        <w:t>وظائف</w:t>
      </w:r>
      <w:r w:rsidRPr="002E3799">
        <w:rPr>
          <w:i/>
          <w:iCs/>
          <w:szCs w:val="22"/>
          <w:rtl/>
          <w:lang w:bidi="ar-EG"/>
        </w:rPr>
        <w:t>ها</w:t>
      </w:r>
    </w:p>
    <w:p w:rsidR="002E3799" w:rsidRPr="002E3799" w:rsidRDefault="002E3799" w:rsidP="003C314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2E3799">
        <w:rPr>
          <w:rFonts w:hint="cs"/>
          <w:szCs w:val="22"/>
          <w:rtl/>
          <w:lang w:bidi="ar-EG"/>
        </w:rPr>
        <w:t xml:space="preserve">ومن بين الاستراتيجيات وخطط العمل الوطنية للتنوع البيولوجي التي جرى تقييمها يحتوي </w:t>
      </w:r>
      <w:r w:rsidR="003C314F">
        <w:rPr>
          <w:rFonts w:hint="cs"/>
          <w:szCs w:val="22"/>
          <w:rtl/>
          <w:lang w:bidi="ar-EG"/>
        </w:rPr>
        <w:t>8</w:t>
      </w:r>
      <w:r w:rsidRPr="002E3799">
        <w:rPr>
          <w:rFonts w:hint="cs"/>
          <w:szCs w:val="22"/>
          <w:rtl/>
          <w:lang w:bidi="ar-EG"/>
        </w:rPr>
        <w:t xml:space="preserve"> في المائة </w:t>
      </w:r>
      <w:r w:rsidR="003C314F">
        <w:rPr>
          <w:rFonts w:hint="cs"/>
          <w:szCs w:val="22"/>
          <w:rtl/>
          <w:lang w:bidi="ar-EG"/>
        </w:rPr>
        <w:t xml:space="preserve">فقط </w:t>
      </w:r>
      <w:r w:rsidRPr="002E3799">
        <w:rPr>
          <w:rFonts w:hint="cs"/>
          <w:szCs w:val="22"/>
          <w:rtl/>
          <w:lang w:bidi="ar-EG"/>
        </w:rPr>
        <w:t>على أهداف وطنية أو التزامات أخرى مشابهة لمدى ومستوى الطموح المحدد في الهدف 10 من أهداف أيشي.</w:t>
      </w:r>
      <w:r w:rsidRPr="002E3799">
        <w:rPr>
          <w:rStyle w:val="FootnoteReference"/>
          <w:sz w:val="22"/>
          <w:szCs w:val="22"/>
          <w:u w:val="none"/>
          <w:vertAlign w:val="superscript"/>
        </w:rPr>
        <w:footnoteReference w:id="22"/>
      </w:r>
      <w:r w:rsidRPr="002E3799">
        <w:rPr>
          <w:rFonts w:hint="cs"/>
          <w:szCs w:val="22"/>
          <w:rtl/>
          <w:lang w:bidi="ar-EG"/>
        </w:rPr>
        <w:t xml:space="preserve"> ويحتوي </w:t>
      </w:r>
      <w:r w:rsidR="003C314F">
        <w:rPr>
          <w:rFonts w:hint="cs"/>
          <w:szCs w:val="22"/>
          <w:rtl/>
          <w:lang w:bidi="ar-EG"/>
        </w:rPr>
        <w:t>50</w:t>
      </w:r>
      <w:r w:rsidRPr="002E3799">
        <w:rPr>
          <w:rFonts w:hint="cs"/>
          <w:szCs w:val="22"/>
          <w:rtl/>
          <w:lang w:bidi="ar-EG"/>
        </w:rPr>
        <w:t xml:space="preserve"> في المائة من الاستراتيجيات وخطط العمل الوطنية على أهداف وطنية أو التزامات مشابهة محددة عند مستوى أقل من هدف </w:t>
      </w:r>
      <w:r w:rsidR="00CC2584">
        <w:rPr>
          <w:rFonts w:hint="cs"/>
          <w:szCs w:val="22"/>
          <w:rtl/>
          <w:lang w:bidi="ar-EG"/>
        </w:rPr>
        <w:t>أيشي</w:t>
      </w:r>
      <w:r w:rsidR="00FF3E84">
        <w:rPr>
          <w:rFonts w:hint="cs"/>
          <w:szCs w:val="22"/>
          <w:rtl/>
          <w:lang w:bidi="ar-EG"/>
        </w:rPr>
        <w:t xml:space="preserve"> </w:t>
      </w:r>
      <w:r w:rsidRPr="002E3799">
        <w:rPr>
          <w:rFonts w:hint="cs"/>
          <w:szCs w:val="22"/>
          <w:rtl/>
          <w:lang w:bidi="ar-EG"/>
        </w:rPr>
        <w:t xml:space="preserve">أو لا تعالج كل العناصر في هدف أيشي. ولا تحتوي </w:t>
      </w:r>
      <w:r w:rsidR="003C314F">
        <w:rPr>
          <w:rFonts w:hint="cs"/>
          <w:szCs w:val="22"/>
          <w:rtl/>
          <w:lang w:bidi="ar-EG"/>
        </w:rPr>
        <w:t>ما مجموعه</w:t>
      </w:r>
      <w:r w:rsidRPr="002E3799">
        <w:rPr>
          <w:rFonts w:hint="cs"/>
          <w:szCs w:val="22"/>
          <w:rtl/>
          <w:lang w:bidi="ar-EG"/>
        </w:rPr>
        <w:t xml:space="preserve"> </w:t>
      </w:r>
      <w:r w:rsidR="003C314F">
        <w:rPr>
          <w:rFonts w:hint="cs"/>
          <w:szCs w:val="22"/>
          <w:rtl/>
          <w:lang w:bidi="ar-EG"/>
        </w:rPr>
        <w:t xml:space="preserve">42 </w:t>
      </w:r>
      <w:r w:rsidRPr="002E3799">
        <w:rPr>
          <w:rFonts w:hint="cs"/>
          <w:szCs w:val="22"/>
          <w:rtl/>
          <w:lang w:bidi="ar-EG"/>
        </w:rPr>
        <w:t xml:space="preserve">في المائة من الاستراتيجيات وخطط العمل الوطنية على أية أهداف وطنية تتعلق بهدف </w:t>
      </w:r>
      <w:r w:rsidR="00CC2584">
        <w:rPr>
          <w:rFonts w:hint="cs"/>
          <w:szCs w:val="22"/>
          <w:rtl/>
          <w:lang w:bidi="ar-EG"/>
        </w:rPr>
        <w:t>أيشي</w:t>
      </w:r>
      <w:r w:rsidR="00FF3E84">
        <w:rPr>
          <w:rFonts w:hint="cs"/>
          <w:szCs w:val="22"/>
          <w:rtl/>
          <w:lang w:bidi="ar-EG"/>
        </w:rPr>
        <w:t xml:space="preserve"> </w:t>
      </w:r>
      <w:r w:rsidRPr="002E3799">
        <w:rPr>
          <w:rFonts w:hint="cs"/>
          <w:szCs w:val="22"/>
          <w:rtl/>
          <w:lang w:bidi="ar-EG"/>
        </w:rPr>
        <w:t>هذا. وهدف هذا هو من بين تلك الأهداف التي لها أقل عدد من الاستراتيجيات وخطط العمل الوطنية التي يحتوي على أهداف مماثلة. والأهداف الوطنية المحددة ذات طابع عام في معظمها. والقليل يشير بصراحة إلى الشعاب المرجانية أو غيرها من النظم الإيكولوجية المحددة الضعيفة أمام تغير المناخ.</w:t>
      </w:r>
    </w:p>
    <w:p w:rsidR="003C314F" w:rsidRPr="003C314F" w:rsidRDefault="003C314F"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3C314F">
        <w:rPr>
          <w:rFonts w:hint="cs"/>
          <w:szCs w:val="22"/>
          <w:rtl/>
          <w:lang w:bidi="ar-EG"/>
        </w:rPr>
        <w:t>ويحتوي 3 في المائة فقط من التقارير الوطنية على معلومات تفيد بأن هذا الهدف على المسار الصحيح للوفاء به بينما يفيد ثلث التقارير بأن تقدما يحدث نحو تحقيق هذا الهدف ولكن بمعدل لن يسمح بالوفاء بهذا الهدف. ويفيد نحو ربع التقارير (23 في المائة) بأنه لم يحدث أي تغير كبير في حين يحتوي 7 في المائة من التقارير على معلومات تشير إلى أن الوضع آخذ في التدهور. وبالمقارنة مع الأهداف الأخرى، يقدم عدد قليل نسبيا من البلدان معلومات عن حدوث تقدم نحو تحقيق هذا الهدف. ولا يحتوي أكثر من ثلث التقارير (34 في المائة) على معلومات تسمح بتقييم التقدم نحو إحراز هذا الهدف.</w:t>
      </w:r>
    </w:p>
    <w:p w:rsidR="003C314F" w:rsidRPr="003C314F" w:rsidRDefault="003C314F" w:rsidP="00212CCF">
      <w:pPr>
        <w:keepNext/>
        <w:suppressLineNumbers/>
        <w:suppressAutoHyphens/>
        <w:kinsoku w:val="0"/>
        <w:overflowPunct w:val="0"/>
        <w:autoSpaceDE w:val="0"/>
        <w:autoSpaceDN w:val="0"/>
        <w:bidi/>
        <w:spacing w:before="120" w:after="120"/>
        <w:rPr>
          <w:i/>
          <w:iCs/>
          <w:snapToGrid w:val="0"/>
          <w:kern w:val="22"/>
          <w:szCs w:val="22"/>
          <w:rtl/>
        </w:rPr>
      </w:pPr>
      <w:r w:rsidRPr="003C314F">
        <w:rPr>
          <w:i/>
          <w:iCs/>
          <w:szCs w:val="22"/>
          <w:rtl/>
          <w:lang w:bidi="ar-EG"/>
        </w:rPr>
        <w:t>الهدف 11</w:t>
      </w:r>
      <w:r w:rsidRPr="003C314F">
        <w:rPr>
          <w:rFonts w:hint="cs"/>
          <w:i/>
          <w:iCs/>
          <w:szCs w:val="22"/>
          <w:rtl/>
          <w:lang w:bidi="ar-EG"/>
        </w:rPr>
        <w:t xml:space="preserve"> - </w:t>
      </w:r>
      <w:r w:rsidRPr="003C314F">
        <w:rPr>
          <w:i/>
          <w:iCs/>
          <w:szCs w:val="22"/>
          <w:rtl/>
          <w:lang w:bidi="ar-EG"/>
        </w:rPr>
        <w:t xml:space="preserve"> بحلول عام 2020، </w:t>
      </w:r>
      <w:r w:rsidRPr="003C314F">
        <w:rPr>
          <w:rFonts w:hint="cs"/>
          <w:i/>
          <w:iCs/>
          <w:szCs w:val="22"/>
          <w:rtl/>
          <w:lang w:bidi="ar-EG"/>
        </w:rPr>
        <w:t>يتم حفظ</w:t>
      </w:r>
      <w:r w:rsidRPr="003C314F">
        <w:rPr>
          <w:i/>
          <w:iCs/>
          <w:szCs w:val="22"/>
          <w:rtl/>
          <w:lang w:bidi="ar-EG"/>
        </w:rPr>
        <w:t xml:space="preserve"> </w:t>
      </w:r>
      <w:r w:rsidRPr="003C314F">
        <w:rPr>
          <w:rFonts w:hint="cs"/>
          <w:i/>
          <w:iCs/>
          <w:szCs w:val="22"/>
          <w:rtl/>
          <w:lang w:bidi="ar-EG"/>
        </w:rPr>
        <w:t>17 في المئة</w:t>
      </w:r>
      <w:r w:rsidRPr="003C314F">
        <w:rPr>
          <w:i/>
          <w:iCs/>
          <w:szCs w:val="22"/>
          <w:rtl/>
          <w:lang w:bidi="ar-EG"/>
        </w:rPr>
        <w:t xml:space="preserve"> </w:t>
      </w:r>
      <w:r w:rsidRPr="003C314F">
        <w:rPr>
          <w:rFonts w:hint="cs"/>
          <w:i/>
          <w:iCs/>
          <w:szCs w:val="22"/>
          <w:rtl/>
          <w:lang w:bidi="ar-EG"/>
        </w:rPr>
        <w:t xml:space="preserve">على الأقل </w:t>
      </w:r>
      <w:r w:rsidRPr="003C314F">
        <w:rPr>
          <w:i/>
          <w:iCs/>
          <w:szCs w:val="22"/>
          <w:rtl/>
          <w:lang w:bidi="ar-EG"/>
        </w:rPr>
        <w:t xml:space="preserve">من </w:t>
      </w:r>
      <w:r w:rsidRPr="003C314F">
        <w:rPr>
          <w:rFonts w:hint="cs"/>
          <w:i/>
          <w:iCs/>
          <w:szCs w:val="22"/>
          <w:rtl/>
          <w:lang w:bidi="ar-EG"/>
        </w:rPr>
        <w:t>المناطق الأرضية ومناطق المياه الداخلية و10</w:t>
      </w:r>
      <w:r w:rsidRPr="003C314F">
        <w:rPr>
          <w:rFonts w:ascii="Traditional Arabic" w:hAnsi="Traditional Arabic" w:hint="cs"/>
          <w:i/>
          <w:iCs/>
          <w:szCs w:val="22"/>
          <w:rtl/>
          <w:lang w:bidi="ar-EG"/>
        </w:rPr>
        <w:t xml:space="preserve"> في المئة</w:t>
      </w:r>
      <w:r w:rsidRPr="003C314F">
        <w:rPr>
          <w:rFonts w:hint="cs"/>
          <w:i/>
          <w:iCs/>
          <w:szCs w:val="22"/>
          <w:rtl/>
          <w:lang w:bidi="ar-EG"/>
        </w:rPr>
        <w:t xml:space="preserve"> من </w:t>
      </w:r>
      <w:r w:rsidRPr="003C314F">
        <w:rPr>
          <w:i/>
          <w:iCs/>
          <w:szCs w:val="22"/>
          <w:rtl/>
          <w:lang w:bidi="ar-EG"/>
        </w:rPr>
        <w:t xml:space="preserve">المناطق </w:t>
      </w:r>
      <w:r w:rsidRPr="003C314F">
        <w:rPr>
          <w:rFonts w:hint="cs"/>
          <w:i/>
          <w:iCs/>
          <w:szCs w:val="22"/>
          <w:rtl/>
          <w:lang w:bidi="ar-EG"/>
        </w:rPr>
        <w:t>الساحلية</w:t>
      </w:r>
      <w:r w:rsidRPr="003C314F">
        <w:rPr>
          <w:i/>
          <w:iCs/>
          <w:szCs w:val="22"/>
          <w:rtl/>
          <w:lang w:bidi="ar-EG"/>
        </w:rPr>
        <w:t xml:space="preserve"> والبحرية، </w:t>
      </w:r>
      <w:r w:rsidRPr="003C314F">
        <w:rPr>
          <w:rFonts w:hint="cs"/>
          <w:i/>
          <w:iCs/>
          <w:szCs w:val="22"/>
          <w:rtl/>
          <w:lang w:bidi="ar-EG"/>
        </w:rPr>
        <w:t xml:space="preserve">وخصوصا </w:t>
      </w:r>
      <w:r w:rsidRPr="003C314F">
        <w:rPr>
          <w:i/>
          <w:iCs/>
          <w:szCs w:val="22"/>
          <w:rtl/>
          <w:lang w:bidi="ar-EG"/>
        </w:rPr>
        <w:t xml:space="preserve">المناطق ذات الأهمية </w:t>
      </w:r>
      <w:r w:rsidRPr="003C314F">
        <w:rPr>
          <w:rFonts w:hint="cs"/>
          <w:i/>
          <w:iCs/>
          <w:szCs w:val="22"/>
          <w:rtl/>
          <w:lang w:bidi="ar-EG"/>
        </w:rPr>
        <w:t>الخاصة</w:t>
      </w:r>
      <w:r w:rsidRPr="003C314F">
        <w:rPr>
          <w:i/>
          <w:iCs/>
          <w:szCs w:val="22"/>
          <w:rtl/>
          <w:lang w:bidi="ar-EG"/>
        </w:rPr>
        <w:t xml:space="preserve"> للتنوع البيولوجي</w:t>
      </w:r>
      <w:r w:rsidRPr="003C314F">
        <w:rPr>
          <w:rFonts w:hint="cs"/>
          <w:i/>
          <w:iCs/>
          <w:szCs w:val="22"/>
          <w:rtl/>
          <w:lang w:bidi="ar-EG"/>
        </w:rPr>
        <w:t xml:space="preserve"> وخدمات النظام الإيكولوجي</w:t>
      </w:r>
      <w:r w:rsidRPr="003C314F">
        <w:rPr>
          <w:i/>
          <w:iCs/>
          <w:szCs w:val="22"/>
          <w:rtl/>
          <w:lang w:bidi="ar-EG"/>
        </w:rPr>
        <w:t xml:space="preserve">، من خلال </w:t>
      </w:r>
      <w:r w:rsidRPr="003C314F">
        <w:rPr>
          <w:rFonts w:hint="cs"/>
          <w:i/>
          <w:iCs/>
          <w:szCs w:val="22"/>
          <w:rtl/>
          <w:lang w:bidi="ar-EG"/>
        </w:rPr>
        <w:t>نظم مدارة بفاعلية ومنصفة وتتسم بالترابط الجيد، وممثلة إيكولوجياً للمناطق المحمية وتدابير الحفظ الفعالة الأخرى القائمة على المنطقة</w:t>
      </w:r>
      <w:r w:rsidRPr="003C314F">
        <w:rPr>
          <w:i/>
          <w:iCs/>
          <w:szCs w:val="22"/>
          <w:rtl/>
          <w:lang w:bidi="ar-EG"/>
        </w:rPr>
        <w:t xml:space="preserve">، </w:t>
      </w:r>
      <w:r w:rsidRPr="003C314F">
        <w:rPr>
          <w:rFonts w:hint="cs"/>
          <w:i/>
          <w:iCs/>
          <w:szCs w:val="22"/>
          <w:rtl/>
          <w:lang w:bidi="ar-EG"/>
        </w:rPr>
        <w:t>وإدماجها</w:t>
      </w:r>
      <w:r w:rsidRPr="003C314F">
        <w:rPr>
          <w:i/>
          <w:iCs/>
          <w:szCs w:val="22"/>
          <w:rtl/>
          <w:lang w:bidi="ar-EG"/>
        </w:rPr>
        <w:t xml:space="preserve"> في </w:t>
      </w:r>
      <w:r w:rsidRPr="003C314F">
        <w:rPr>
          <w:rFonts w:hint="cs"/>
          <w:i/>
          <w:iCs/>
          <w:szCs w:val="22"/>
          <w:rtl/>
          <w:lang w:bidi="ar-EG"/>
        </w:rPr>
        <w:t>المناظر الطبيعية الأرضية</w:t>
      </w:r>
      <w:r w:rsidRPr="003C314F">
        <w:rPr>
          <w:i/>
          <w:iCs/>
          <w:szCs w:val="22"/>
          <w:rtl/>
          <w:lang w:bidi="ar-EG"/>
        </w:rPr>
        <w:t xml:space="preserve"> </w:t>
      </w:r>
      <w:r w:rsidRPr="003C314F">
        <w:rPr>
          <w:rFonts w:hint="cs"/>
          <w:i/>
          <w:iCs/>
          <w:szCs w:val="22"/>
          <w:rtl/>
          <w:lang w:bidi="ar-EG"/>
        </w:rPr>
        <w:t xml:space="preserve">والمناظر الطبيعية </w:t>
      </w:r>
      <w:r w:rsidRPr="003C314F">
        <w:rPr>
          <w:i/>
          <w:iCs/>
          <w:szCs w:val="22"/>
          <w:rtl/>
          <w:lang w:bidi="ar-EG"/>
        </w:rPr>
        <w:t>البحري</w:t>
      </w:r>
      <w:r w:rsidRPr="003C314F">
        <w:rPr>
          <w:rFonts w:hint="cs"/>
          <w:i/>
          <w:iCs/>
          <w:szCs w:val="22"/>
          <w:rtl/>
          <w:lang w:bidi="ar-EG"/>
        </w:rPr>
        <w:t>ة</w:t>
      </w:r>
      <w:r w:rsidRPr="003C314F">
        <w:rPr>
          <w:i/>
          <w:iCs/>
          <w:szCs w:val="22"/>
          <w:rtl/>
          <w:lang w:bidi="ar-EG"/>
        </w:rPr>
        <w:t xml:space="preserve"> الأوسع نطاقا</w:t>
      </w:r>
    </w:p>
    <w:p w:rsidR="003C314F" w:rsidRPr="003C314F" w:rsidRDefault="003C314F" w:rsidP="0003521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3C314F">
        <w:rPr>
          <w:rFonts w:hint="cs"/>
          <w:szCs w:val="22"/>
          <w:rtl/>
          <w:lang w:bidi="ar-EG"/>
        </w:rPr>
        <w:t xml:space="preserve">من بين الاستراتيجيات وخطط العمل الوطنية للتنوع البيولوجي التي تم النظر فيها في هذا التقييم، كان 12 في المائة يحتوي على أهداف أو التزامات مماثلة لمدى ومستوى الطموح المحدد في هدف </w:t>
      </w:r>
      <w:r w:rsidR="00CC2584">
        <w:rPr>
          <w:rFonts w:hint="cs"/>
          <w:szCs w:val="22"/>
          <w:rtl/>
          <w:lang w:bidi="ar-EG"/>
        </w:rPr>
        <w:t>أيشي</w:t>
      </w:r>
      <w:r w:rsidR="00FF3E84">
        <w:rPr>
          <w:rFonts w:hint="cs"/>
          <w:szCs w:val="22"/>
          <w:rtl/>
          <w:lang w:bidi="ar-EG"/>
        </w:rPr>
        <w:t xml:space="preserve"> </w:t>
      </w:r>
      <w:r w:rsidRPr="003C314F">
        <w:rPr>
          <w:rFonts w:hint="cs"/>
          <w:szCs w:val="22"/>
          <w:rtl/>
          <w:lang w:bidi="ar-EG"/>
        </w:rPr>
        <w:t>للتنوع البيولوجي.</w:t>
      </w:r>
      <w:r w:rsidRPr="003C314F">
        <w:rPr>
          <w:rStyle w:val="FootnoteReference"/>
          <w:sz w:val="22"/>
          <w:szCs w:val="22"/>
          <w:u w:val="none"/>
          <w:vertAlign w:val="superscript"/>
        </w:rPr>
        <w:footnoteReference w:id="23"/>
      </w:r>
      <w:r w:rsidRPr="003C314F">
        <w:rPr>
          <w:rFonts w:hint="cs"/>
          <w:szCs w:val="22"/>
          <w:rtl/>
          <w:lang w:bidi="ar-EG"/>
        </w:rPr>
        <w:t xml:space="preserve"> وكان 2 في المائة أخرى من هذه الاستراتيجيات وخطط العمل الوطنية يحتوي على أهداف أكثر طموحا من هدف أيشي.</w:t>
      </w:r>
      <w:r w:rsidRPr="003C314F">
        <w:rPr>
          <w:rStyle w:val="FootnoteReference"/>
          <w:sz w:val="22"/>
          <w:szCs w:val="22"/>
          <w:u w:val="none"/>
          <w:vertAlign w:val="superscript"/>
          <w:rtl/>
        </w:rPr>
        <w:footnoteReference w:id="24"/>
      </w:r>
      <w:r w:rsidRPr="003C314F">
        <w:rPr>
          <w:rFonts w:hint="cs"/>
          <w:szCs w:val="22"/>
          <w:rtl/>
          <w:lang w:bidi="ar-EG"/>
        </w:rPr>
        <w:t xml:space="preserve"> واحتوى ما يقرب من ثلاثة أرباع الاستراتيجيات وخطط العمل الوطنية (</w:t>
      </w:r>
      <w:r w:rsidR="00035214">
        <w:rPr>
          <w:rFonts w:hint="cs"/>
          <w:szCs w:val="22"/>
          <w:rtl/>
          <w:lang w:bidi="ar-EG"/>
        </w:rPr>
        <w:t>77</w:t>
      </w:r>
      <w:r w:rsidRPr="003C314F">
        <w:rPr>
          <w:rFonts w:hint="cs"/>
          <w:szCs w:val="22"/>
          <w:rtl/>
          <w:lang w:bidi="ar-EG"/>
        </w:rPr>
        <w:t xml:space="preserve"> في المائة) على أهداف وطنية كانت أقل من هدف </w:t>
      </w:r>
      <w:r w:rsidR="00CC2584">
        <w:rPr>
          <w:rFonts w:hint="cs"/>
          <w:szCs w:val="22"/>
          <w:rtl/>
          <w:lang w:bidi="ar-EG"/>
        </w:rPr>
        <w:t>أيشي</w:t>
      </w:r>
      <w:r w:rsidR="00FF3E84">
        <w:rPr>
          <w:rFonts w:hint="cs"/>
          <w:szCs w:val="22"/>
          <w:rtl/>
          <w:lang w:bidi="ar-EG"/>
        </w:rPr>
        <w:t xml:space="preserve"> </w:t>
      </w:r>
      <w:r w:rsidRPr="003C314F">
        <w:rPr>
          <w:rFonts w:hint="cs"/>
          <w:szCs w:val="22"/>
          <w:rtl/>
          <w:lang w:bidi="ar-EG"/>
        </w:rPr>
        <w:t xml:space="preserve">أو لم تعالج جميع العناصر في هدف أيشي. ولا يحتوي 12 في المائة من الاستراتيجيات وخطط العمل الوطنية على أي أهداف وطنية أو التزامات مماثلة تتعلق بهدف </w:t>
      </w:r>
      <w:r w:rsidR="00CC2584">
        <w:rPr>
          <w:rFonts w:hint="cs"/>
          <w:szCs w:val="22"/>
          <w:rtl/>
          <w:lang w:bidi="ar-EG"/>
        </w:rPr>
        <w:t>أيشي</w:t>
      </w:r>
      <w:r w:rsidR="00FF3E84">
        <w:rPr>
          <w:rFonts w:hint="cs"/>
          <w:szCs w:val="22"/>
          <w:rtl/>
          <w:lang w:bidi="ar-EG"/>
        </w:rPr>
        <w:t xml:space="preserve"> </w:t>
      </w:r>
      <w:r w:rsidRPr="003C314F">
        <w:rPr>
          <w:rFonts w:hint="cs"/>
          <w:szCs w:val="22"/>
          <w:rtl/>
          <w:lang w:bidi="ar-EG"/>
        </w:rPr>
        <w:t xml:space="preserve">للتنوع البيولوجي. وأشار الكثير من الأهداف إلى تحسن المناطق المحمية الوطنية للبلد بشكل عام. وكان أكبر التركيز في الأهداف الوطنية على توسيع مساحة المناطق المحمية الأرضية. وكان هناك اهتمام أقل بإنشاء مناطق بحرية محمية. أما العناصر الكيفية لهدف </w:t>
      </w:r>
      <w:r w:rsidR="00CC2584">
        <w:rPr>
          <w:rFonts w:hint="cs"/>
          <w:szCs w:val="22"/>
          <w:rtl/>
          <w:lang w:bidi="ar-EG"/>
        </w:rPr>
        <w:t>أيشي</w:t>
      </w:r>
      <w:r w:rsidR="00FF3E84">
        <w:rPr>
          <w:rFonts w:hint="cs"/>
          <w:szCs w:val="22"/>
          <w:rtl/>
          <w:lang w:bidi="ar-EG"/>
        </w:rPr>
        <w:t xml:space="preserve"> </w:t>
      </w:r>
      <w:r w:rsidRPr="003C314F">
        <w:rPr>
          <w:rFonts w:hint="cs"/>
          <w:szCs w:val="22"/>
          <w:rtl/>
          <w:lang w:bidi="ar-EG"/>
        </w:rPr>
        <w:t>(التمثيل الإيكولوجي، وفعالية الإدارة، وحماية المناطق ذات الأهمية الخاصة، والترابط) فلم تكن مشمولة أيضا بالأهداف الوطنية في الاستراتيجيات وخطط العمل الوطنية للتنوع البيولوجي.</w:t>
      </w:r>
    </w:p>
    <w:p w:rsidR="00035214" w:rsidRPr="00035214" w:rsidRDefault="00035214" w:rsidP="0003521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035214">
        <w:rPr>
          <w:rFonts w:hint="cs"/>
          <w:szCs w:val="22"/>
          <w:rtl/>
          <w:lang w:bidi="ar-EG"/>
        </w:rPr>
        <w:t xml:space="preserve">ويفيد خُمس التقارير الوطنية إلى هذا الهدف على المسار الصحيح للوفاء به بحلول عام 2020. ويشير 68 من التقارير إلى حدوث تقدم نحو تحقيق هذا الهدف ولكن ليس بمعدل يسمح بتحقيقه بحلول التاريخ النهائي. ويفيد ما </w:t>
      </w:r>
      <w:r>
        <w:rPr>
          <w:rFonts w:hint="cs"/>
          <w:szCs w:val="22"/>
          <w:rtl/>
          <w:lang w:bidi="ar-EG"/>
        </w:rPr>
        <w:t>مجموعه</w:t>
      </w:r>
      <w:r w:rsidRPr="00035214">
        <w:rPr>
          <w:rFonts w:hint="cs"/>
          <w:szCs w:val="22"/>
          <w:rtl/>
          <w:lang w:bidi="ar-EG"/>
        </w:rPr>
        <w:t xml:space="preserve"> فقط </w:t>
      </w:r>
      <w:r>
        <w:rPr>
          <w:rFonts w:hint="cs"/>
          <w:szCs w:val="22"/>
          <w:rtl/>
          <w:lang w:bidi="ar-EG"/>
        </w:rPr>
        <w:t>7</w:t>
      </w:r>
      <w:r w:rsidRPr="00035214">
        <w:rPr>
          <w:rFonts w:hint="cs"/>
          <w:szCs w:val="22"/>
          <w:rtl/>
          <w:lang w:bidi="ar-EG"/>
        </w:rPr>
        <w:t xml:space="preserve"> في المائة من التقارير أن لم تحدث أي تغييرات مهمة ولا يشير أي من التقارير إلى تدهور الوضع. وكان التقدم نحو تحقيق هذا الهدف من بين أهداف </w:t>
      </w:r>
      <w:r w:rsidR="00CC2584">
        <w:rPr>
          <w:rFonts w:hint="cs"/>
          <w:szCs w:val="22"/>
          <w:rtl/>
          <w:lang w:bidi="ar-EG"/>
        </w:rPr>
        <w:t>أيشي</w:t>
      </w:r>
      <w:r w:rsidR="00FF3E84">
        <w:rPr>
          <w:rFonts w:hint="cs"/>
          <w:szCs w:val="22"/>
          <w:rtl/>
          <w:lang w:bidi="ar-EG"/>
        </w:rPr>
        <w:t xml:space="preserve"> </w:t>
      </w:r>
      <w:r w:rsidRPr="00035214">
        <w:rPr>
          <w:rFonts w:hint="cs"/>
          <w:szCs w:val="22"/>
          <w:rtl/>
          <w:lang w:bidi="ar-EG"/>
        </w:rPr>
        <w:t>العشرين الأكثر إيجابية. ولكن تركيز الأطراف يبدو أنه موجها بشكل أساسي إلى توسيع المناطق المحمية الأرضية، ويحتوي عدد قليل نسبيا من الأطراف على معلومات عن التمثيل الإيكولوجي للمناطق المحمية البحرية. وبالإضافة إلى ذلك، فإن أكثر من نصف التقارير لا تحتوي على معلومات عن التمثيل الإيكولوجي للمناطق المحمية أو على دمج المناطق المحمية في المناظر الطبيعية الأرضية والمناظر الطبيعية البحرية الأوسع نطاقا. وبالإضافة إلى ذلك، فإن أكثر من ثلث التقارير لا يحتوي على معلومات عن حماية المناطق وخصوصا المناطق ذات الأهمية الخاصة للتنوع البيولوجي أو عن ضمان الإدارة الفعالة والمنصفة للمناطق المحمية.</w:t>
      </w:r>
    </w:p>
    <w:p w:rsidR="00035214" w:rsidRPr="00035214" w:rsidRDefault="00035214" w:rsidP="00212CCF">
      <w:pPr>
        <w:keepNext/>
        <w:suppressLineNumbers/>
        <w:suppressAutoHyphens/>
        <w:kinsoku w:val="0"/>
        <w:overflowPunct w:val="0"/>
        <w:autoSpaceDE w:val="0"/>
        <w:autoSpaceDN w:val="0"/>
        <w:bidi/>
        <w:spacing w:before="120" w:after="120"/>
        <w:rPr>
          <w:i/>
          <w:iCs/>
          <w:snapToGrid w:val="0"/>
          <w:kern w:val="22"/>
          <w:szCs w:val="22"/>
          <w:rtl/>
        </w:rPr>
      </w:pPr>
      <w:r w:rsidRPr="00035214">
        <w:rPr>
          <w:i/>
          <w:iCs/>
          <w:szCs w:val="22"/>
          <w:rtl/>
          <w:lang w:bidi="ar-EG"/>
        </w:rPr>
        <w:t>الهدف 12</w:t>
      </w:r>
      <w:r w:rsidRPr="00035214">
        <w:rPr>
          <w:rFonts w:hint="cs"/>
          <w:i/>
          <w:iCs/>
          <w:szCs w:val="22"/>
          <w:rtl/>
          <w:lang w:bidi="ar-EG"/>
        </w:rPr>
        <w:t xml:space="preserve"> -</w:t>
      </w:r>
      <w:r w:rsidRPr="00035214">
        <w:rPr>
          <w:i/>
          <w:iCs/>
          <w:szCs w:val="22"/>
          <w:rtl/>
          <w:lang w:bidi="ar-EG"/>
        </w:rPr>
        <w:t xml:space="preserve"> </w:t>
      </w:r>
      <w:r w:rsidRPr="00035214">
        <w:rPr>
          <w:rFonts w:hint="cs"/>
          <w:i/>
          <w:iCs/>
          <w:szCs w:val="22"/>
          <w:rtl/>
          <w:lang w:bidi="ar-EG"/>
        </w:rPr>
        <w:t xml:space="preserve"> بحلول عام 2020، منع</w:t>
      </w:r>
      <w:r w:rsidRPr="00035214">
        <w:rPr>
          <w:i/>
          <w:iCs/>
          <w:szCs w:val="22"/>
          <w:rtl/>
          <w:lang w:bidi="ar-EG"/>
        </w:rPr>
        <w:t xml:space="preserve"> انقراض الأنواع المعروفة</w:t>
      </w:r>
      <w:r w:rsidRPr="00035214">
        <w:rPr>
          <w:rFonts w:hint="cs"/>
          <w:i/>
          <w:iCs/>
          <w:szCs w:val="22"/>
          <w:rtl/>
          <w:lang w:bidi="ar-EG"/>
        </w:rPr>
        <w:t xml:space="preserve"> </w:t>
      </w:r>
      <w:r w:rsidRPr="00035214">
        <w:rPr>
          <w:i/>
          <w:iCs/>
          <w:szCs w:val="22"/>
          <w:rtl/>
          <w:lang w:bidi="ar-EG"/>
        </w:rPr>
        <w:t>الم</w:t>
      </w:r>
      <w:r w:rsidRPr="00035214">
        <w:rPr>
          <w:rFonts w:hint="cs"/>
          <w:i/>
          <w:iCs/>
          <w:szCs w:val="22"/>
          <w:rtl/>
          <w:lang w:bidi="ar-EG"/>
        </w:rPr>
        <w:t>هددة بالانقراض وتحسين وإدامة حالة حفظها، ولا سيما بالنسبة للأنواع الأكثر تدهورا</w:t>
      </w:r>
    </w:p>
    <w:p w:rsidR="00035214" w:rsidRPr="00EB083E" w:rsidRDefault="00EB083E" w:rsidP="00EB083E">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EB083E">
        <w:rPr>
          <w:rFonts w:hint="cs"/>
          <w:szCs w:val="22"/>
          <w:rtl/>
          <w:lang w:bidi="ar-EG"/>
        </w:rPr>
        <w:t xml:space="preserve">يحتوي نحو </w:t>
      </w:r>
      <w:r>
        <w:rPr>
          <w:rFonts w:hint="cs"/>
          <w:szCs w:val="22"/>
          <w:rtl/>
          <w:lang w:bidi="ar-EG"/>
        </w:rPr>
        <w:t>خمس</w:t>
      </w:r>
      <w:r w:rsidRPr="00EB083E">
        <w:rPr>
          <w:rFonts w:hint="cs"/>
          <w:szCs w:val="22"/>
          <w:rtl/>
          <w:lang w:bidi="ar-EG"/>
        </w:rPr>
        <w:t xml:space="preserve"> (</w:t>
      </w:r>
      <w:r>
        <w:rPr>
          <w:rFonts w:hint="cs"/>
          <w:szCs w:val="22"/>
          <w:rtl/>
          <w:lang w:bidi="ar-EG"/>
        </w:rPr>
        <w:t>19</w:t>
      </w:r>
      <w:r w:rsidRPr="00EB083E">
        <w:rPr>
          <w:rFonts w:hint="cs"/>
          <w:szCs w:val="22"/>
          <w:rtl/>
          <w:lang w:bidi="ar-EG"/>
        </w:rPr>
        <w:t xml:space="preserve"> في المائة)</w:t>
      </w:r>
      <w:r>
        <w:rPr>
          <w:rFonts w:hint="cs"/>
          <w:szCs w:val="22"/>
          <w:rtl/>
          <w:lang w:bidi="ar-EG"/>
        </w:rPr>
        <w:t xml:space="preserve"> من</w:t>
      </w:r>
      <w:r w:rsidRPr="00EB083E">
        <w:rPr>
          <w:rFonts w:hint="cs"/>
          <w:szCs w:val="22"/>
          <w:rtl/>
          <w:lang w:bidi="ar-EG"/>
        </w:rPr>
        <w:t xml:space="preserve"> الاستراتيجيات وخطط العمل الوطنية للتنوع البيولوجي على أهداف ذات مجال ومستوى للطموح مماثل لما هو محدد في الهدف 12 من أهداف </w:t>
      </w:r>
      <w:r w:rsidR="00CC2584">
        <w:rPr>
          <w:rFonts w:hint="cs"/>
          <w:szCs w:val="22"/>
          <w:rtl/>
          <w:lang w:bidi="ar-EG"/>
        </w:rPr>
        <w:t>أيشي</w:t>
      </w:r>
      <w:r w:rsidR="00FF3E84">
        <w:rPr>
          <w:rFonts w:hint="cs"/>
          <w:szCs w:val="22"/>
          <w:rtl/>
          <w:lang w:bidi="ar-EG"/>
        </w:rPr>
        <w:t xml:space="preserve"> </w:t>
      </w:r>
      <w:r w:rsidRPr="00EB083E">
        <w:rPr>
          <w:rFonts w:hint="cs"/>
          <w:szCs w:val="22"/>
          <w:rtl/>
          <w:lang w:bidi="ar-EG"/>
        </w:rPr>
        <w:t>للتنوع البيولوجي.</w:t>
      </w:r>
      <w:r w:rsidRPr="00EB083E">
        <w:rPr>
          <w:rStyle w:val="FootnoteReference"/>
          <w:sz w:val="22"/>
          <w:szCs w:val="22"/>
          <w:u w:val="none"/>
          <w:vertAlign w:val="superscript"/>
        </w:rPr>
        <w:footnoteReference w:id="25"/>
      </w:r>
      <w:r w:rsidRPr="00EB083E">
        <w:rPr>
          <w:rFonts w:hint="cs"/>
          <w:szCs w:val="22"/>
          <w:vertAlign w:val="superscript"/>
          <w:rtl/>
          <w:lang w:bidi="ar-EG"/>
        </w:rPr>
        <w:t xml:space="preserve"> </w:t>
      </w:r>
      <w:r w:rsidRPr="00EB083E">
        <w:rPr>
          <w:rFonts w:hint="cs"/>
          <w:szCs w:val="22"/>
          <w:rtl/>
          <w:lang w:bidi="ar-EG"/>
        </w:rPr>
        <w:t xml:space="preserve">غير أن </w:t>
      </w:r>
      <w:r>
        <w:rPr>
          <w:rFonts w:hint="cs"/>
          <w:szCs w:val="22"/>
          <w:rtl/>
          <w:lang w:bidi="ar-EG"/>
        </w:rPr>
        <w:t>67</w:t>
      </w:r>
      <w:r w:rsidRPr="00EB083E">
        <w:rPr>
          <w:rFonts w:hint="cs"/>
          <w:szCs w:val="22"/>
          <w:rtl/>
          <w:lang w:bidi="ar-EG"/>
        </w:rPr>
        <w:t xml:space="preserve"> في المائة من الاستراتيجيات وخطط العمل الوطنية يحتوي على أهداف أقل أو لا تشمل كافة العناصر في أهداف </w:t>
      </w:r>
      <w:r w:rsidR="00CC2584">
        <w:rPr>
          <w:rFonts w:hint="cs"/>
          <w:szCs w:val="22"/>
          <w:rtl/>
          <w:lang w:bidi="ar-EG"/>
        </w:rPr>
        <w:t>أيشي</w:t>
      </w:r>
      <w:r w:rsidR="00FF3E84">
        <w:rPr>
          <w:rFonts w:hint="cs"/>
          <w:szCs w:val="22"/>
          <w:rtl/>
          <w:lang w:bidi="ar-EG"/>
        </w:rPr>
        <w:t xml:space="preserve"> </w:t>
      </w:r>
      <w:r w:rsidRPr="00EB083E">
        <w:rPr>
          <w:rFonts w:hint="cs"/>
          <w:szCs w:val="22"/>
          <w:rtl/>
          <w:lang w:bidi="ar-EG"/>
        </w:rPr>
        <w:t>و1</w:t>
      </w:r>
      <w:r>
        <w:rPr>
          <w:rFonts w:hint="cs"/>
          <w:szCs w:val="22"/>
          <w:rtl/>
          <w:lang w:bidi="ar-EG"/>
        </w:rPr>
        <w:t>4</w:t>
      </w:r>
      <w:r w:rsidRPr="00EB083E">
        <w:rPr>
          <w:rFonts w:hint="cs"/>
          <w:szCs w:val="22"/>
          <w:rtl/>
          <w:lang w:bidi="ar-EG"/>
        </w:rPr>
        <w:t xml:space="preserve"> في المائة من الاستراتيجيات وخطط العمل الوطنية لا تحتوي على أي أهداف وطنية أو التزامات متعلقة بهذا الهدف من أهداف أيشي. والأهداف الوطنية المحددة تركز بالمثل على منع </w:t>
      </w:r>
      <w:r w:rsidR="00CC2584" w:rsidRPr="00EB083E">
        <w:rPr>
          <w:rFonts w:hint="cs"/>
          <w:szCs w:val="22"/>
          <w:rtl/>
          <w:lang w:bidi="ar-EG"/>
        </w:rPr>
        <w:t>الانقراض</w:t>
      </w:r>
      <w:r w:rsidRPr="00EB083E">
        <w:rPr>
          <w:rFonts w:hint="cs"/>
          <w:szCs w:val="22"/>
          <w:rtl/>
          <w:lang w:bidi="ar-EG"/>
        </w:rPr>
        <w:t xml:space="preserve"> وتحسين حالة الحفظ للأنواع المهددة.</w:t>
      </w:r>
    </w:p>
    <w:p w:rsidR="001F6740" w:rsidRPr="001F6740" w:rsidRDefault="001F6740"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1F6740">
        <w:rPr>
          <w:rFonts w:hint="cs"/>
          <w:szCs w:val="22"/>
          <w:rtl/>
          <w:lang w:bidi="ar-EG"/>
        </w:rPr>
        <w:t xml:space="preserve">ويحتوي 4 في المائة فقط من التقارير الوطنية على معلومات تفيد بأن هذا الهدف على المسار الصحيح للوفاء به بحلول التاريخ النهائي. ويحتوي أكثر من نصف التقارير الوطنية (51 في المائة) على معلومات تفيد بأن بينما يتم تحقيق تقدم نحو إنجاز هذا الهدف فإن ذلك لن يكون كافيا لإحراز الهدف بحلول 2020. ويبدو عموما حدوث تقدم أكبر في تحسن حالة حفظ الأنواع بدلا من منع </w:t>
      </w:r>
      <w:r w:rsidR="00CC2584" w:rsidRPr="001F6740">
        <w:rPr>
          <w:rFonts w:hint="cs"/>
          <w:szCs w:val="22"/>
          <w:rtl/>
          <w:lang w:bidi="ar-EG"/>
        </w:rPr>
        <w:t>الانقراض</w:t>
      </w:r>
      <w:r w:rsidRPr="001F6740">
        <w:rPr>
          <w:rFonts w:hint="cs"/>
          <w:szCs w:val="22"/>
          <w:rtl/>
          <w:lang w:bidi="ar-EG"/>
        </w:rPr>
        <w:t>. غير أن التمييز بين منع انقراض الأنواع وتحسين حالة حفظ الأنواع ليس واضحا بشكل دائم.</w:t>
      </w:r>
    </w:p>
    <w:p w:rsidR="001F6740" w:rsidRPr="001F6740" w:rsidRDefault="001F6740" w:rsidP="00212CCF">
      <w:pPr>
        <w:keepNext/>
        <w:suppressLineNumbers/>
        <w:suppressAutoHyphens/>
        <w:kinsoku w:val="0"/>
        <w:overflowPunct w:val="0"/>
        <w:autoSpaceDE w:val="0"/>
        <w:autoSpaceDN w:val="0"/>
        <w:bidi/>
        <w:spacing w:before="120" w:after="120"/>
        <w:rPr>
          <w:i/>
          <w:iCs/>
          <w:snapToGrid w:val="0"/>
          <w:kern w:val="22"/>
          <w:szCs w:val="22"/>
          <w:rtl/>
        </w:rPr>
      </w:pPr>
      <w:r w:rsidRPr="001F6740">
        <w:rPr>
          <w:i/>
          <w:iCs/>
          <w:szCs w:val="22"/>
          <w:rtl/>
          <w:lang w:bidi="ar-EG"/>
        </w:rPr>
        <w:t>الهدف 13</w:t>
      </w:r>
      <w:r w:rsidRPr="001F6740">
        <w:rPr>
          <w:rFonts w:hint="cs"/>
          <w:i/>
          <w:iCs/>
          <w:szCs w:val="22"/>
          <w:rtl/>
          <w:lang w:bidi="ar-EG"/>
        </w:rPr>
        <w:t xml:space="preserve"> -</w:t>
      </w:r>
      <w:r w:rsidRPr="001F6740">
        <w:rPr>
          <w:i/>
          <w:iCs/>
          <w:szCs w:val="22"/>
          <w:rtl/>
          <w:lang w:bidi="ar-EG"/>
        </w:rPr>
        <w:t xml:space="preserve"> </w:t>
      </w:r>
      <w:r w:rsidRPr="001F6740">
        <w:rPr>
          <w:rFonts w:hint="cs"/>
          <w:i/>
          <w:iCs/>
          <w:szCs w:val="22"/>
          <w:rtl/>
          <w:lang w:bidi="ar-EG"/>
        </w:rPr>
        <w:t xml:space="preserve"> </w:t>
      </w:r>
      <w:r w:rsidRPr="001F6740">
        <w:rPr>
          <w:i/>
          <w:iCs/>
          <w:szCs w:val="22"/>
          <w:rtl/>
          <w:lang w:bidi="ar-EG"/>
        </w:rPr>
        <w:t xml:space="preserve">بحلول عام 2020، </w:t>
      </w:r>
      <w:r w:rsidRPr="001F6740">
        <w:rPr>
          <w:rFonts w:hint="cs"/>
          <w:i/>
          <w:iCs/>
          <w:szCs w:val="22"/>
          <w:rtl/>
          <w:lang w:bidi="ar-EG"/>
        </w:rPr>
        <w:t>الحفاظ على التنوع الجيني للنباتات المزروعة وحيوانات المزارع والحيوانات الأليفة والتنوع الجيني للأقارب البرية، بما في ذلك الأنواع الأخرى ذات القيمة الاجتماعية والاقتصادية فضلا عن القيمة الثقافية، ووضع وتنفيذ استراتيجيات لتقليل التآكل الجيني وصون تنوعها الجيني</w:t>
      </w:r>
    </w:p>
    <w:p w:rsidR="001F6740" w:rsidRPr="001F6740" w:rsidRDefault="001F6740" w:rsidP="00767B0C">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1F6740">
        <w:rPr>
          <w:rFonts w:hint="cs"/>
          <w:szCs w:val="22"/>
          <w:rtl/>
          <w:lang w:bidi="ar-EG"/>
        </w:rPr>
        <w:t xml:space="preserve">من بين الأهداف المتضمنة في الاستراتيجيات وخطط العمل الوطنية للتنوع البيولوجي، كان لنسبة </w:t>
      </w:r>
      <w:r>
        <w:rPr>
          <w:rFonts w:hint="cs"/>
          <w:szCs w:val="22"/>
          <w:rtl/>
          <w:lang w:bidi="ar-EG"/>
        </w:rPr>
        <w:t>13</w:t>
      </w:r>
      <w:r w:rsidRPr="001F6740">
        <w:rPr>
          <w:rFonts w:hint="cs"/>
          <w:szCs w:val="22"/>
          <w:rtl/>
          <w:lang w:bidi="ar-EG"/>
        </w:rPr>
        <w:t xml:space="preserve"> في المائة منها مدى ومستوى للطموح مماثل لهدف أيشي،</w:t>
      </w:r>
      <w:r w:rsidRPr="001F6740">
        <w:rPr>
          <w:rStyle w:val="FootnoteReference"/>
          <w:sz w:val="22"/>
          <w:szCs w:val="22"/>
          <w:u w:val="none"/>
          <w:vertAlign w:val="superscript"/>
        </w:rPr>
        <w:footnoteReference w:id="26"/>
      </w:r>
      <w:r w:rsidRPr="001F6740">
        <w:rPr>
          <w:rFonts w:hint="cs"/>
          <w:szCs w:val="22"/>
          <w:rtl/>
          <w:lang w:bidi="ar-EG"/>
        </w:rPr>
        <w:t xml:space="preserve"> وتحتوي إحدى هذه الاستراتيجيات وخطط العمل</w:t>
      </w:r>
      <w:r w:rsidRPr="001F6740">
        <w:rPr>
          <w:rStyle w:val="FootnoteReference"/>
          <w:sz w:val="22"/>
          <w:szCs w:val="22"/>
          <w:u w:val="none"/>
          <w:vertAlign w:val="superscript"/>
          <w:rtl/>
        </w:rPr>
        <w:footnoteReference w:id="27"/>
      </w:r>
      <w:r w:rsidRPr="001F6740">
        <w:rPr>
          <w:rFonts w:hint="cs"/>
          <w:szCs w:val="22"/>
          <w:rtl/>
          <w:lang w:bidi="ar-EG"/>
        </w:rPr>
        <w:t xml:space="preserve"> على هدف أكثر طموحا من هدف أيشي. كما أن ما يزيد على نصف (</w:t>
      </w:r>
      <w:r w:rsidR="00767B0C">
        <w:rPr>
          <w:rFonts w:hint="cs"/>
          <w:szCs w:val="22"/>
          <w:rtl/>
          <w:lang w:bidi="ar-EG"/>
        </w:rPr>
        <w:t>63</w:t>
      </w:r>
      <w:r w:rsidRPr="001F6740">
        <w:rPr>
          <w:rFonts w:hint="cs"/>
          <w:szCs w:val="22"/>
          <w:rtl/>
          <w:lang w:bidi="ar-EG"/>
        </w:rPr>
        <w:t xml:space="preserve"> في المائة) من هذه الأهداف المحددة هي أقل أو لا تعالج العناصر في هدف </w:t>
      </w:r>
      <w:r w:rsidR="00CC2584">
        <w:rPr>
          <w:rFonts w:hint="cs"/>
          <w:szCs w:val="22"/>
          <w:rtl/>
          <w:lang w:bidi="ar-EG"/>
        </w:rPr>
        <w:t>أيشي</w:t>
      </w:r>
      <w:r w:rsidR="00FF3E84">
        <w:rPr>
          <w:rFonts w:hint="cs"/>
          <w:szCs w:val="22"/>
          <w:rtl/>
          <w:lang w:bidi="ar-EG"/>
        </w:rPr>
        <w:t xml:space="preserve"> </w:t>
      </w:r>
      <w:r w:rsidRPr="001F6740">
        <w:rPr>
          <w:rFonts w:hint="cs"/>
          <w:szCs w:val="22"/>
          <w:rtl/>
          <w:lang w:bidi="ar-EG"/>
        </w:rPr>
        <w:t xml:space="preserve">للتنوع البيولوجي. ولم ترد أهداف تتعلق مباشرة بالهدف 13 من أهداف </w:t>
      </w:r>
      <w:r w:rsidR="00CC2584">
        <w:rPr>
          <w:rFonts w:hint="cs"/>
          <w:szCs w:val="22"/>
          <w:rtl/>
          <w:lang w:bidi="ar-EG"/>
        </w:rPr>
        <w:t>أيشي</w:t>
      </w:r>
      <w:r w:rsidR="00FF3E84">
        <w:rPr>
          <w:rFonts w:hint="cs"/>
          <w:szCs w:val="22"/>
          <w:rtl/>
          <w:lang w:bidi="ar-EG"/>
        </w:rPr>
        <w:t xml:space="preserve"> </w:t>
      </w:r>
      <w:r w:rsidRPr="001F6740">
        <w:rPr>
          <w:rFonts w:hint="cs"/>
          <w:szCs w:val="22"/>
          <w:rtl/>
          <w:lang w:bidi="ar-EG"/>
        </w:rPr>
        <w:t xml:space="preserve">للتنوع البيولوجي في ربع </w:t>
      </w:r>
      <w:r w:rsidR="00CC2584" w:rsidRPr="001F6740">
        <w:rPr>
          <w:rFonts w:hint="cs"/>
          <w:szCs w:val="22"/>
          <w:rtl/>
          <w:lang w:bidi="ar-EG"/>
        </w:rPr>
        <w:t>الاستراتيجيا</w:t>
      </w:r>
      <w:r w:rsidR="00CC2584" w:rsidRPr="001F6740">
        <w:rPr>
          <w:rFonts w:hint="eastAsia"/>
          <w:szCs w:val="22"/>
          <w:rtl/>
          <w:lang w:bidi="ar-EG"/>
        </w:rPr>
        <w:t>ت</w:t>
      </w:r>
      <w:r w:rsidRPr="001F6740">
        <w:rPr>
          <w:rFonts w:hint="cs"/>
          <w:szCs w:val="22"/>
          <w:rtl/>
          <w:lang w:bidi="ar-EG"/>
        </w:rPr>
        <w:t xml:space="preserve"> وخطط العمل الوطنية التي تم تقييمها. وتشير معظم الأهداف المحددة إلى حفظ التنوع الجيني بشكل عام. ويشير قليل من الأهداف إلى عناصر محددة من الهدف. وبوجه خاص فإن مسألة حفظ التنوع البيولوجي للأقارب البرية، والأنواع القيمة من وجهة النظر الاجتماعية </w:t>
      </w:r>
      <w:r w:rsidRPr="001F6740">
        <w:rPr>
          <w:szCs w:val="22"/>
          <w:rtl/>
          <w:lang w:bidi="ar-EG"/>
        </w:rPr>
        <w:t>–</w:t>
      </w:r>
      <w:r w:rsidRPr="001F6740">
        <w:rPr>
          <w:rFonts w:hint="cs"/>
          <w:szCs w:val="22"/>
          <w:rtl/>
          <w:lang w:bidi="ar-EG"/>
        </w:rPr>
        <w:t xml:space="preserve"> الاقتصادية والثقافية، وإعداد الاستراتيجيات للتقليل من التآكل الوراثي لم تكن واردة عموما في الأهداف التي حددتها الأطراف.</w:t>
      </w:r>
    </w:p>
    <w:p w:rsidR="00767B0C" w:rsidRPr="001B2DE7" w:rsidRDefault="001B2DE7" w:rsidP="001B2DE7">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1B2DE7">
        <w:rPr>
          <w:rFonts w:hint="cs"/>
          <w:szCs w:val="22"/>
          <w:rtl/>
        </w:rPr>
        <w:t xml:space="preserve">ويحتوي أقل من </w:t>
      </w:r>
      <w:r>
        <w:rPr>
          <w:rFonts w:hint="cs"/>
          <w:szCs w:val="22"/>
          <w:rtl/>
        </w:rPr>
        <w:t>عشر</w:t>
      </w:r>
      <w:r w:rsidRPr="001B2DE7">
        <w:rPr>
          <w:rFonts w:hint="cs"/>
          <w:szCs w:val="22"/>
          <w:rtl/>
        </w:rPr>
        <w:t xml:space="preserve"> من التقارير الوطنية </w:t>
      </w:r>
      <w:r>
        <w:rPr>
          <w:rFonts w:hint="cs"/>
          <w:szCs w:val="22"/>
          <w:rtl/>
        </w:rPr>
        <w:t xml:space="preserve">(7 في المائة) </w:t>
      </w:r>
      <w:r w:rsidRPr="001B2DE7">
        <w:rPr>
          <w:rFonts w:hint="cs"/>
          <w:szCs w:val="22"/>
          <w:rtl/>
        </w:rPr>
        <w:t xml:space="preserve">على معلومات تفيد بأن هذا الهدف على المسار الصحيح للوفاء به بحلول التاريخ النهائي. ويفيد أكثر من 50 في المائة من التقارير الوطنية أنه يحدث تقدم نحو بلوغ الهدف ولكن ليس بالمعدل الذي يسمح بإنجازه بحلول التاريخ النهائي. كما أن أكثر من 20 في المائة من التقارير يفيد بأنه لم يحدث أي تغير مهم بالعلاقة إلى إنجاز هذا الهدف. ولا يحتوي 17 في المائة من التقارير على معلومات مهمة بالعلاقة إلى التقدم نحو إنجاز هذا الهدف لكي يتم تقييمها. ويبدو أن معظم التركيز على هذا الهدف متعلق بالحفاظ على التنوع البيولوجي للنباتات المزروعة. ولا يحتوي أكثر من 50 في المائة من التقارير على أي معلومات عن الحفاظ على التنوع البيولوجي لحيوانات المزارع والحيوانات الأليفة، والأقارب البرية. ولا يحتوي ما يقرب من </w:t>
      </w:r>
      <w:r>
        <w:rPr>
          <w:rFonts w:hint="cs"/>
          <w:szCs w:val="22"/>
          <w:rtl/>
        </w:rPr>
        <w:t>نصف</w:t>
      </w:r>
      <w:r w:rsidRPr="001B2DE7">
        <w:rPr>
          <w:rFonts w:hint="cs"/>
          <w:szCs w:val="22"/>
          <w:rtl/>
        </w:rPr>
        <w:t xml:space="preserve"> (</w:t>
      </w:r>
      <w:r>
        <w:rPr>
          <w:rFonts w:hint="cs"/>
          <w:szCs w:val="22"/>
          <w:rtl/>
        </w:rPr>
        <w:t>53</w:t>
      </w:r>
      <w:r w:rsidRPr="001B2DE7">
        <w:rPr>
          <w:rFonts w:hint="cs"/>
          <w:szCs w:val="22"/>
          <w:rtl/>
        </w:rPr>
        <w:t xml:space="preserve"> في المائة) من التقرير الوطنية على معلومات عن صون التنوع الجيني للأنواع المهمة من الوجهة الاجتماعية </w:t>
      </w:r>
      <w:r w:rsidRPr="001B2DE7">
        <w:rPr>
          <w:szCs w:val="22"/>
          <w:rtl/>
        </w:rPr>
        <w:t>–</w:t>
      </w:r>
      <w:r w:rsidRPr="001B2DE7">
        <w:rPr>
          <w:rFonts w:hint="cs"/>
          <w:szCs w:val="22"/>
          <w:rtl/>
        </w:rPr>
        <w:t xml:space="preserve"> الاقتصادية والثقافية. وبالمثل، فإن أكثر من 40 في المائة من التقارير لا يحتوي على أي معلومات عن إعداد الخطط أو الاستراتيجيات للتعامل مع التآكل الجيني، وحفظ التنوع الجيني.</w:t>
      </w:r>
    </w:p>
    <w:p w:rsidR="001B2DE7" w:rsidRPr="001B2DE7" w:rsidRDefault="001B2DE7" w:rsidP="00212CCF">
      <w:pPr>
        <w:keepNext/>
        <w:suppressLineNumbers/>
        <w:suppressAutoHyphens/>
        <w:kinsoku w:val="0"/>
        <w:overflowPunct w:val="0"/>
        <w:autoSpaceDE w:val="0"/>
        <w:autoSpaceDN w:val="0"/>
        <w:bidi/>
        <w:spacing w:before="120" w:after="120"/>
        <w:rPr>
          <w:i/>
          <w:iCs/>
          <w:snapToGrid w:val="0"/>
          <w:kern w:val="22"/>
          <w:szCs w:val="22"/>
          <w:rtl/>
        </w:rPr>
      </w:pPr>
      <w:r w:rsidRPr="001B2DE7">
        <w:rPr>
          <w:i/>
          <w:iCs/>
          <w:szCs w:val="22"/>
          <w:rtl/>
          <w:lang w:bidi="ar-EG"/>
        </w:rPr>
        <w:t>الهدف 14</w:t>
      </w:r>
      <w:r w:rsidRPr="001B2DE7">
        <w:rPr>
          <w:rFonts w:hint="cs"/>
          <w:i/>
          <w:iCs/>
          <w:szCs w:val="22"/>
          <w:rtl/>
          <w:lang w:bidi="ar-EG"/>
        </w:rPr>
        <w:t xml:space="preserve"> -</w:t>
      </w:r>
      <w:r w:rsidRPr="001B2DE7">
        <w:rPr>
          <w:i/>
          <w:iCs/>
          <w:szCs w:val="22"/>
          <w:rtl/>
          <w:lang w:bidi="ar-EG"/>
        </w:rPr>
        <w:t xml:space="preserve"> </w:t>
      </w:r>
      <w:r w:rsidRPr="001B2DE7">
        <w:rPr>
          <w:rFonts w:hint="cs"/>
          <w:i/>
          <w:iCs/>
          <w:szCs w:val="22"/>
          <w:rtl/>
          <w:lang w:bidi="ar-EG"/>
        </w:rPr>
        <w:t xml:space="preserve"> </w:t>
      </w:r>
      <w:r w:rsidRPr="001B2DE7">
        <w:rPr>
          <w:i/>
          <w:iCs/>
          <w:szCs w:val="22"/>
          <w:rtl/>
          <w:lang w:bidi="ar-EG"/>
        </w:rPr>
        <w:t xml:space="preserve">بحلول عام 2020، </w:t>
      </w:r>
      <w:r w:rsidRPr="001B2DE7">
        <w:rPr>
          <w:rFonts w:hint="cs"/>
          <w:i/>
          <w:iCs/>
          <w:szCs w:val="22"/>
          <w:rtl/>
          <w:lang w:bidi="ar-EG"/>
        </w:rPr>
        <w:t xml:space="preserve">استعادة وصون </w:t>
      </w:r>
      <w:r w:rsidRPr="001B2DE7">
        <w:rPr>
          <w:i/>
          <w:iCs/>
          <w:szCs w:val="22"/>
          <w:rtl/>
          <w:lang w:bidi="ar-EG"/>
        </w:rPr>
        <w:t xml:space="preserve">النظم الإيكولوجية </w:t>
      </w:r>
      <w:r w:rsidRPr="001B2DE7">
        <w:rPr>
          <w:rFonts w:hint="cs"/>
          <w:i/>
          <w:iCs/>
          <w:szCs w:val="22"/>
          <w:rtl/>
          <w:lang w:bidi="ar-EG"/>
        </w:rPr>
        <w:t>التي توفر خدمات أساسية، بما في ذلك الخدمات المرتبطة بالمياه، وتسهم في الصحة وسبل العيش والرفاه، مع مراعاة احتياجات النساء وال</w:t>
      </w:r>
      <w:r w:rsidRPr="001B2DE7">
        <w:rPr>
          <w:i/>
          <w:iCs/>
          <w:szCs w:val="22"/>
          <w:rtl/>
          <w:lang w:bidi="ar-EG"/>
        </w:rPr>
        <w:t>مجتمعات الأصلي</w:t>
      </w:r>
      <w:r w:rsidRPr="001B2DE7">
        <w:rPr>
          <w:rFonts w:hint="cs"/>
          <w:i/>
          <w:iCs/>
          <w:szCs w:val="22"/>
          <w:rtl/>
          <w:lang w:bidi="ar-EG"/>
        </w:rPr>
        <w:t>ة</w:t>
      </w:r>
      <w:r w:rsidRPr="001B2DE7">
        <w:rPr>
          <w:i/>
          <w:iCs/>
          <w:szCs w:val="22"/>
          <w:rtl/>
          <w:lang w:bidi="ar-EG"/>
        </w:rPr>
        <w:t xml:space="preserve"> والمحلية والفقراء والضعفاء</w:t>
      </w:r>
    </w:p>
    <w:p w:rsidR="001B2DE7" w:rsidRPr="001B2DE7" w:rsidRDefault="001B2DE7" w:rsidP="003F07B6">
      <w:pPr>
        <w:pStyle w:val="Para1"/>
        <w:suppressLineNumbers/>
        <w:tabs>
          <w:tab w:val="clear" w:pos="360"/>
        </w:tabs>
        <w:suppressAutoHyphens/>
        <w:kinsoku w:val="0"/>
        <w:overflowPunct w:val="0"/>
        <w:autoSpaceDE w:val="0"/>
        <w:autoSpaceDN w:val="0"/>
        <w:bidi/>
        <w:spacing w:before="0"/>
        <w:rPr>
          <w:rFonts w:eastAsia="Malgun Gothic"/>
          <w:kern w:val="22"/>
          <w:szCs w:val="22"/>
        </w:rPr>
      </w:pPr>
      <w:r>
        <w:rPr>
          <w:rFonts w:hint="cs"/>
          <w:color w:val="000000"/>
          <w:szCs w:val="22"/>
          <w:rtl/>
          <w:lang w:bidi="ar-EG"/>
        </w:rPr>
        <w:t>ولا يحتوي 15</w:t>
      </w:r>
      <w:r w:rsidRPr="001B2DE7">
        <w:rPr>
          <w:rFonts w:hint="cs"/>
          <w:color w:val="000000"/>
          <w:szCs w:val="22"/>
          <w:rtl/>
          <w:lang w:bidi="ar-EG"/>
        </w:rPr>
        <w:t xml:space="preserve"> في المائة من الاستراتيجيات وخطط العمل الوطنية للتنوع البيولوجي </w:t>
      </w:r>
      <w:r w:rsidR="00752599">
        <w:rPr>
          <w:rFonts w:hint="cs"/>
          <w:color w:val="000000"/>
          <w:szCs w:val="22"/>
          <w:rtl/>
          <w:lang w:bidi="ar-EG"/>
        </w:rPr>
        <w:t>على</w:t>
      </w:r>
      <w:r w:rsidRPr="001B2DE7">
        <w:rPr>
          <w:rFonts w:hint="cs"/>
          <w:color w:val="000000"/>
          <w:szCs w:val="22"/>
          <w:rtl/>
          <w:lang w:bidi="ar-EG"/>
        </w:rPr>
        <w:t xml:space="preserve"> أهداف مشابهة في مدى ومستوى الطموح لهدف أيشي.</w:t>
      </w:r>
      <w:r w:rsidRPr="001B2DE7">
        <w:rPr>
          <w:rStyle w:val="FootnoteReference"/>
          <w:color w:val="000000"/>
          <w:sz w:val="22"/>
          <w:szCs w:val="22"/>
          <w:u w:val="none"/>
          <w:vertAlign w:val="superscript"/>
        </w:rPr>
        <w:footnoteReference w:id="28"/>
      </w:r>
      <w:r w:rsidRPr="001B2DE7">
        <w:rPr>
          <w:rFonts w:hint="cs"/>
          <w:color w:val="000000"/>
          <w:szCs w:val="22"/>
          <w:rtl/>
          <w:lang w:bidi="ar-EG"/>
        </w:rPr>
        <w:t xml:space="preserve"> وكان </w:t>
      </w:r>
      <w:r w:rsidR="008F0DD6">
        <w:rPr>
          <w:rFonts w:hint="cs"/>
          <w:color w:val="000000"/>
          <w:szCs w:val="22"/>
          <w:rtl/>
          <w:lang w:bidi="ar-EG"/>
        </w:rPr>
        <w:t>أكثر من نصف</w:t>
      </w:r>
      <w:r w:rsidRPr="001B2DE7">
        <w:rPr>
          <w:rFonts w:hint="cs"/>
          <w:color w:val="000000"/>
          <w:szCs w:val="22"/>
          <w:rtl/>
          <w:lang w:bidi="ar-EG"/>
        </w:rPr>
        <w:t xml:space="preserve"> هذه الاستراتيجيات وخطط العمل </w:t>
      </w:r>
      <w:r w:rsidR="007C70D1" w:rsidRPr="001B2DE7">
        <w:rPr>
          <w:rFonts w:hint="cs"/>
          <w:color w:val="000000"/>
          <w:szCs w:val="22"/>
          <w:rtl/>
          <w:lang w:bidi="ar-EG"/>
        </w:rPr>
        <w:t>(</w:t>
      </w:r>
      <w:r w:rsidR="007C70D1">
        <w:rPr>
          <w:rFonts w:hint="cs"/>
          <w:color w:val="000000"/>
          <w:szCs w:val="22"/>
          <w:rtl/>
          <w:lang w:bidi="ar-EG"/>
        </w:rPr>
        <w:t>52</w:t>
      </w:r>
      <w:r w:rsidR="007C70D1" w:rsidRPr="001B2DE7">
        <w:rPr>
          <w:rFonts w:hint="cs"/>
          <w:color w:val="000000"/>
          <w:szCs w:val="22"/>
          <w:rtl/>
          <w:lang w:bidi="ar-EG"/>
        </w:rPr>
        <w:t xml:space="preserve"> في المائة) </w:t>
      </w:r>
      <w:r w:rsidRPr="001B2DE7">
        <w:rPr>
          <w:rFonts w:hint="cs"/>
          <w:color w:val="000000"/>
          <w:szCs w:val="22"/>
          <w:rtl/>
          <w:lang w:bidi="ar-EG"/>
        </w:rPr>
        <w:t>قد احتوى على أهداف أقل أو لم تعالج مباشرة جميع عناصر هدف أيشي. وعلاوة على ذلك، فإن أكثر من ثلث (</w:t>
      </w:r>
      <w:r w:rsidR="008F0DD6">
        <w:rPr>
          <w:rFonts w:hint="cs"/>
          <w:color w:val="000000"/>
          <w:szCs w:val="22"/>
          <w:rtl/>
          <w:lang w:bidi="ar-EG"/>
        </w:rPr>
        <w:t>33</w:t>
      </w:r>
      <w:r w:rsidRPr="001B2DE7">
        <w:rPr>
          <w:rFonts w:hint="cs"/>
          <w:color w:val="000000"/>
          <w:szCs w:val="22"/>
          <w:rtl/>
          <w:lang w:bidi="ar-EG"/>
        </w:rPr>
        <w:t xml:space="preserve"> في المائة) الاستراتيجيات وخطط العمل الوطنية التي جرى تقييمها لم يحتو على أهداف تتعلق مباشرة بالهدف 14 من أهداف </w:t>
      </w:r>
      <w:r w:rsidR="00CC2584">
        <w:rPr>
          <w:rFonts w:hint="cs"/>
          <w:color w:val="000000"/>
          <w:szCs w:val="22"/>
          <w:rtl/>
          <w:lang w:bidi="ar-EG"/>
        </w:rPr>
        <w:t>أيشي</w:t>
      </w:r>
      <w:r w:rsidR="00FF3E84">
        <w:rPr>
          <w:rFonts w:hint="cs"/>
          <w:color w:val="000000"/>
          <w:szCs w:val="22"/>
          <w:rtl/>
          <w:lang w:bidi="ar-EG"/>
        </w:rPr>
        <w:t xml:space="preserve"> </w:t>
      </w:r>
      <w:r w:rsidRPr="001B2DE7">
        <w:rPr>
          <w:rFonts w:hint="cs"/>
          <w:color w:val="000000"/>
          <w:szCs w:val="22"/>
          <w:rtl/>
          <w:lang w:bidi="ar-EG"/>
        </w:rPr>
        <w:t>للتنوع البيولوجي. وعدد قليل نسبيا من الأهداف الوطنية التي أضيفت إلى الاستراتيجيات وخطط العمل الوطنية أشارت صراحة إلى الأخذ في الحسبان احتياجات النساء والشعوب الأصلية والمجتمعات المحلية والفقراء والضعفاء. والهدف 14 هو من بين الأهداف ذات العدد الأقل من الاستراتيجيات وخطط العمل الوطنية مع الأهداف الوطنية ذات مستوى مشابه من المدى والطموح.</w:t>
      </w:r>
    </w:p>
    <w:p w:rsidR="008F0DD6" w:rsidRPr="008F0DD6" w:rsidRDefault="008F0DD6" w:rsidP="005A4FBB">
      <w:pPr>
        <w:pStyle w:val="Para1"/>
        <w:suppressLineNumbers/>
        <w:tabs>
          <w:tab w:val="clear" w:pos="360"/>
        </w:tabs>
        <w:suppressAutoHyphens/>
        <w:kinsoku w:val="0"/>
        <w:overflowPunct w:val="0"/>
        <w:autoSpaceDE w:val="0"/>
        <w:autoSpaceDN w:val="0"/>
        <w:bidi/>
        <w:spacing w:before="0"/>
        <w:rPr>
          <w:rFonts w:eastAsia="Malgun Gothic"/>
          <w:kern w:val="22"/>
          <w:szCs w:val="22"/>
        </w:rPr>
      </w:pPr>
      <w:r>
        <w:rPr>
          <w:rFonts w:hint="cs"/>
          <w:szCs w:val="22"/>
          <w:rtl/>
          <w:lang w:bidi="ar-EG"/>
        </w:rPr>
        <w:t>ويشير</w:t>
      </w:r>
      <w:r w:rsidRPr="008F0DD6">
        <w:rPr>
          <w:rFonts w:hint="cs"/>
          <w:szCs w:val="22"/>
          <w:rtl/>
          <w:lang w:bidi="ar-EG"/>
        </w:rPr>
        <w:t xml:space="preserve"> 3</w:t>
      </w:r>
      <w:r>
        <w:rPr>
          <w:rFonts w:hint="cs"/>
          <w:szCs w:val="22"/>
          <w:rtl/>
          <w:lang w:bidi="ar-EG"/>
        </w:rPr>
        <w:t xml:space="preserve"> في المائة فقط من التقارير إلى </w:t>
      </w:r>
      <w:r w:rsidRPr="008F0DD6">
        <w:rPr>
          <w:rFonts w:hint="cs"/>
          <w:szCs w:val="22"/>
          <w:rtl/>
          <w:lang w:bidi="ar-EG"/>
        </w:rPr>
        <w:t xml:space="preserve">أن هذا الهدف على المسار الصحيح للوفاء به بحلول عام 2020 بينما يشير 53 في المائة من التقارير الوطنية قيد التقييم أنه بينما يحدث تقدم نحو بلوغ هذا الهدف، فإن معدل التقدم لن يكون كافيا لإنجاز الهدف في التاريخ النهائي. ويشير أكثر من ربع التقارير الوطنية إلى عدم حدوث تغير كبير (23 في المائة) أو أن هناك تحركا بعيدا عن الهدف (3 في المائة). ولم يحتو نحو </w:t>
      </w:r>
      <w:r w:rsidR="005A4FBB">
        <w:rPr>
          <w:rFonts w:hint="cs"/>
          <w:szCs w:val="22"/>
          <w:rtl/>
          <w:lang w:bidi="ar-EG"/>
        </w:rPr>
        <w:t>50</w:t>
      </w:r>
      <w:r w:rsidRPr="008F0DD6">
        <w:rPr>
          <w:rFonts w:hint="cs"/>
          <w:szCs w:val="22"/>
          <w:rtl/>
          <w:lang w:bidi="ar-EG"/>
        </w:rPr>
        <w:t xml:space="preserve"> في المائة من التقارير على أية معلومات عن كيفية الوفاء باحتياجات النساء، والمجتمعات الأصلية والمحلية، والفقراء والضعفاء للوصول إلى إنجاز هذا الهدف.</w:t>
      </w:r>
    </w:p>
    <w:p w:rsidR="005A4FBB" w:rsidRPr="005A4FBB" w:rsidRDefault="005A4FBB" w:rsidP="00212CCF">
      <w:pPr>
        <w:keepNext/>
        <w:suppressLineNumbers/>
        <w:suppressAutoHyphens/>
        <w:kinsoku w:val="0"/>
        <w:overflowPunct w:val="0"/>
        <w:autoSpaceDE w:val="0"/>
        <w:autoSpaceDN w:val="0"/>
        <w:bidi/>
        <w:spacing w:before="120" w:after="120"/>
        <w:rPr>
          <w:i/>
          <w:iCs/>
          <w:snapToGrid w:val="0"/>
          <w:kern w:val="22"/>
          <w:szCs w:val="22"/>
          <w:rtl/>
        </w:rPr>
      </w:pPr>
      <w:r w:rsidRPr="005A4FBB">
        <w:rPr>
          <w:i/>
          <w:iCs/>
          <w:szCs w:val="22"/>
          <w:rtl/>
          <w:lang w:bidi="ar-EG"/>
        </w:rPr>
        <w:t>الهدف 15</w:t>
      </w:r>
      <w:r w:rsidRPr="005A4FBB">
        <w:rPr>
          <w:rFonts w:hint="cs"/>
          <w:i/>
          <w:iCs/>
          <w:szCs w:val="22"/>
          <w:rtl/>
          <w:lang w:bidi="ar-EG"/>
        </w:rPr>
        <w:t xml:space="preserve"> -</w:t>
      </w:r>
      <w:r w:rsidRPr="005A4FBB">
        <w:rPr>
          <w:i/>
          <w:iCs/>
          <w:szCs w:val="22"/>
          <w:rtl/>
          <w:lang w:bidi="ar-EG"/>
        </w:rPr>
        <w:t xml:space="preserve"> </w:t>
      </w:r>
      <w:r w:rsidRPr="005A4FBB">
        <w:rPr>
          <w:rFonts w:hint="cs"/>
          <w:i/>
          <w:iCs/>
          <w:szCs w:val="22"/>
          <w:rtl/>
          <w:lang w:bidi="ar-EG"/>
        </w:rPr>
        <w:t xml:space="preserve"> </w:t>
      </w:r>
      <w:r w:rsidRPr="005A4FBB">
        <w:rPr>
          <w:i/>
          <w:iCs/>
          <w:szCs w:val="22"/>
          <w:rtl/>
          <w:lang w:bidi="ar-EG"/>
        </w:rPr>
        <w:t xml:space="preserve">بحلول عام 2020، </w:t>
      </w:r>
      <w:r w:rsidRPr="005A4FBB">
        <w:rPr>
          <w:rFonts w:hint="cs"/>
          <w:i/>
          <w:iCs/>
          <w:szCs w:val="22"/>
          <w:rtl/>
          <w:lang w:bidi="ar-EG"/>
        </w:rPr>
        <w:t xml:space="preserve">إتمام </w:t>
      </w:r>
      <w:r w:rsidRPr="005A4FBB">
        <w:rPr>
          <w:i/>
          <w:iCs/>
          <w:szCs w:val="22"/>
          <w:rtl/>
          <w:lang w:bidi="ar-EG"/>
        </w:rPr>
        <w:t xml:space="preserve">تعزيز </w:t>
      </w:r>
      <w:r w:rsidRPr="005A4FBB">
        <w:rPr>
          <w:rFonts w:hint="cs"/>
          <w:i/>
          <w:iCs/>
          <w:szCs w:val="22"/>
          <w:rtl/>
          <w:lang w:bidi="ar-EG"/>
        </w:rPr>
        <w:t>قدرة</w:t>
      </w:r>
      <w:r w:rsidRPr="005A4FBB">
        <w:rPr>
          <w:i/>
          <w:iCs/>
          <w:szCs w:val="22"/>
          <w:rtl/>
          <w:lang w:bidi="ar-EG"/>
        </w:rPr>
        <w:t xml:space="preserve"> النظم الإيكولوجية </w:t>
      </w:r>
      <w:r w:rsidRPr="005A4FBB">
        <w:rPr>
          <w:rFonts w:hint="cs"/>
          <w:i/>
          <w:iCs/>
          <w:szCs w:val="22"/>
          <w:rtl/>
          <w:lang w:bidi="ar-EG"/>
        </w:rPr>
        <w:t xml:space="preserve">على التحمل </w:t>
      </w:r>
      <w:r w:rsidRPr="005A4FBB">
        <w:rPr>
          <w:i/>
          <w:iCs/>
          <w:szCs w:val="22"/>
          <w:rtl/>
          <w:lang w:bidi="ar-EG"/>
        </w:rPr>
        <w:t xml:space="preserve">ومساهمة التنوع البيولوجي في </w:t>
      </w:r>
      <w:r w:rsidRPr="005A4FBB">
        <w:rPr>
          <w:rFonts w:hint="cs"/>
          <w:i/>
          <w:iCs/>
          <w:szCs w:val="22"/>
          <w:rtl/>
          <w:lang w:bidi="ar-EG"/>
        </w:rPr>
        <w:t>مخزون</w:t>
      </w:r>
      <w:r w:rsidRPr="005A4FBB">
        <w:rPr>
          <w:i/>
          <w:iCs/>
          <w:szCs w:val="22"/>
          <w:rtl/>
          <w:lang w:bidi="ar-EG"/>
        </w:rPr>
        <w:t xml:space="preserve"> الكربون، من خلال الحفظ والاستعادة، بما في ذلك استعادة </w:t>
      </w:r>
      <w:r w:rsidRPr="005A4FBB">
        <w:rPr>
          <w:rFonts w:hint="cs"/>
          <w:i/>
          <w:iCs/>
          <w:szCs w:val="22"/>
          <w:rtl/>
          <w:lang w:bidi="ar-EG"/>
        </w:rPr>
        <w:t>15</w:t>
      </w:r>
      <w:r w:rsidRPr="005A4FBB">
        <w:rPr>
          <w:rFonts w:ascii="Traditional Arabic" w:hAnsi="Traditional Arabic" w:hint="cs"/>
          <w:i/>
          <w:iCs/>
          <w:szCs w:val="22"/>
          <w:rtl/>
          <w:lang w:bidi="ar-EG"/>
        </w:rPr>
        <w:t xml:space="preserve"> في المئة</w:t>
      </w:r>
      <w:r w:rsidRPr="005A4FBB">
        <w:rPr>
          <w:i/>
          <w:iCs/>
          <w:szCs w:val="22"/>
          <w:rtl/>
          <w:lang w:bidi="ar-EG"/>
        </w:rPr>
        <w:t xml:space="preserve"> </w:t>
      </w:r>
      <w:r w:rsidRPr="005A4FBB">
        <w:rPr>
          <w:rFonts w:hint="cs"/>
          <w:i/>
          <w:iCs/>
          <w:szCs w:val="22"/>
          <w:rtl/>
          <w:lang w:bidi="ar-EG"/>
        </w:rPr>
        <w:t xml:space="preserve">على الأقل </w:t>
      </w:r>
      <w:r w:rsidRPr="005A4FBB">
        <w:rPr>
          <w:i/>
          <w:iCs/>
          <w:szCs w:val="22"/>
          <w:rtl/>
          <w:lang w:bidi="ar-EG"/>
        </w:rPr>
        <w:t xml:space="preserve">من </w:t>
      </w:r>
      <w:r w:rsidRPr="005A4FBB">
        <w:rPr>
          <w:rFonts w:hint="cs"/>
          <w:i/>
          <w:iCs/>
          <w:szCs w:val="22"/>
          <w:rtl/>
          <w:lang w:bidi="ar-EG"/>
        </w:rPr>
        <w:t xml:space="preserve">النظم الإيكولوجية </w:t>
      </w:r>
      <w:r w:rsidRPr="005A4FBB">
        <w:rPr>
          <w:i/>
          <w:iCs/>
          <w:szCs w:val="22"/>
          <w:rtl/>
          <w:lang w:bidi="ar-EG"/>
        </w:rPr>
        <w:t>المتدهورة</w:t>
      </w:r>
      <w:r w:rsidRPr="005A4FBB">
        <w:rPr>
          <w:rFonts w:hint="cs"/>
          <w:i/>
          <w:iCs/>
          <w:szCs w:val="22"/>
          <w:rtl/>
          <w:lang w:bidi="ar-EG"/>
        </w:rPr>
        <w:t>،</w:t>
      </w:r>
      <w:r w:rsidRPr="005A4FBB">
        <w:rPr>
          <w:i/>
          <w:iCs/>
          <w:szCs w:val="22"/>
          <w:rtl/>
          <w:lang w:bidi="ar-EG"/>
        </w:rPr>
        <w:t xml:space="preserve"> مما يسهم بالتالي في التخفيف من تغير المناخ والتكيف معه ومكافحة التصحر</w:t>
      </w:r>
    </w:p>
    <w:p w:rsidR="005A4FBB" w:rsidRPr="005A4FBB" w:rsidRDefault="005A4FBB" w:rsidP="005A4FBB">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A4FBB">
        <w:rPr>
          <w:szCs w:val="22"/>
          <w:rtl/>
          <w:lang w:bidi="ar-EG"/>
        </w:rPr>
        <w:t>من بين الاستراتيجيات وخطط العمل الوطنية للتنوع البيولوجي التي جرى تقييمها، احتوى 2 في المائة على أهداف وطنية تتجاوز المدى و/أو العتبات المحددة في الهدف 15 من أهداف أيشي،</w:t>
      </w:r>
      <w:r w:rsidRPr="005A4FBB">
        <w:rPr>
          <w:rStyle w:val="FootnoteReference"/>
          <w:sz w:val="22"/>
          <w:szCs w:val="22"/>
          <w:u w:val="none"/>
          <w:vertAlign w:val="superscript"/>
        </w:rPr>
        <w:footnoteReference w:id="29"/>
      </w:r>
      <w:r w:rsidRPr="005A4FBB">
        <w:rPr>
          <w:szCs w:val="22"/>
          <w:rtl/>
          <w:lang w:bidi="ar-EG"/>
        </w:rPr>
        <w:t xml:space="preserve"> واحتوى 12 في المائة من الاستراتيجيات وخطط العمل الوطنية على أهداف مماثلة في النطاق ومستوى الطموح لهدف أيشي.</w:t>
      </w:r>
      <w:r w:rsidRPr="005A4FBB">
        <w:rPr>
          <w:rStyle w:val="FootnoteReference"/>
          <w:sz w:val="22"/>
          <w:szCs w:val="22"/>
          <w:u w:val="none"/>
          <w:vertAlign w:val="superscript"/>
          <w:rtl/>
        </w:rPr>
        <w:footnoteReference w:id="30"/>
      </w:r>
      <w:r w:rsidRPr="005A4FBB">
        <w:rPr>
          <w:szCs w:val="22"/>
          <w:rtl/>
          <w:lang w:bidi="ar-EG"/>
        </w:rPr>
        <w:t xml:space="preserve"> واحتوى أكثر من نصف (5</w:t>
      </w:r>
      <w:r>
        <w:rPr>
          <w:rFonts w:hint="cs"/>
          <w:szCs w:val="22"/>
          <w:rtl/>
          <w:lang w:bidi="ar-EG"/>
        </w:rPr>
        <w:t>8</w:t>
      </w:r>
      <w:r w:rsidRPr="005A4FBB">
        <w:rPr>
          <w:szCs w:val="22"/>
          <w:rtl/>
          <w:lang w:bidi="ar-EG"/>
        </w:rPr>
        <w:t xml:space="preserve"> في المائة) الاستراتيجيات وخطط العمل الوطنية على أهداف أقل أو لم تعالج جميع العناصر في هدف أيشي. ولم يحتو أكثر من ربع (2</w:t>
      </w:r>
      <w:r>
        <w:rPr>
          <w:rFonts w:hint="cs"/>
          <w:szCs w:val="22"/>
          <w:rtl/>
          <w:lang w:bidi="ar-EG"/>
        </w:rPr>
        <w:t>8</w:t>
      </w:r>
      <w:r w:rsidRPr="005A4FBB">
        <w:rPr>
          <w:szCs w:val="22"/>
          <w:rtl/>
          <w:lang w:bidi="ar-EG"/>
        </w:rPr>
        <w:t xml:space="preserve"> في المائة) من الاستراتيجيات وخطط العمل الوطنية التي جرى تقييمها على أي أهداف وطنية أو التزامات مشابهة تتعلق بهدف أيشي. وكان للأهداف الوطنية المحددة تركيزا أكبر على عنصر الاستعادة في الهدف بدلا من العنصر الذي يركز على قدرة النظام الإيكولوجي على التحمل ومخزون الكربون.</w:t>
      </w:r>
    </w:p>
    <w:p w:rsidR="005A4FBB" w:rsidRPr="005A4FBB" w:rsidRDefault="005A4FBB" w:rsidP="009A20F9">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A4FBB">
        <w:rPr>
          <w:rFonts w:hint="cs"/>
          <w:szCs w:val="22"/>
          <w:rtl/>
          <w:lang w:bidi="ar-EG"/>
        </w:rPr>
        <w:t xml:space="preserve">ويحتوي </w:t>
      </w:r>
      <w:r>
        <w:rPr>
          <w:rFonts w:hint="cs"/>
          <w:szCs w:val="22"/>
          <w:rtl/>
          <w:lang w:bidi="ar-EG"/>
        </w:rPr>
        <w:t>4</w:t>
      </w:r>
      <w:r w:rsidRPr="005A4FBB">
        <w:rPr>
          <w:rFonts w:hint="cs"/>
          <w:szCs w:val="22"/>
          <w:rtl/>
          <w:lang w:bidi="ar-EG"/>
        </w:rPr>
        <w:t xml:space="preserve"> في المائة من التقارير الوطنية </w:t>
      </w:r>
      <w:r>
        <w:rPr>
          <w:rFonts w:hint="cs"/>
          <w:szCs w:val="22"/>
          <w:rtl/>
          <w:lang w:bidi="ar-EG"/>
        </w:rPr>
        <w:t xml:space="preserve">فقط </w:t>
      </w:r>
      <w:r w:rsidRPr="005A4FBB">
        <w:rPr>
          <w:rFonts w:hint="cs"/>
          <w:szCs w:val="22"/>
          <w:rtl/>
          <w:lang w:bidi="ar-EG"/>
        </w:rPr>
        <w:t>على معلومات تفيد بأن هذا الهدف على المسار الصحيح للوفاء به. ويفيد حوالي 60 في المائة من التقارير المستلمة إلى أن التقدم يحرز نحو تحقيق الهدف ولكن ليس بمعدل يسمح بإنجازه بحلول التاريخ النهائي. ولم يشر إلى حدوث تقدم كبير في 17 في المائة من التقارير بينما لم يحتو</w:t>
      </w:r>
      <w:r>
        <w:rPr>
          <w:rFonts w:hint="cs"/>
          <w:szCs w:val="22"/>
          <w:rtl/>
          <w:lang w:bidi="ar-EG"/>
        </w:rPr>
        <w:t xml:space="preserve"> أكثر من</w:t>
      </w:r>
      <w:r w:rsidRPr="005A4FBB">
        <w:rPr>
          <w:rFonts w:hint="cs"/>
          <w:szCs w:val="22"/>
          <w:rtl/>
          <w:lang w:bidi="ar-EG"/>
        </w:rPr>
        <w:t xml:space="preserve"> خُمس التقارير الوطنية </w:t>
      </w:r>
      <w:r w:rsidR="009A20F9">
        <w:rPr>
          <w:rFonts w:hint="cs"/>
          <w:szCs w:val="22"/>
          <w:rtl/>
          <w:lang w:bidi="ar-EG"/>
        </w:rPr>
        <w:t>(21 في المائة) على</w:t>
      </w:r>
      <w:r w:rsidRPr="005A4FBB">
        <w:rPr>
          <w:rFonts w:hint="cs"/>
          <w:szCs w:val="22"/>
          <w:rtl/>
          <w:lang w:bidi="ar-EG"/>
        </w:rPr>
        <w:t xml:space="preserve"> معلومات تسمح بتقييم التقدم نحو بلوغ هذا الهدف. وتفيد المعلومات الواردة في التقارير الوطنية أن المزيد من التقدم الطفيف قد تحقق في تعزيز قدرة النظم الإيكولوجية على التحمل وتعزيز الكربون أكثر مما حدث في استعادة النظم الإيكولوجية المتدهورة. وأبلغ بعض البلدان عن المناطق الفعلية للموائل المتدهورة التي تمت استعادتها ولو أن العديد يشير إلى مشاريع أو برامج استعادة جارية أو مقررة.</w:t>
      </w:r>
    </w:p>
    <w:p w:rsidR="009A20F9" w:rsidRPr="009A20F9" w:rsidRDefault="009A20F9" w:rsidP="00212CCF">
      <w:pPr>
        <w:keepNext/>
        <w:suppressLineNumbers/>
        <w:suppressAutoHyphens/>
        <w:kinsoku w:val="0"/>
        <w:overflowPunct w:val="0"/>
        <w:autoSpaceDE w:val="0"/>
        <w:autoSpaceDN w:val="0"/>
        <w:bidi/>
        <w:spacing w:before="120" w:after="120"/>
        <w:rPr>
          <w:i/>
          <w:iCs/>
          <w:snapToGrid w:val="0"/>
          <w:kern w:val="22"/>
          <w:szCs w:val="22"/>
          <w:rtl/>
        </w:rPr>
      </w:pPr>
      <w:r w:rsidRPr="009A20F9">
        <w:rPr>
          <w:rFonts w:hint="cs"/>
          <w:i/>
          <w:iCs/>
          <w:szCs w:val="22"/>
          <w:rtl/>
          <w:lang w:bidi="ar-EG"/>
        </w:rPr>
        <w:t xml:space="preserve">الهدف 16 -  </w:t>
      </w:r>
      <w:r w:rsidRPr="009A20F9">
        <w:rPr>
          <w:rFonts w:hint="cs"/>
          <w:i/>
          <w:iCs/>
          <w:szCs w:val="22"/>
          <w:rtl/>
          <w:lang w:val="fr-CH" w:bidi="ar-EG"/>
        </w:rPr>
        <w:t>بحلول عام 2015، يسري مفعول بروتوكول ناغويا للحصول على الموارد الجينية والتقاسم العادل والمنصف للمنافع الناشئة عن استخدامها، ويتم تفعيله، بما يتمشى مع التشريع الوطني</w:t>
      </w:r>
    </w:p>
    <w:p w:rsidR="009A20F9" w:rsidRPr="009A20F9" w:rsidRDefault="00293D5F" w:rsidP="004E3D4C">
      <w:pPr>
        <w:pStyle w:val="Para1"/>
        <w:suppressLineNumbers/>
        <w:tabs>
          <w:tab w:val="clear" w:pos="360"/>
        </w:tabs>
        <w:suppressAutoHyphens/>
        <w:kinsoku w:val="0"/>
        <w:overflowPunct w:val="0"/>
        <w:autoSpaceDE w:val="0"/>
        <w:autoSpaceDN w:val="0"/>
        <w:bidi/>
        <w:spacing w:before="0"/>
        <w:rPr>
          <w:rFonts w:eastAsia="Malgun Gothic"/>
          <w:kern w:val="22"/>
          <w:szCs w:val="22"/>
        </w:rPr>
      </w:pPr>
      <w:r>
        <w:rPr>
          <w:rFonts w:hint="cs"/>
          <w:szCs w:val="22"/>
          <w:rtl/>
          <w:lang w:bidi="ar-EG"/>
        </w:rPr>
        <w:t>لم يحتو نحو خمس</w:t>
      </w:r>
      <w:r w:rsidR="009A20F9" w:rsidRPr="009A20F9">
        <w:rPr>
          <w:rFonts w:hint="cs"/>
          <w:szCs w:val="22"/>
          <w:rtl/>
          <w:lang w:bidi="ar-EG"/>
        </w:rPr>
        <w:t xml:space="preserve"> (</w:t>
      </w:r>
      <w:r w:rsidR="00430D17">
        <w:rPr>
          <w:rFonts w:hint="cs"/>
          <w:szCs w:val="22"/>
          <w:rtl/>
          <w:lang w:bidi="ar-EG"/>
        </w:rPr>
        <w:t>18</w:t>
      </w:r>
      <w:r w:rsidR="009A20F9" w:rsidRPr="009A20F9">
        <w:rPr>
          <w:rFonts w:hint="cs"/>
          <w:szCs w:val="22"/>
          <w:rtl/>
          <w:lang w:bidi="ar-EG"/>
        </w:rPr>
        <w:t xml:space="preserve"> في المائة) من الاستراتيجيات وخطط العمل الوطنية للتنوع البيولوجي التي تم تقييمها تحتوي على هدف وطني والتزامات أخرى مشابهة للنطاق الشامل ومستوى الطموح المقرر في الهدف 16 </w:t>
      </w:r>
      <w:r w:rsidR="00CC2584">
        <w:rPr>
          <w:rFonts w:hint="cs"/>
          <w:szCs w:val="22"/>
          <w:rtl/>
          <w:lang w:bidi="ar-EG"/>
        </w:rPr>
        <w:t xml:space="preserve">من أهداف أيشي </w:t>
      </w:r>
      <w:r w:rsidR="009A20F9" w:rsidRPr="009A20F9">
        <w:rPr>
          <w:rFonts w:hint="cs"/>
          <w:szCs w:val="22"/>
          <w:rtl/>
          <w:lang w:bidi="ar-EG"/>
        </w:rPr>
        <w:t>للتنوع البيولوجي.</w:t>
      </w:r>
      <w:r w:rsidR="009A20F9" w:rsidRPr="009A20F9">
        <w:rPr>
          <w:rStyle w:val="FootnoteReference"/>
          <w:sz w:val="22"/>
          <w:szCs w:val="22"/>
          <w:u w:val="none"/>
          <w:vertAlign w:val="superscript"/>
        </w:rPr>
        <w:footnoteReference w:id="31"/>
      </w:r>
      <w:r w:rsidR="009A20F9" w:rsidRPr="009A20F9">
        <w:rPr>
          <w:rFonts w:hint="cs"/>
          <w:szCs w:val="22"/>
          <w:rtl/>
          <w:lang w:bidi="ar-EG"/>
        </w:rPr>
        <w:t xml:space="preserve"> ويحتوي</w:t>
      </w:r>
      <w:r w:rsidR="005F4E21">
        <w:rPr>
          <w:rFonts w:hint="cs"/>
          <w:szCs w:val="22"/>
          <w:rtl/>
          <w:lang w:bidi="ar-EG"/>
        </w:rPr>
        <w:t xml:space="preserve"> ما مجموعه</w:t>
      </w:r>
      <w:r w:rsidR="009A20F9" w:rsidRPr="009A20F9">
        <w:rPr>
          <w:rFonts w:hint="cs"/>
          <w:szCs w:val="22"/>
          <w:rtl/>
          <w:lang w:bidi="ar-EG"/>
        </w:rPr>
        <w:t xml:space="preserve"> </w:t>
      </w:r>
      <w:r w:rsidR="005F4E21">
        <w:rPr>
          <w:rFonts w:hint="cs"/>
          <w:szCs w:val="22"/>
          <w:rtl/>
          <w:lang w:bidi="ar-EG"/>
        </w:rPr>
        <w:t>50</w:t>
      </w:r>
      <w:r w:rsidR="009A20F9" w:rsidRPr="009A20F9">
        <w:rPr>
          <w:rFonts w:hint="cs"/>
          <w:szCs w:val="22"/>
          <w:rtl/>
          <w:lang w:bidi="ar-EG"/>
        </w:rPr>
        <w:t xml:space="preserve"> من المائة من الاستراتيجيات وخطط العمل الوطنية أهدافا أقل من هدف </w:t>
      </w:r>
      <w:r w:rsidR="00CC2584">
        <w:rPr>
          <w:rFonts w:hint="cs"/>
          <w:szCs w:val="22"/>
          <w:rtl/>
          <w:lang w:bidi="ar-EG"/>
        </w:rPr>
        <w:t>أيشي</w:t>
      </w:r>
      <w:r w:rsidR="00FF3E84">
        <w:rPr>
          <w:rFonts w:hint="cs"/>
          <w:szCs w:val="22"/>
          <w:rtl/>
          <w:lang w:bidi="ar-EG"/>
        </w:rPr>
        <w:t xml:space="preserve"> </w:t>
      </w:r>
      <w:r w:rsidR="009A20F9" w:rsidRPr="009A20F9">
        <w:rPr>
          <w:rFonts w:hint="cs"/>
          <w:szCs w:val="22"/>
          <w:rtl/>
          <w:lang w:bidi="ar-EG"/>
        </w:rPr>
        <w:t xml:space="preserve">و/أو لم تعالج كل العناصر التي يشملها هدف أيشي. وحوالي ثلث (29 في المائة) من الاستراتيجيات وخطط العمل الوطنية للتنوع البيولوجي لم يحتو على أية أهداف وطنية تتعلق بهدف </w:t>
      </w:r>
      <w:r w:rsidR="00CC2584">
        <w:rPr>
          <w:rFonts w:hint="cs"/>
          <w:szCs w:val="22"/>
          <w:rtl/>
          <w:lang w:bidi="ar-EG"/>
        </w:rPr>
        <w:t>أيشي</w:t>
      </w:r>
      <w:r w:rsidR="00FF3E84">
        <w:rPr>
          <w:rFonts w:hint="cs"/>
          <w:szCs w:val="22"/>
          <w:rtl/>
          <w:lang w:bidi="ar-EG"/>
        </w:rPr>
        <w:t xml:space="preserve"> </w:t>
      </w:r>
      <w:r w:rsidR="009A20F9" w:rsidRPr="009A20F9">
        <w:rPr>
          <w:rFonts w:hint="cs"/>
          <w:szCs w:val="22"/>
          <w:rtl/>
          <w:lang w:bidi="ar-EG"/>
        </w:rPr>
        <w:t xml:space="preserve">هذا. والكثير من الأهداف التي تقررت كانت أهدافا عامة وتشير إلى الوصول وتقاسم المنافع بشكل عريض والعديد منها لم يشر بالتحديد إلى بروتوكول ناغويا. وهدف </w:t>
      </w:r>
      <w:r w:rsidR="00CC2584">
        <w:rPr>
          <w:rFonts w:hint="cs"/>
          <w:szCs w:val="22"/>
          <w:rtl/>
          <w:lang w:bidi="ar-EG"/>
        </w:rPr>
        <w:t>أيشي</w:t>
      </w:r>
      <w:r w:rsidR="00FF3E84">
        <w:rPr>
          <w:rFonts w:hint="cs"/>
          <w:szCs w:val="22"/>
          <w:rtl/>
          <w:lang w:bidi="ar-EG"/>
        </w:rPr>
        <w:t xml:space="preserve"> </w:t>
      </w:r>
      <w:r w:rsidR="009A20F9" w:rsidRPr="009A20F9">
        <w:rPr>
          <w:rFonts w:hint="cs"/>
          <w:szCs w:val="22"/>
          <w:rtl/>
          <w:lang w:bidi="ar-EG"/>
        </w:rPr>
        <w:t>هذا هو من بين الأهداف ذات أصغر عدد من الاستراتيجيات وخطط العمل الوطنية مع ما يرتبط بها من أهداف وطنية.</w:t>
      </w:r>
    </w:p>
    <w:p w:rsidR="009F7AF7" w:rsidRPr="009F7AF7" w:rsidRDefault="009F7AF7"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9F7AF7">
        <w:rPr>
          <w:rFonts w:hint="cs"/>
          <w:szCs w:val="22"/>
          <w:rtl/>
          <w:lang w:bidi="ar-EG"/>
        </w:rPr>
        <w:t xml:space="preserve">يحتوي حوالي خُمس (18 في المائة) التقارير الوطنية على معلومات تفيد بأن هدف </w:t>
      </w:r>
      <w:r w:rsidR="00CC2584">
        <w:rPr>
          <w:rFonts w:hint="cs"/>
          <w:szCs w:val="22"/>
          <w:rtl/>
          <w:lang w:bidi="ar-EG"/>
        </w:rPr>
        <w:t>أيشي</w:t>
      </w:r>
      <w:r w:rsidR="00FF3E84">
        <w:rPr>
          <w:rFonts w:hint="cs"/>
          <w:szCs w:val="22"/>
          <w:rtl/>
          <w:lang w:bidi="ar-EG"/>
        </w:rPr>
        <w:t xml:space="preserve"> </w:t>
      </w:r>
      <w:r w:rsidRPr="009F7AF7">
        <w:rPr>
          <w:rFonts w:hint="cs"/>
          <w:szCs w:val="22"/>
          <w:rtl/>
          <w:lang w:bidi="ar-EG"/>
        </w:rPr>
        <w:t>الخامس عشر على المسار الصحيح للوفاء به. غير أن ما يقرب من ربع التقارير الوطنية (23 في المائة) يحتوي على معلومات تفيد بأنه لم يحرز أي تقدم نحو هذا الهدف، بينما لم يحتو 16 في المائة من التقارير على أي معلومات تتعلق بهذا الهدف. ويحتوي حوالي 40 في المائة من التقارير على معلومات تشير إلى حدوث تقدم نحو هذا الهدف ولكن ليس بمعدل يسمح بالوفاء به. وتفيد المعلومات في التقارير الوطنية أن معظم التقدم نحو هذا الهدف كان يتعلق بالتصديق على بروتوكول ناغويا. وكان هناك تقدم أقل نسبيا لضمان تفعيل البروتوكول على المستوى الوطني.</w:t>
      </w:r>
      <w:r w:rsidR="00DC5A7E">
        <w:rPr>
          <w:rFonts w:hint="cs"/>
          <w:szCs w:val="22"/>
          <w:rtl/>
          <w:lang w:bidi="ar-EG"/>
        </w:rPr>
        <w:t xml:space="preserve"> وتتضمن الوثيقة </w:t>
      </w:r>
      <w:r w:rsidR="00DC5A7E" w:rsidRPr="00D87ACE">
        <w:rPr>
          <w:kern w:val="22"/>
          <w:szCs w:val="22"/>
        </w:rPr>
        <w:t>CBD/SBI/2/3</w:t>
      </w:r>
      <w:r w:rsidR="00DC5A7E">
        <w:rPr>
          <w:rFonts w:hint="cs"/>
          <w:szCs w:val="22"/>
          <w:rtl/>
          <w:lang w:bidi="ar-EG"/>
        </w:rPr>
        <w:t xml:space="preserve"> المزيد من المعلومات ذات صلة بالهدف 16 من أهداف </w:t>
      </w:r>
      <w:r w:rsidR="00CC2584">
        <w:rPr>
          <w:rFonts w:hint="cs"/>
          <w:szCs w:val="22"/>
          <w:rtl/>
          <w:lang w:bidi="ar-EG"/>
        </w:rPr>
        <w:t>أيشي</w:t>
      </w:r>
      <w:r w:rsidR="00DC5A7E">
        <w:rPr>
          <w:rFonts w:hint="cs"/>
          <w:szCs w:val="22"/>
          <w:rtl/>
          <w:lang w:bidi="ar-EG"/>
        </w:rPr>
        <w:t xml:space="preserve"> في سياق تقييم فعالية بروتوكول ناغويا.</w:t>
      </w:r>
    </w:p>
    <w:p w:rsidR="00810A95" w:rsidRPr="00597532" w:rsidRDefault="00597532" w:rsidP="00212CCF">
      <w:pPr>
        <w:keepNext/>
        <w:suppressLineNumbers/>
        <w:suppressAutoHyphens/>
        <w:kinsoku w:val="0"/>
        <w:overflowPunct w:val="0"/>
        <w:autoSpaceDE w:val="0"/>
        <w:autoSpaceDN w:val="0"/>
        <w:bidi/>
        <w:spacing w:before="120" w:after="120"/>
        <w:rPr>
          <w:i/>
          <w:iCs/>
          <w:snapToGrid w:val="0"/>
          <w:kern w:val="22"/>
          <w:szCs w:val="22"/>
          <w:rtl/>
        </w:rPr>
      </w:pPr>
      <w:r w:rsidRPr="00597532">
        <w:rPr>
          <w:i/>
          <w:iCs/>
          <w:szCs w:val="22"/>
          <w:rtl/>
          <w:lang w:bidi="ar-EG"/>
        </w:rPr>
        <w:t xml:space="preserve">الهدف </w:t>
      </w:r>
      <w:r w:rsidRPr="00597532">
        <w:rPr>
          <w:rFonts w:hint="cs"/>
          <w:i/>
          <w:iCs/>
          <w:szCs w:val="22"/>
          <w:rtl/>
          <w:lang w:bidi="ar-EG"/>
        </w:rPr>
        <w:t>17 -</w:t>
      </w:r>
      <w:r w:rsidRPr="00597532">
        <w:rPr>
          <w:i/>
          <w:iCs/>
          <w:szCs w:val="22"/>
          <w:rtl/>
          <w:lang w:bidi="ar-EG"/>
        </w:rPr>
        <w:t xml:space="preserve"> </w:t>
      </w:r>
      <w:r w:rsidRPr="00597532">
        <w:rPr>
          <w:rFonts w:hint="cs"/>
          <w:i/>
          <w:iCs/>
          <w:szCs w:val="22"/>
          <w:rtl/>
          <w:lang w:bidi="ar-EG"/>
        </w:rPr>
        <w:t xml:space="preserve"> </w:t>
      </w:r>
      <w:r w:rsidRPr="00597532">
        <w:rPr>
          <w:i/>
          <w:iCs/>
          <w:szCs w:val="22"/>
          <w:rtl/>
          <w:lang w:bidi="ar-EG"/>
        </w:rPr>
        <w:t>بحلول عام 20</w:t>
      </w:r>
      <w:r w:rsidRPr="00597532">
        <w:rPr>
          <w:rFonts w:hint="cs"/>
          <w:i/>
          <w:iCs/>
          <w:szCs w:val="22"/>
          <w:rtl/>
          <w:lang w:bidi="ar-EG"/>
        </w:rPr>
        <w:t>15</w:t>
      </w:r>
      <w:r w:rsidRPr="00597532">
        <w:rPr>
          <w:i/>
          <w:iCs/>
          <w:szCs w:val="22"/>
          <w:rtl/>
          <w:lang w:bidi="ar-EG"/>
        </w:rPr>
        <w:t xml:space="preserve">، </w:t>
      </w:r>
      <w:r w:rsidRPr="00597532">
        <w:rPr>
          <w:rFonts w:hint="cs"/>
          <w:i/>
          <w:iCs/>
          <w:szCs w:val="22"/>
          <w:rtl/>
          <w:lang w:bidi="ar-EG"/>
        </w:rPr>
        <w:t>يكون</w:t>
      </w:r>
      <w:r w:rsidRPr="00597532">
        <w:rPr>
          <w:i/>
          <w:iCs/>
          <w:szCs w:val="22"/>
          <w:rtl/>
          <w:lang w:bidi="ar-EG"/>
        </w:rPr>
        <w:t xml:space="preserve"> كل طرف </w:t>
      </w:r>
      <w:r w:rsidRPr="00597532">
        <w:rPr>
          <w:rFonts w:hint="cs"/>
          <w:i/>
          <w:iCs/>
          <w:szCs w:val="22"/>
          <w:rtl/>
          <w:lang w:bidi="ar-EG"/>
        </w:rPr>
        <w:t xml:space="preserve">قد أعد واعتمد كأداة من أدوات السياسة، وبدأ في تنفيذ، </w:t>
      </w:r>
      <w:r w:rsidRPr="00597532">
        <w:rPr>
          <w:i/>
          <w:iCs/>
          <w:szCs w:val="22"/>
          <w:rtl/>
          <w:lang w:bidi="ar-EG"/>
        </w:rPr>
        <w:t xml:space="preserve">استراتيجية </w:t>
      </w:r>
      <w:r w:rsidRPr="00597532">
        <w:rPr>
          <w:rFonts w:hint="cs"/>
          <w:i/>
          <w:iCs/>
          <w:szCs w:val="22"/>
          <w:rtl/>
          <w:lang w:bidi="ar-EG"/>
        </w:rPr>
        <w:t>وخطة عمل وطنية للتنوع البيولوجي بحيث تكون فعالة وتشاركية ومحدثة</w:t>
      </w:r>
    </w:p>
    <w:p w:rsidR="00597532" w:rsidRPr="00597532" w:rsidRDefault="00597532" w:rsidP="001815A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597532">
        <w:rPr>
          <w:rFonts w:hint="cs"/>
          <w:szCs w:val="22"/>
          <w:rtl/>
          <w:lang w:bidi="ar-EG"/>
        </w:rPr>
        <w:t xml:space="preserve">يحتوي حوالي </w:t>
      </w:r>
      <w:r w:rsidR="00E2785B">
        <w:rPr>
          <w:rFonts w:hint="cs"/>
          <w:szCs w:val="22"/>
          <w:rtl/>
          <w:lang w:bidi="ar-EG"/>
        </w:rPr>
        <w:t>خمس</w:t>
      </w:r>
      <w:r w:rsidRPr="00597532">
        <w:rPr>
          <w:rFonts w:hint="cs"/>
          <w:szCs w:val="22"/>
          <w:rtl/>
          <w:lang w:bidi="ar-EG"/>
        </w:rPr>
        <w:t xml:space="preserve"> (</w:t>
      </w:r>
      <w:r w:rsidR="00E2785B">
        <w:rPr>
          <w:rFonts w:hint="cs"/>
          <w:szCs w:val="22"/>
          <w:rtl/>
          <w:lang w:bidi="ar-EG"/>
        </w:rPr>
        <w:t>19</w:t>
      </w:r>
      <w:r w:rsidRPr="00597532">
        <w:rPr>
          <w:rFonts w:hint="cs"/>
          <w:szCs w:val="22"/>
          <w:rtl/>
          <w:lang w:bidi="ar-EG"/>
        </w:rPr>
        <w:t xml:space="preserve"> في المائة) الاستراتيجيات وخطط العمل الوطنية للتنوع البيولوجي على أهداف أو التزامات أخرى مشابهة في مدى ومستوى الطموح وهي واردة في الهدف 17 من أهداف أيشي.</w:t>
      </w:r>
      <w:r w:rsidRPr="00597532">
        <w:rPr>
          <w:rStyle w:val="FootnoteReference"/>
          <w:sz w:val="22"/>
          <w:szCs w:val="22"/>
          <w:u w:val="none"/>
          <w:vertAlign w:val="superscript"/>
        </w:rPr>
        <w:footnoteReference w:id="32"/>
      </w:r>
      <w:r w:rsidRPr="00597532">
        <w:rPr>
          <w:rFonts w:hint="cs"/>
          <w:szCs w:val="22"/>
          <w:rtl/>
          <w:lang w:bidi="ar-EG"/>
        </w:rPr>
        <w:t xml:space="preserve"> وتحتوي نسبة مماثلة (28 في المائة) من الاستراتيجيات وخطط العمل الوطنية على أهداف أقل أو لا تغطي جميع عناصر هدف </w:t>
      </w:r>
      <w:r w:rsidR="00CC2584">
        <w:rPr>
          <w:rFonts w:hint="cs"/>
          <w:szCs w:val="22"/>
          <w:rtl/>
          <w:lang w:bidi="ar-EG"/>
        </w:rPr>
        <w:t>أيشي</w:t>
      </w:r>
      <w:r w:rsidRPr="00597532">
        <w:rPr>
          <w:rFonts w:hint="cs"/>
          <w:szCs w:val="22"/>
          <w:rtl/>
          <w:lang w:bidi="ar-EG"/>
        </w:rPr>
        <w:t xml:space="preserve">. </w:t>
      </w:r>
      <w:r w:rsidR="001815A4">
        <w:rPr>
          <w:rFonts w:hint="cs"/>
          <w:szCs w:val="22"/>
          <w:rtl/>
          <w:lang w:bidi="ar-EG"/>
        </w:rPr>
        <w:t>ويحتوي أكثر من ثلث</w:t>
      </w:r>
      <w:r w:rsidRPr="00597532">
        <w:rPr>
          <w:rFonts w:hint="cs"/>
          <w:szCs w:val="22"/>
          <w:rtl/>
          <w:lang w:bidi="ar-EG"/>
        </w:rPr>
        <w:t xml:space="preserve"> الاستراتيجيات وخطط العمل الوطنية (</w:t>
      </w:r>
      <w:r w:rsidR="001815A4">
        <w:rPr>
          <w:rFonts w:hint="cs"/>
          <w:szCs w:val="22"/>
          <w:rtl/>
          <w:lang w:bidi="ar-EG"/>
        </w:rPr>
        <w:t>35</w:t>
      </w:r>
      <w:r w:rsidRPr="00597532">
        <w:rPr>
          <w:rFonts w:hint="cs"/>
          <w:szCs w:val="22"/>
          <w:rtl/>
          <w:lang w:bidi="ar-EG"/>
        </w:rPr>
        <w:t xml:space="preserve"> في المائة) </w:t>
      </w:r>
      <w:r w:rsidR="001815A4">
        <w:rPr>
          <w:rFonts w:hint="cs"/>
          <w:szCs w:val="22"/>
          <w:rtl/>
          <w:lang w:bidi="ar-EG"/>
        </w:rPr>
        <w:t>و</w:t>
      </w:r>
      <w:r w:rsidRPr="00597532">
        <w:rPr>
          <w:rFonts w:hint="cs"/>
          <w:szCs w:val="22"/>
          <w:rtl/>
          <w:lang w:bidi="ar-EG"/>
        </w:rPr>
        <w:t xml:space="preserve">لا يحتوي </w:t>
      </w:r>
      <w:r w:rsidR="001815A4">
        <w:rPr>
          <w:rFonts w:hint="cs"/>
          <w:szCs w:val="22"/>
          <w:rtl/>
          <w:lang w:bidi="ar-EG"/>
        </w:rPr>
        <w:t>نحو نصف الاستراتيجيات وخطط العمل 46 في المائة</w:t>
      </w:r>
      <w:r w:rsidRPr="00597532">
        <w:rPr>
          <w:rFonts w:hint="cs"/>
          <w:szCs w:val="22"/>
          <w:rtl/>
          <w:lang w:bidi="ar-EG"/>
        </w:rPr>
        <w:t xml:space="preserve"> أي أهداف وطنية أو التزامات تتعلق بهدف </w:t>
      </w:r>
      <w:r w:rsidR="00CC2584">
        <w:rPr>
          <w:rFonts w:hint="cs"/>
          <w:szCs w:val="22"/>
          <w:rtl/>
          <w:lang w:bidi="ar-EG"/>
        </w:rPr>
        <w:t>أيشي</w:t>
      </w:r>
      <w:r w:rsidRPr="00597532">
        <w:rPr>
          <w:rFonts w:hint="cs"/>
          <w:szCs w:val="22"/>
          <w:rtl/>
          <w:lang w:bidi="ar-EG"/>
        </w:rPr>
        <w:t xml:space="preserve"> هذا. ويمكن تفسير ذلك بحقيقة أنه نظرا لأن البلدان قد طوّرت أو حدّثت الاستراتيجيات وخطط العمل الوطنية الخاصة بها، فإنها لم تعكس هدف </w:t>
      </w:r>
      <w:r w:rsidR="00CC2584">
        <w:rPr>
          <w:rFonts w:hint="cs"/>
          <w:szCs w:val="22"/>
          <w:rtl/>
          <w:lang w:bidi="ar-EG"/>
        </w:rPr>
        <w:t>أيشي</w:t>
      </w:r>
      <w:r w:rsidR="00FF3E84">
        <w:rPr>
          <w:rFonts w:hint="cs"/>
          <w:szCs w:val="22"/>
          <w:rtl/>
          <w:lang w:bidi="ar-EG"/>
        </w:rPr>
        <w:t xml:space="preserve"> </w:t>
      </w:r>
      <w:r w:rsidRPr="00597532">
        <w:rPr>
          <w:rFonts w:hint="cs"/>
          <w:szCs w:val="22"/>
          <w:rtl/>
          <w:lang w:bidi="ar-EG"/>
        </w:rPr>
        <w:t xml:space="preserve">هذا في الاستراتيجيات وخطط العمل الوطنية الخاصة بها. وهذا الهدف من أهداف </w:t>
      </w:r>
      <w:r w:rsidR="00CC2584">
        <w:rPr>
          <w:rFonts w:hint="cs"/>
          <w:szCs w:val="22"/>
          <w:rtl/>
          <w:lang w:bidi="ar-EG"/>
        </w:rPr>
        <w:t>أيشي</w:t>
      </w:r>
      <w:r w:rsidR="00FF3E84">
        <w:rPr>
          <w:rFonts w:hint="cs"/>
          <w:szCs w:val="22"/>
          <w:rtl/>
          <w:lang w:bidi="ar-EG"/>
        </w:rPr>
        <w:t xml:space="preserve"> </w:t>
      </w:r>
      <w:r w:rsidRPr="00597532">
        <w:rPr>
          <w:rFonts w:hint="cs"/>
          <w:szCs w:val="22"/>
          <w:rtl/>
          <w:lang w:bidi="ar-EG"/>
        </w:rPr>
        <w:t>هو بين الأهداف ذات العدد الأقل من الاستراتيجيات وخطط العمل الوطنية الخاصة بها بما يتعلق بها من أهداف وطنية أو التزامات أخرى.</w:t>
      </w:r>
    </w:p>
    <w:p w:rsidR="001815A4" w:rsidRPr="00A068DE" w:rsidRDefault="00A068DE" w:rsidP="007552CE">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A068DE">
        <w:rPr>
          <w:rFonts w:hint="cs"/>
          <w:szCs w:val="22"/>
          <w:rtl/>
          <w:lang w:bidi="ar-EG"/>
        </w:rPr>
        <w:t xml:space="preserve">يحتوي </w:t>
      </w:r>
      <w:r>
        <w:rPr>
          <w:rFonts w:hint="cs"/>
          <w:szCs w:val="22"/>
          <w:rtl/>
          <w:lang w:bidi="ar-EG"/>
        </w:rPr>
        <w:t>أكثر من ربع</w:t>
      </w:r>
      <w:r w:rsidRPr="00A068DE">
        <w:rPr>
          <w:rFonts w:hint="cs"/>
          <w:szCs w:val="22"/>
          <w:rtl/>
          <w:lang w:bidi="ar-EG"/>
        </w:rPr>
        <w:t xml:space="preserve"> التقارير الوطنية تقريبا (</w:t>
      </w:r>
      <w:r w:rsidR="00E55570">
        <w:rPr>
          <w:rFonts w:hint="cs"/>
          <w:szCs w:val="22"/>
          <w:rtl/>
          <w:lang w:bidi="ar-EG"/>
        </w:rPr>
        <w:t>29</w:t>
      </w:r>
      <w:r w:rsidRPr="00A068DE">
        <w:rPr>
          <w:rFonts w:hint="cs"/>
          <w:szCs w:val="22"/>
          <w:rtl/>
          <w:lang w:bidi="ar-EG"/>
        </w:rPr>
        <w:t xml:space="preserve"> في المائة) على معلومات تفيد بأن هذا الهدف على المسار الصحيح للوفاء به بينما يشير أكثر من نصف التقارير (51 في المائة) أنه يحرز تقدم نحو تحقيق هذا الهدف ولكن ليس بمعدل يسمح بإنجازه. ويفيد حوالي </w:t>
      </w:r>
      <w:r w:rsidR="007552CE">
        <w:rPr>
          <w:rFonts w:hint="cs"/>
          <w:szCs w:val="22"/>
          <w:rtl/>
          <w:lang w:bidi="ar-EG"/>
        </w:rPr>
        <w:t>13</w:t>
      </w:r>
      <w:r w:rsidRPr="00A068DE">
        <w:rPr>
          <w:rFonts w:hint="cs"/>
          <w:szCs w:val="22"/>
          <w:rtl/>
          <w:lang w:bidi="ar-EG"/>
        </w:rPr>
        <w:t> في المائة من التقارير الوطنية إلى أنه لم يحرز تقدم نحو تحقيق هذا الهدف. ولا يحتوي</w:t>
      </w:r>
      <w:r w:rsidR="00495A68">
        <w:rPr>
          <w:rFonts w:hint="cs"/>
          <w:szCs w:val="22"/>
          <w:rtl/>
          <w:lang w:bidi="ar-EG"/>
        </w:rPr>
        <w:t xml:space="preserve"> سوى</w:t>
      </w:r>
      <w:r w:rsidRPr="00A068DE">
        <w:rPr>
          <w:rFonts w:hint="cs"/>
          <w:szCs w:val="22"/>
          <w:rtl/>
          <w:lang w:bidi="ar-EG"/>
        </w:rPr>
        <w:t xml:space="preserve"> </w:t>
      </w:r>
      <w:r w:rsidR="00495A68">
        <w:rPr>
          <w:rFonts w:hint="cs"/>
          <w:szCs w:val="22"/>
          <w:rtl/>
          <w:lang w:bidi="ar-EG"/>
        </w:rPr>
        <w:t>7</w:t>
      </w:r>
      <w:r w:rsidRPr="00A068DE">
        <w:rPr>
          <w:rFonts w:hint="cs"/>
          <w:szCs w:val="22"/>
          <w:rtl/>
          <w:lang w:bidi="ar-EG"/>
        </w:rPr>
        <w:t xml:space="preserve"> في المائة من التقارير الوطنية على أي معلومات عن التقدم نحو بلوغ هذا الهدف. ويتناقض ذلك مع تقييم الاستراتيجيات وخطط العمل الوطنية للتنوع البيولوجي أعلاه حيث أن أغلبية هذه الاستراتيجيات وخطط العمل الوطنية لم تحتو على أي أهداف ذات صلة بهدف </w:t>
      </w:r>
      <w:r w:rsidR="00CC2584">
        <w:rPr>
          <w:rFonts w:hint="cs"/>
          <w:szCs w:val="22"/>
          <w:rtl/>
          <w:lang w:bidi="ar-EG"/>
        </w:rPr>
        <w:t>أيشي</w:t>
      </w:r>
      <w:r w:rsidR="00FF3E84">
        <w:rPr>
          <w:rFonts w:hint="cs"/>
          <w:szCs w:val="22"/>
          <w:rtl/>
          <w:lang w:bidi="ar-EG"/>
        </w:rPr>
        <w:t xml:space="preserve"> </w:t>
      </w:r>
      <w:r w:rsidRPr="00A068DE">
        <w:rPr>
          <w:rFonts w:hint="cs"/>
          <w:szCs w:val="22"/>
          <w:rtl/>
          <w:lang w:bidi="ar-EG"/>
        </w:rPr>
        <w:t xml:space="preserve">هذا. وتفيد المعلومات في التقارير الوطنية بأن معظم التقدم نحو تحقيق هذا الهدف كان بشأن إعداد الاستراتيجيات وخطط العمل الوطنية أو تنقيحها. وعلى النقيض من ذلك، كان هناك تقدم أقل بشأن اعتماد هذه الاستراتيجيات وخطط العمل الوطنية كأداة للسياسة. وترد معلومات إضافية بخصوص الهدف 17 في </w:t>
      </w:r>
      <w:r w:rsidR="007552CE" w:rsidRPr="00E771FA">
        <w:rPr>
          <w:rFonts w:eastAsia="Malgun Gothic"/>
          <w:kern w:val="22"/>
          <w:szCs w:val="22"/>
        </w:rPr>
        <w:t>CBD/SBI/2</w:t>
      </w:r>
      <w:r w:rsidR="007552CE" w:rsidRPr="00D87ACE">
        <w:rPr>
          <w:kern w:val="22"/>
          <w:szCs w:val="22"/>
        </w:rPr>
        <w:t>/2/Add.1</w:t>
      </w:r>
      <w:r w:rsidRPr="00A068DE">
        <w:rPr>
          <w:rFonts w:hint="cs"/>
          <w:szCs w:val="22"/>
          <w:rtl/>
          <w:lang w:bidi="ar-EG"/>
        </w:rPr>
        <w:t>.</w:t>
      </w:r>
    </w:p>
    <w:p w:rsidR="007552CE" w:rsidRPr="007552CE" w:rsidRDefault="007552CE" w:rsidP="00212CCF">
      <w:pPr>
        <w:keepNext/>
        <w:suppressLineNumbers/>
        <w:suppressAutoHyphens/>
        <w:kinsoku w:val="0"/>
        <w:overflowPunct w:val="0"/>
        <w:autoSpaceDE w:val="0"/>
        <w:autoSpaceDN w:val="0"/>
        <w:bidi/>
        <w:spacing w:before="120" w:after="120"/>
        <w:rPr>
          <w:i/>
          <w:iCs/>
          <w:snapToGrid w:val="0"/>
          <w:kern w:val="22"/>
          <w:szCs w:val="22"/>
          <w:rtl/>
        </w:rPr>
      </w:pPr>
      <w:r w:rsidRPr="007552CE">
        <w:rPr>
          <w:i/>
          <w:iCs/>
          <w:szCs w:val="22"/>
          <w:rtl/>
          <w:lang w:bidi="ar-EG"/>
        </w:rPr>
        <w:t xml:space="preserve">الهدف </w:t>
      </w:r>
      <w:r w:rsidRPr="007552CE">
        <w:rPr>
          <w:rFonts w:hint="cs"/>
          <w:i/>
          <w:iCs/>
          <w:szCs w:val="22"/>
          <w:rtl/>
          <w:lang w:bidi="ar-EG"/>
        </w:rPr>
        <w:t xml:space="preserve">18 - </w:t>
      </w:r>
      <w:r w:rsidRPr="007552CE">
        <w:rPr>
          <w:i/>
          <w:iCs/>
          <w:szCs w:val="22"/>
          <w:rtl/>
          <w:lang w:bidi="ar-EG"/>
        </w:rPr>
        <w:t xml:space="preserve"> بحلول عام 2020، </w:t>
      </w:r>
      <w:r w:rsidRPr="007552CE">
        <w:rPr>
          <w:rFonts w:hint="cs"/>
          <w:i/>
          <w:iCs/>
          <w:szCs w:val="22"/>
          <w:rtl/>
          <w:lang w:bidi="ar-EG"/>
        </w:rPr>
        <w:t>احترام المعارف والابتكارات والممارسات التقليدية للمجتمعات الأصلية والمحلية ذات الصلة بحفظ التنوع البيولوجي واستخدامه المستدام، واحترام استخدامها المألوف للموارد البيولوجية، رهنا بالتشريع الوطني والالتزامات الدولية ذات الصلة، وأن تدمج وتنعكس بالكامل في تنفيذ الاتفاقية مع المشاركة الكاملة والفعالة للمجتمعات الأصلية والمحلية، وذلك على جميع المستويات ذات الصلة</w:t>
      </w:r>
    </w:p>
    <w:p w:rsidR="007552CE" w:rsidRPr="007552CE" w:rsidRDefault="007552CE" w:rsidP="00D46420">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7552CE">
        <w:rPr>
          <w:rFonts w:hint="cs"/>
          <w:szCs w:val="22"/>
          <w:rtl/>
          <w:lang w:bidi="ar-EG"/>
        </w:rPr>
        <w:t>و</w:t>
      </w:r>
      <w:r w:rsidRPr="007552CE">
        <w:rPr>
          <w:rFonts w:hint="cs"/>
          <w:szCs w:val="22"/>
          <w:rtl/>
        </w:rPr>
        <w:t xml:space="preserve">يحتوي </w:t>
      </w:r>
      <w:r w:rsidR="001C1B78">
        <w:rPr>
          <w:rFonts w:hint="cs"/>
          <w:szCs w:val="22"/>
          <w:rtl/>
        </w:rPr>
        <w:t>14</w:t>
      </w:r>
      <w:r w:rsidRPr="007552CE">
        <w:rPr>
          <w:rFonts w:hint="cs"/>
          <w:szCs w:val="22"/>
          <w:rtl/>
        </w:rPr>
        <w:t xml:space="preserve"> في المائة فقط من الاستراتيجيات وخطط العمل الوطنية للتنوع البيولوجي على أهداف مشابهة في مدى ومستوى الطموح الوارد </w:t>
      </w:r>
      <w:r w:rsidRPr="007552CE">
        <w:rPr>
          <w:rFonts w:hint="cs"/>
          <w:szCs w:val="22"/>
          <w:rtl/>
          <w:lang w:bidi="ar-EG"/>
        </w:rPr>
        <w:t>في هدف أيشي،</w:t>
      </w:r>
      <w:r w:rsidRPr="007552CE">
        <w:rPr>
          <w:rStyle w:val="FootnoteReference"/>
          <w:sz w:val="22"/>
          <w:szCs w:val="22"/>
          <w:u w:val="none"/>
          <w:vertAlign w:val="superscript"/>
        </w:rPr>
        <w:footnoteReference w:id="33"/>
      </w:r>
      <w:r w:rsidRPr="007552CE">
        <w:rPr>
          <w:rFonts w:hint="cs"/>
          <w:szCs w:val="22"/>
          <w:rtl/>
          <w:lang w:bidi="ar-EG"/>
        </w:rPr>
        <w:t xml:space="preserve"> ويحتوي أكثر من النصف (</w:t>
      </w:r>
      <w:r w:rsidR="00F31665">
        <w:rPr>
          <w:rFonts w:hint="cs"/>
          <w:szCs w:val="22"/>
          <w:rtl/>
          <w:lang w:bidi="ar-EG"/>
        </w:rPr>
        <w:t>55</w:t>
      </w:r>
      <w:r w:rsidRPr="007552CE">
        <w:rPr>
          <w:rFonts w:hint="cs"/>
          <w:szCs w:val="22"/>
          <w:rtl/>
          <w:lang w:bidi="ar-EG"/>
        </w:rPr>
        <w:t xml:space="preserve"> في المائة) على أهداف أقل من هدف </w:t>
      </w:r>
      <w:r w:rsidR="00CC2584">
        <w:rPr>
          <w:rFonts w:hint="cs"/>
          <w:szCs w:val="22"/>
          <w:rtl/>
          <w:lang w:bidi="ar-EG"/>
        </w:rPr>
        <w:t>أيشي</w:t>
      </w:r>
      <w:r w:rsidR="00FF3E84">
        <w:rPr>
          <w:rFonts w:hint="cs"/>
          <w:szCs w:val="22"/>
          <w:rtl/>
          <w:lang w:bidi="ar-EG"/>
        </w:rPr>
        <w:t xml:space="preserve"> </w:t>
      </w:r>
      <w:r w:rsidRPr="007552CE">
        <w:rPr>
          <w:rFonts w:hint="cs"/>
          <w:szCs w:val="22"/>
          <w:rtl/>
          <w:lang w:bidi="ar-EG"/>
        </w:rPr>
        <w:t>أو لا تعالج جميع عناصر الهدف. ولم يحتو أكثر من ثلث (</w:t>
      </w:r>
      <w:r w:rsidR="00D46420">
        <w:rPr>
          <w:rFonts w:hint="cs"/>
          <w:szCs w:val="22"/>
          <w:rtl/>
          <w:lang w:bidi="ar-EG"/>
        </w:rPr>
        <w:t>31</w:t>
      </w:r>
      <w:r w:rsidRPr="007552CE">
        <w:rPr>
          <w:rFonts w:hint="cs"/>
          <w:szCs w:val="22"/>
          <w:rtl/>
          <w:lang w:bidi="ar-EG"/>
        </w:rPr>
        <w:t xml:space="preserve"> في المائة) الاستراتيجيات وخطط العمل الوطنية على أهداف تتعلق بهدف </w:t>
      </w:r>
      <w:r w:rsidR="00CC2584">
        <w:rPr>
          <w:rFonts w:hint="cs"/>
          <w:szCs w:val="22"/>
          <w:rtl/>
          <w:lang w:bidi="ar-EG"/>
        </w:rPr>
        <w:t>أيشي</w:t>
      </w:r>
      <w:r w:rsidR="00FF3E84">
        <w:rPr>
          <w:rFonts w:hint="cs"/>
          <w:szCs w:val="22"/>
          <w:rtl/>
          <w:lang w:bidi="ar-EG"/>
        </w:rPr>
        <w:t xml:space="preserve"> </w:t>
      </w:r>
      <w:r w:rsidRPr="007552CE">
        <w:rPr>
          <w:rFonts w:hint="cs"/>
          <w:szCs w:val="22"/>
          <w:rtl/>
          <w:lang w:bidi="ar-EG"/>
        </w:rPr>
        <w:t xml:space="preserve">هذا. وكان الكثير من الأهداف المحددة ذا طابع عام. وكان التركيز الرئيسي على الأهداف المحددة </w:t>
      </w:r>
      <w:r w:rsidR="00D46420">
        <w:rPr>
          <w:rFonts w:hint="cs"/>
          <w:szCs w:val="22"/>
          <w:rtl/>
          <w:lang w:bidi="ar-EG"/>
        </w:rPr>
        <w:t>ينصب</w:t>
      </w:r>
      <w:r w:rsidRPr="007552CE">
        <w:rPr>
          <w:rFonts w:hint="cs"/>
          <w:szCs w:val="22"/>
          <w:rtl/>
          <w:lang w:bidi="ar-EG"/>
        </w:rPr>
        <w:t xml:space="preserve"> على احترام المعارف التقليدية والابتكارات والممارسات وإدماجها في تنفيذ الاتفاقية. وبالمقارنة كان هناك تركيز أقل نسبيا على ضمان المشاركة الكاملة والفعالة للمجتمعات الأصلية والمحلية.</w:t>
      </w:r>
    </w:p>
    <w:p w:rsidR="00D46420" w:rsidRPr="00D46420" w:rsidRDefault="00D46420" w:rsidP="00884637">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D46420">
        <w:rPr>
          <w:rFonts w:hint="cs"/>
          <w:szCs w:val="22"/>
          <w:rtl/>
          <w:lang w:bidi="ar-EG"/>
        </w:rPr>
        <w:t xml:space="preserve">ويشير حوالي 15 في المائة من الأطراف، في تقاريرها الوطنية، إلى أن هذا الهدف على المسار الصحيح للوفاء به. ويشير 43 في المائة أخرى من الأطراف إلى حدوث تقدم ولكن ليس بمعدل يسمح بإنجاز هذا الهدف بحلول التاريخ النهائي. ويشير حوالي 20 في المائة من التقارير إلى عدم حدوث تغير كبير. ولم يحتو أكثر من خُمس التقارير (22 في المائة) التي تم استعراضها على معلومات كافية لتقييم التقدم نحو إنجاز هذا الهدف. </w:t>
      </w:r>
      <w:r>
        <w:rPr>
          <w:rFonts w:hint="cs"/>
          <w:szCs w:val="22"/>
          <w:rtl/>
          <w:lang w:bidi="ar-EG"/>
        </w:rPr>
        <w:t>ومن المتعذر تقييم</w:t>
      </w:r>
      <w:r w:rsidRPr="00D46420">
        <w:rPr>
          <w:rFonts w:hint="cs"/>
          <w:szCs w:val="22"/>
          <w:rtl/>
          <w:lang w:bidi="ar-EG"/>
        </w:rPr>
        <w:t xml:space="preserve"> العناصر المختلفة للهدف </w:t>
      </w:r>
      <w:r w:rsidR="00884637">
        <w:rPr>
          <w:rFonts w:hint="cs"/>
          <w:szCs w:val="22"/>
          <w:rtl/>
          <w:lang w:bidi="ar-EG"/>
        </w:rPr>
        <w:t>بالنظر إلى أن أكثر من</w:t>
      </w:r>
      <w:r w:rsidRPr="00D46420">
        <w:rPr>
          <w:rFonts w:hint="cs"/>
          <w:szCs w:val="22"/>
          <w:rtl/>
          <w:lang w:bidi="ar-EG"/>
        </w:rPr>
        <w:t xml:space="preserve"> 40 في المائة من التقارير لم يحتو على معلومات تتعلق بها.</w:t>
      </w:r>
    </w:p>
    <w:p w:rsidR="003B760A" w:rsidRPr="000B654F" w:rsidRDefault="000E78AF" w:rsidP="00212CCF">
      <w:pPr>
        <w:keepNext/>
        <w:suppressLineNumbers/>
        <w:suppressAutoHyphens/>
        <w:kinsoku w:val="0"/>
        <w:overflowPunct w:val="0"/>
        <w:autoSpaceDE w:val="0"/>
        <w:autoSpaceDN w:val="0"/>
        <w:bidi/>
        <w:spacing w:before="120" w:after="120"/>
        <w:jc w:val="left"/>
        <w:rPr>
          <w:i/>
          <w:iCs/>
          <w:snapToGrid w:val="0"/>
          <w:kern w:val="22"/>
          <w:szCs w:val="22"/>
          <w:rtl/>
        </w:rPr>
      </w:pPr>
      <w:r w:rsidRPr="000B654F">
        <w:rPr>
          <w:rFonts w:hint="cs"/>
          <w:i/>
          <w:iCs/>
          <w:szCs w:val="22"/>
          <w:rtl/>
          <w:lang w:bidi="ar-EG"/>
        </w:rPr>
        <w:t xml:space="preserve">الهدف 19 -  </w:t>
      </w:r>
      <w:r w:rsidRPr="000B654F">
        <w:rPr>
          <w:rFonts w:ascii="Simplified Arabic" w:hAnsi="Simplified Arabic" w:hint="cs"/>
          <w:i/>
          <w:iCs/>
          <w:szCs w:val="22"/>
          <w:rtl/>
          <w:lang w:bidi="ar-EG"/>
        </w:rPr>
        <w:t>بحلول عام 2020، إتمام تحسين المعارف والقاعدة العلمية والتكنولوجيات المتعلقة بالتنوع البيولوجي، وقيمه، ووظيفته، وحالته واتجاهاته، والآثار المترتبة على فقدانه، وتقاسم هذه المعارف والقاعدة والتكنولوجيات ونقلها وتطبيقها على نطاق واسع</w:t>
      </w:r>
    </w:p>
    <w:p w:rsidR="00FD04D5" w:rsidRPr="00FD04D5" w:rsidRDefault="00FD04D5" w:rsidP="00FF3E8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D04D5">
        <w:rPr>
          <w:rFonts w:hint="cs"/>
          <w:szCs w:val="22"/>
          <w:rtl/>
          <w:lang w:bidi="ar-EG"/>
        </w:rPr>
        <w:t>يحتوي أكثر من ربع (</w:t>
      </w:r>
      <w:r w:rsidR="003C7E0F">
        <w:rPr>
          <w:szCs w:val="22"/>
          <w:lang w:bidi="ar-EG"/>
        </w:rPr>
        <w:t>21</w:t>
      </w:r>
      <w:r w:rsidRPr="00FD04D5">
        <w:rPr>
          <w:rFonts w:hint="cs"/>
          <w:szCs w:val="22"/>
          <w:rtl/>
          <w:lang w:bidi="ar-EG"/>
        </w:rPr>
        <w:t xml:space="preserve"> في المائة) الاستراتيجيات وخطط العمل الوطنية للتنوع البيولوجي على أهداف مشابهة في مدى ومستوى الطموح الوارد في هدف أيشي،</w:t>
      </w:r>
      <w:r w:rsidRPr="003C7E0F">
        <w:rPr>
          <w:rStyle w:val="FootnoteReference"/>
          <w:sz w:val="22"/>
          <w:szCs w:val="22"/>
          <w:u w:val="none"/>
          <w:vertAlign w:val="superscript"/>
        </w:rPr>
        <w:footnoteReference w:id="34"/>
      </w:r>
      <w:r w:rsidRPr="00FD04D5">
        <w:rPr>
          <w:rFonts w:hint="cs"/>
          <w:szCs w:val="22"/>
          <w:rtl/>
          <w:lang w:bidi="ar-EG"/>
        </w:rPr>
        <w:t xml:space="preserve"> ويحتوي واحد من استراتيجيات وخطط العمل الوطنية هذه على هدف يتجاوزه.</w:t>
      </w:r>
      <w:r w:rsidRPr="00FD04D5">
        <w:rPr>
          <w:rStyle w:val="FootnoteReference"/>
          <w:sz w:val="22"/>
          <w:szCs w:val="22"/>
          <w:u w:val="none"/>
          <w:vertAlign w:val="superscript"/>
          <w:rtl/>
        </w:rPr>
        <w:footnoteReference w:id="35"/>
      </w:r>
      <w:r w:rsidRPr="00FD04D5">
        <w:rPr>
          <w:rFonts w:hint="cs"/>
          <w:szCs w:val="22"/>
          <w:rtl/>
          <w:lang w:bidi="ar-EG"/>
        </w:rPr>
        <w:t xml:space="preserve"> ويحتوي أكثر من نصف (</w:t>
      </w:r>
      <w:r w:rsidR="003C7E0F">
        <w:rPr>
          <w:szCs w:val="22"/>
          <w:lang w:bidi="ar-EG"/>
        </w:rPr>
        <w:t>61</w:t>
      </w:r>
      <w:r w:rsidRPr="00FD04D5">
        <w:rPr>
          <w:rFonts w:hint="cs"/>
          <w:szCs w:val="22"/>
          <w:rtl/>
          <w:lang w:bidi="ar-EG"/>
        </w:rPr>
        <w:t xml:space="preserve"> في المائة) الاستراتيجيات وخطط العمل الوطنية على أهداف والتزامات أخرى هي أقل من هدف </w:t>
      </w:r>
      <w:r w:rsidR="00CC2584">
        <w:rPr>
          <w:rFonts w:hint="cs"/>
          <w:szCs w:val="22"/>
          <w:rtl/>
          <w:lang w:bidi="ar-EG"/>
        </w:rPr>
        <w:t>أيشي</w:t>
      </w:r>
      <w:r w:rsidR="00FF3E84">
        <w:rPr>
          <w:rFonts w:hint="cs"/>
          <w:szCs w:val="22"/>
          <w:rtl/>
          <w:lang w:bidi="ar-EG"/>
        </w:rPr>
        <w:t xml:space="preserve"> </w:t>
      </w:r>
      <w:r w:rsidRPr="00FD04D5">
        <w:rPr>
          <w:rFonts w:hint="cs"/>
          <w:szCs w:val="22"/>
          <w:rtl/>
          <w:lang w:bidi="ar-EG"/>
        </w:rPr>
        <w:t xml:space="preserve">و/أو لا تعالج جميع العناصر في هدف أيشي. ولم يحتو حوالي </w:t>
      </w:r>
      <w:r w:rsidR="003C7E0F">
        <w:rPr>
          <w:szCs w:val="22"/>
          <w:lang w:bidi="ar-EG"/>
        </w:rPr>
        <w:t>14</w:t>
      </w:r>
      <w:r w:rsidRPr="00FD04D5">
        <w:rPr>
          <w:rFonts w:hint="cs"/>
          <w:szCs w:val="22"/>
          <w:rtl/>
          <w:lang w:bidi="ar-EG"/>
        </w:rPr>
        <w:t xml:space="preserve"> في المائة من الاستراتيجيات وخطط العمل الوطنية على أي أهداف تتعلق بهدف </w:t>
      </w:r>
      <w:r w:rsidR="00CC2584">
        <w:rPr>
          <w:rFonts w:hint="cs"/>
          <w:szCs w:val="22"/>
          <w:rtl/>
          <w:lang w:bidi="ar-EG"/>
        </w:rPr>
        <w:t>أيشي</w:t>
      </w:r>
      <w:r w:rsidR="00FF3E84">
        <w:rPr>
          <w:rFonts w:hint="cs"/>
          <w:szCs w:val="22"/>
          <w:rtl/>
          <w:lang w:bidi="ar-EG"/>
        </w:rPr>
        <w:t xml:space="preserve"> </w:t>
      </w:r>
      <w:r w:rsidRPr="00FD04D5">
        <w:rPr>
          <w:rFonts w:hint="cs"/>
          <w:szCs w:val="22"/>
          <w:rtl/>
          <w:lang w:bidi="ar-EG"/>
        </w:rPr>
        <w:t xml:space="preserve">هذا. وتركز الأهداف المحددة أساسا على زيادة كمية ونوعية معلومات التنوع البيولوجي المتاحة. وهناك أهداف أقل تعالج تبادل معلومات التنوع البيولوجي وتقنيتها وعدد أقل يغطي القضايا المتعلقة بتطبيق معلومات التنوع البيولوجي. والهدف 19 من أهداف </w:t>
      </w:r>
      <w:r w:rsidR="00CC2584">
        <w:rPr>
          <w:rFonts w:hint="cs"/>
          <w:szCs w:val="22"/>
          <w:rtl/>
          <w:lang w:bidi="ar-EG"/>
        </w:rPr>
        <w:t>أيشي</w:t>
      </w:r>
      <w:r w:rsidR="00FF3E84">
        <w:rPr>
          <w:rFonts w:hint="cs"/>
          <w:szCs w:val="22"/>
          <w:rtl/>
          <w:lang w:bidi="ar-EG"/>
        </w:rPr>
        <w:t xml:space="preserve"> </w:t>
      </w:r>
      <w:r w:rsidRPr="00FD04D5">
        <w:rPr>
          <w:rFonts w:hint="cs"/>
          <w:szCs w:val="22"/>
          <w:rtl/>
          <w:lang w:bidi="ar-EG"/>
        </w:rPr>
        <w:t xml:space="preserve">هو من بين الأهداف </w:t>
      </w:r>
      <w:r w:rsidR="00FF3E84">
        <w:rPr>
          <w:rFonts w:hint="cs"/>
          <w:szCs w:val="22"/>
          <w:rtl/>
          <w:lang w:bidi="ar-EG"/>
        </w:rPr>
        <w:t>ال</w:t>
      </w:r>
      <w:r w:rsidRPr="00FD04D5">
        <w:rPr>
          <w:rFonts w:hint="cs"/>
          <w:szCs w:val="22"/>
          <w:rtl/>
          <w:lang w:bidi="ar-EG"/>
        </w:rPr>
        <w:t>أعلى عدد</w:t>
      </w:r>
      <w:r w:rsidR="00FF3E84">
        <w:rPr>
          <w:rFonts w:hint="cs"/>
          <w:szCs w:val="22"/>
          <w:rtl/>
          <w:lang w:bidi="ar-EG"/>
        </w:rPr>
        <w:t>ا</w:t>
      </w:r>
      <w:r w:rsidRPr="00FD04D5">
        <w:rPr>
          <w:rFonts w:hint="cs"/>
          <w:szCs w:val="22"/>
          <w:rtl/>
          <w:lang w:bidi="ar-EG"/>
        </w:rPr>
        <w:t xml:space="preserve"> من الاستراتيجيات وخطط العمل الوطنية التي تحتوي على أهداف مرتبطة به.</w:t>
      </w:r>
    </w:p>
    <w:p w:rsidR="00FF3E84" w:rsidRPr="00FF3E84" w:rsidRDefault="00FF3E84"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FF3E84">
        <w:rPr>
          <w:rFonts w:hint="cs"/>
          <w:szCs w:val="22"/>
          <w:rtl/>
          <w:lang w:bidi="ar-EG"/>
        </w:rPr>
        <w:t>ويقدم حوالي 12 في المائة من الأطراف معلومات في تقاريرها الوطنية الخامسة تفيد بأن الهدف على المسار الصحيح للوفاء به. ويقدم 60 في المائة آخرين من الأطراف معلومات تفيد بأن تقدما يحدث نحو إنجاز الهدف ولكن ليس بمعدل يسمح بإنجازه في التاريخ النهائي. وهناك بالمثل معلومات قليلة في التقارير عن كيفية تطبيق معلومات التنوع البيولوجي في عمليات صنع القرار (لا يقدم 49 غي المائة من الأطراف معلومات عن هذه المسألة) أو عن كيفية تشارك معلومات وتكنولوجيات التنوع البيولوجي (لا يقدم 35 في المائة من الأطراف أي معلومات عن هذه المسألة). ويفيد ذلك بشكل عام بأن معظم الإجراءات المتعلقة بهذا الهدف تركز على تحسين كمية ونوعية معلومات التنوع البيولوجية المتاحة.</w:t>
      </w:r>
    </w:p>
    <w:p w:rsidR="00FF3E84" w:rsidRPr="00FF3E84" w:rsidRDefault="00FF3E84" w:rsidP="00212CCF">
      <w:pPr>
        <w:keepNext/>
        <w:suppressLineNumbers/>
        <w:suppressAutoHyphens/>
        <w:kinsoku w:val="0"/>
        <w:overflowPunct w:val="0"/>
        <w:autoSpaceDE w:val="0"/>
        <w:autoSpaceDN w:val="0"/>
        <w:bidi/>
        <w:spacing w:before="120" w:after="120"/>
        <w:rPr>
          <w:i/>
          <w:iCs/>
          <w:snapToGrid w:val="0"/>
          <w:kern w:val="22"/>
          <w:szCs w:val="22"/>
          <w:rtl/>
        </w:rPr>
      </w:pPr>
      <w:r w:rsidRPr="00FF3E84">
        <w:rPr>
          <w:rFonts w:hint="cs"/>
          <w:i/>
          <w:iCs/>
          <w:szCs w:val="22"/>
          <w:rtl/>
          <w:lang w:bidi="ar-EG"/>
        </w:rPr>
        <w:t xml:space="preserve">الهدف </w:t>
      </w:r>
      <w:r w:rsidRPr="00FF3E84">
        <w:rPr>
          <w:i/>
          <w:iCs/>
          <w:szCs w:val="22"/>
          <w:rtl/>
          <w:lang w:bidi="ar-EG"/>
        </w:rPr>
        <w:t>20</w:t>
      </w:r>
      <w:r w:rsidRPr="00FF3E84">
        <w:rPr>
          <w:rFonts w:hint="cs"/>
          <w:i/>
          <w:iCs/>
          <w:szCs w:val="22"/>
          <w:rtl/>
          <w:lang w:bidi="ar-EG"/>
        </w:rPr>
        <w:t xml:space="preserve"> -</w:t>
      </w:r>
      <w:r w:rsidRPr="00FF3E84">
        <w:rPr>
          <w:i/>
          <w:iCs/>
          <w:szCs w:val="22"/>
          <w:rtl/>
          <w:lang w:bidi="ar-EG"/>
        </w:rPr>
        <w:t xml:space="preserve"> </w:t>
      </w:r>
      <w:r w:rsidRPr="00FF3E84">
        <w:rPr>
          <w:rFonts w:hint="cs"/>
          <w:i/>
          <w:iCs/>
          <w:szCs w:val="22"/>
          <w:rtl/>
          <w:lang w:bidi="ar-EG"/>
        </w:rPr>
        <w:t xml:space="preserve"> </w:t>
      </w:r>
      <w:r w:rsidRPr="00FF3E84">
        <w:rPr>
          <w:rFonts w:ascii="Simplified Arabic" w:hAnsi="Simplified Arabic"/>
          <w:i/>
          <w:iCs/>
          <w:szCs w:val="22"/>
          <w:rtl/>
          <w:lang w:bidi="ar-EG"/>
        </w:rPr>
        <w:t xml:space="preserve">بحلول عام 2020، </w:t>
      </w:r>
      <w:r w:rsidRPr="00FF3E84">
        <w:rPr>
          <w:rFonts w:ascii="Simplified Arabic" w:hAnsi="Simplified Arabic" w:hint="cs"/>
          <w:i/>
          <w:iCs/>
          <w:szCs w:val="22"/>
          <w:rtl/>
          <w:lang w:bidi="ar-EG"/>
        </w:rPr>
        <w:t>كحد أقصى، ينبغي إحداث زيادة محسوسة في المستويات الحالية لحشد الموارد المالية للتنفيذ الفعال للخطة الاستراتيجية للتنوع البيولوجي 2011-2020 من جميع المصادر، وفقا للعملية الموحدة والمتفق عليها في استراتيجية حشد الموارد. ويخضع هذا الهدف للتغييرات اعتمادا على تقييمات الاحتياجات إلى الموارد التي ستعدها الأطراف وتبلغ عنها</w:t>
      </w:r>
    </w:p>
    <w:p w:rsidR="00FF3E84" w:rsidRPr="006B49DE" w:rsidRDefault="009F1223" w:rsidP="006B49DE">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6B49DE">
        <w:rPr>
          <w:rFonts w:hint="cs"/>
          <w:szCs w:val="22"/>
          <w:rtl/>
          <w:lang w:bidi="ar-EG"/>
        </w:rPr>
        <w:t xml:space="preserve">يحتوي ما يقرب من </w:t>
      </w:r>
      <w:r w:rsidR="00031A3D" w:rsidRPr="006B49DE">
        <w:rPr>
          <w:rFonts w:hint="cs"/>
          <w:szCs w:val="22"/>
          <w:rtl/>
          <w:lang w:bidi="ar-EG"/>
        </w:rPr>
        <w:t>خمس</w:t>
      </w:r>
      <w:r w:rsidRPr="006B49DE">
        <w:rPr>
          <w:rFonts w:hint="cs"/>
          <w:szCs w:val="22"/>
          <w:rtl/>
          <w:lang w:bidi="ar-EG"/>
        </w:rPr>
        <w:t xml:space="preserve"> (</w:t>
      </w:r>
      <w:r w:rsidR="00031A3D" w:rsidRPr="006B49DE">
        <w:rPr>
          <w:rFonts w:hint="cs"/>
          <w:szCs w:val="22"/>
          <w:rtl/>
          <w:lang w:bidi="ar-EG"/>
        </w:rPr>
        <w:t>20</w:t>
      </w:r>
      <w:r w:rsidRPr="006B49DE">
        <w:rPr>
          <w:rFonts w:hint="cs"/>
          <w:szCs w:val="22"/>
          <w:rtl/>
          <w:lang w:bidi="ar-EG"/>
        </w:rPr>
        <w:t xml:space="preserve"> في المائة) الاستراتيجيات وخطط العمل الوطنية للتنوع البيولوجي على أهداف مشابهة لمستوى ومدى الطموح المحدد في هدف أيشي</w:t>
      </w:r>
      <w:r w:rsidR="006B49DE" w:rsidRPr="006B49DE">
        <w:rPr>
          <w:rFonts w:hint="cs"/>
          <w:szCs w:val="22"/>
          <w:rtl/>
          <w:lang w:bidi="ar-EG"/>
        </w:rPr>
        <w:t>،</w:t>
      </w:r>
      <w:r w:rsidRPr="009F1223">
        <w:rPr>
          <w:rStyle w:val="FootnoteReference"/>
          <w:sz w:val="22"/>
          <w:szCs w:val="22"/>
          <w:u w:val="none"/>
          <w:vertAlign w:val="superscript"/>
        </w:rPr>
        <w:footnoteReference w:id="36"/>
      </w:r>
      <w:r w:rsidRPr="006B49DE">
        <w:rPr>
          <w:rFonts w:hint="cs"/>
          <w:szCs w:val="22"/>
          <w:rtl/>
          <w:lang w:bidi="ar-EG"/>
        </w:rPr>
        <w:t xml:space="preserve"> </w:t>
      </w:r>
      <w:r w:rsidR="006B49DE" w:rsidRPr="006B49DE">
        <w:rPr>
          <w:rFonts w:hint="cs"/>
          <w:szCs w:val="22"/>
          <w:rtl/>
          <w:lang w:bidi="ar-EG"/>
        </w:rPr>
        <w:t>ووضع طرف واحد هدفا يتجاوز هدف أيشي نظرا لأن تاريخه النهائي سابق عنه.</w:t>
      </w:r>
      <w:r w:rsidR="006B49DE" w:rsidRPr="006B49DE">
        <w:rPr>
          <w:rStyle w:val="FootnoteReference"/>
          <w:szCs w:val="22"/>
          <w:u w:val="none"/>
          <w:vertAlign w:val="superscript"/>
          <w:rtl/>
          <w:lang w:bidi="ar-EG"/>
        </w:rPr>
        <w:footnoteReference w:id="37"/>
      </w:r>
      <w:r w:rsidR="006B49DE" w:rsidRPr="006B49DE">
        <w:rPr>
          <w:rFonts w:hint="cs"/>
          <w:szCs w:val="22"/>
          <w:rtl/>
          <w:lang w:bidi="ar-EG"/>
        </w:rPr>
        <w:t xml:space="preserve"> </w:t>
      </w:r>
      <w:r w:rsidRPr="006B49DE">
        <w:rPr>
          <w:rFonts w:hint="cs"/>
          <w:szCs w:val="22"/>
          <w:rtl/>
          <w:lang w:bidi="ar-EG"/>
        </w:rPr>
        <w:t>ويحتوي أكثر من نصف (5</w:t>
      </w:r>
      <w:r w:rsidR="000C2106" w:rsidRPr="006B49DE">
        <w:rPr>
          <w:rFonts w:hint="cs"/>
          <w:szCs w:val="22"/>
          <w:rtl/>
          <w:lang w:bidi="ar-EG"/>
        </w:rPr>
        <w:t>6</w:t>
      </w:r>
      <w:r w:rsidRPr="006B49DE">
        <w:rPr>
          <w:rFonts w:hint="cs"/>
          <w:szCs w:val="22"/>
          <w:rtl/>
          <w:lang w:bidi="ar-EG"/>
        </w:rPr>
        <w:t xml:space="preserve"> في المائة) هذه الاستراتيجيات وخطط العمل على هدف أقل من أهداف أيشي أو لا يعالج جميع العناصر في الهدف 20 من أهداف أيشي. وتميل الأهداف المحددة إلى أن تكون عامة ولا يشير معظمها إلى تزايد الموارد من جميع العناصر أو يحدد المصادر التي يجب أن تزداد بشكل كبير. كما أن كثيرا من الأهداف المحددة تشير إلى موارد غير مالية مثل الموارد البشرية. ولا يحتوي ربع (24 في المائة) تقريبا من الاستراتيجيات وخطط العمل الوطنية على أية أهداف متعلقة بهدف أيشي هذا.</w:t>
      </w:r>
    </w:p>
    <w:p w:rsidR="000C2106" w:rsidRPr="000C2106" w:rsidRDefault="000C2106" w:rsidP="000C2106">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0C2106">
        <w:rPr>
          <w:rFonts w:hint="cs"/>
          <w:szCs w:val="22"/>
          <w:rtl/>
          <w:lang w:bidi="ar-EG"/>
        </w:rPr>
        <w:t>ويحتوي أقل من عُشر (8 في المائة) التقارير الوطنية التي تم النظر فيها في هذا التقييم على معلومات تشير إلى أن هذا الهدف على مسار صحيح للوفاء به. ويحتوي نصف التقارير تقريبا (</w:t>
      </w:r>
      <w:r>
        <w:rPr>
          <w:rFonts w:hint="cs"/>
          <w:szCs w:val="22"/>
          <w:rtl/>
          <w:lang w:bidi="ar-EG"/>
        </w:rPr>
        <w:t>47</w:t>
      </w:r>
      <w:r w:rsidRPr="000C2106">
        <w:rPr>
          <w:rFonts w:hint="cs"/>
          <w:szCs w:val="22"/>
          <w:rtl/>
          <w:lang w:bidi="ar-EG"/>
        </w:rPr>
        <w:t xml:space="preserve"> في المائة) على معلومات تشير إلى أنه بينما تم إحراز تقدم نحو تحقيق الهدف، فهو ليس على مسار صحيح في الوقت الحالي للوفاء به. ويحتوي أكثر من ربع التقارير الوطنية على معلومات تشير إلى عدم إحراز تقدم نحو تحقيق الهدف (26 في المائة) أو أن الحالة بخصوص موارد التنوع البيولوجي في حالة تدهور (</w:t>
      </w:r>
      <w:r>
        <w:rPr>
          <w:rFonts w:hint="cs"/>
          <w:szCs w:val="22"/>
          <w:rtl/>
          <w:lang w:bidi="ar-EG"/>
        </w:rPr>
        <w:t>3</w:t>
      </w:r>
      <w:r w:rsidRPr="000C2106">
        <w:rPr>
          <w:rFonts w:hint="cs"/>
          <w:szCs w:val="22"/>
          <w:rtl/>
          <w:lang w:bidi="ar-EG"/>
        </w:rPr>
        <w:t> في المائة). ولم ترد معلومات كافية لتقييم التقدم المحرز نحو تحقيق هذا الهدف من أهداف أيشي في 17 في المائة من التقارير الوطنية. وكانت هناك معلومات قليلة نسبيا في التقارير الوطنية عن التقدم المحرز نحو توليد موارد من جميع المصادر. ومعظم المعلومات تركز على زيادة الموارد من المصادر الحكومية.</w:t>
      </w:r>
    </w:p>
    <w:p w:rsidR="000C2106" w:rsidRDefault="000C2106" w:rsidP="000C2106">
      <w:pPr>
        <w:keepNext/>
        <w:suppressLineNumbers/>
        <w:suppressAutoHyphens/>
        <w:kinsoku w:val="0"/>
        <w:overflowPunct w:val="0"/>
        <w:autoSpaceDE w:val="0"/>
        <w:autoSpaceDN w:val="0"/>
        <w:bidi/>
        <w:spacing w:before="120" w:after="120"/>
        <w:jc w:val="center"/>
        <w:rPr>
          <w:b/>
          <w:bCs/>
          <w:snapToGrid w:val="0"/>
          <w:kern w:val="22"/>
          <w:szCs w:val="22"/>
          <w:rtl/>
        </w:rPr>
      </w:pPr>
      <w:r w:rsidRPr="00E807DF">
        <w:rPr>
          <w:rFonts w:hint="cs"/>
          <w:b/>
          <w:bCs/>
          <w:sz w:val="28"/>
          <w:szCs w:val="28"/>
          <w:rtl/>
          <w:lang w:bidi="ar-EG"/>
        </w:rPr>
        <w:t>ثالثا -</w:t>
      </w:r>
      <w:r w:rsidRPr="00E807DF">
        <w:rPr>
          <w:rFonts w:hint="cs"/>
          <w:b/>
          <w:bCs/>
          <w:sz w:val="28"/>
          <w:szCs w:val="28"/>
          <w:rtl/>
          <w:lang w:bidi="ar-EG"/>
        </w:rPr>
        <w:tab/>
        <w:t>الاستنتاجات</w:t>
      </w:r>
    </w:p>
    <w:p w:rsidR="000C2106" w:rsidRPr="000C2106" w:rsidRDefault="000C2106" w:rsidP="00CC2584">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0C2106">
        <w:rPr>
          <w:rFonts w:hint="cs"/>
          <w:szCs w:val="22"/>
          <w:rtl/>
          <w:lang w:bidi="ar-EG"/>
        </w:rPr>
        <w:t xml:space="preserve">تحتوي أغلبية الاستراتيجيات وخطط العمل الوطنية للتنوع البيولوجي التي نوقشت في هذا التقييم على أهداف تتعلق بأهداف أيشي للتنوع البيولوجي، بالرغم من أن بعضا من أهداف أيشي، مثل الأهداف 3 و6 و10 </w:t>
      </w:r>
      <w:r w:rsidR="00CC2584">
        <w:rPr>
          <w:rFonts w:hint="cs"/>
          <w:szCs w:val="22"/>
          <w:rtl/>
          <w:lang w:bidi="ar-EG"/>
        </w:rPr>
        <w:t>و14</w:t>
      </w:r>
      <w:r w:rsidRPr="000C2106">
        <w:rPr>
          <w:rFonts w:hint="cs"/>
          <w:szCs w:val="22"/>
          <w:rtl/>
          <w:lang w:bidi="ar-EG"/>
        </w:rPr>
        <w:t xml:space="preserve"> و17، لها الكثير من الاستراتيجيات وخطط العمل الوطنية بدون أهداف وطنية أو التزامات مرتبطة بها. كما أن أهداف أيشي للتنوع البيولوجي 1 و8 و9 و11 و12 و16 و17 و19 كانت هي أهداف أيشي ذات العدد الأكبر من الاستراتيجيات وخطط العمل الوطنية مع أكبر الأعداد من الأهداف الوطنية أو الالتزامات المماثلة عموما. غير أنه حتى في هذه الحالات، فإن عدد الاستراتيجيات وخطط العمل الوطنية بأهداف ذات مدى ومستوى طموح مشابهين لأهداف أيشي لم يتجاوز 20 في المائة إلا في حالات نادرة (انظر الشكل 1). وبصفة عامة، فإن أغلبية الأهداف الوطنية و/أو الالتزامات الواردة في هذه الاستراتيجيات وخطط العمل الوطنية كانت أقل من أهداف أيشي أو لم تعالج جميع العناصر في أهداف أيشي. وقد تم تحديد الأهداف الوطنية بشكل عام حتى الآن وهو أكثر عموما من أهداف أيشي. وقد حددت أطراف كثيرة الأهداف التي تشير إلى العديد من أهداف أيشي. وهذه الاستنتاجات مماثلة للتحليل الذي أتيح خلال الاجتماع الأول للهيئة الفرعية للتنفيذ</w:t>
      </w:r>
      <w:r w:rsidR="006B49DE" w:rsidRPr="009F1223">
        <w:rPr>
          <w:rStyle w:val="FootnoteReference"/>
          <w:sz w:val="22"/>
          <w:szCs w:val="22"/>
          <w:u w:val="none"/>
          <w:vertAlign w:val="superscript"/>
        </w:rPr>
        <w:footnoteReference w:id="38"/>
      </w:r>
      <w:r>
        <w:rPr>
          <w:rFonts w:hint="cs"/>
          <w:szCs w:val="22"/>
          <w:rtl/>
          <w:lang w:bidi="ar-EG"/>
        </w:rPr>
        <w:t xml:space="preserve"> والاجتماع الثالث عشر لمؤتمر الأطراف في الاتفاقية المتعلقة بالتنوع البيولوجي.</w:t>
      </w:r>
      <w:r w:rsidR="006B49DE" w:rsidRPr="009F1223">
        <w:rPr>
          <w:rStyle w:val="FootnoteReference"/>
          <w:sz w:val="22"/>
          <w:szCs w:val="22"/>
          <w:u w:val="none"/>
          <w:vertAlign w:val="superscript"/>
        </w:rPr>
        <w:footnoteReference w:id="39"/>
      </w:r>
    </w:p>
    <w:p w:rsidR="000C2106" w:rsidRPr="000C2106" w:rsidRDefault="000C2106" w:rsidP="00C43920">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0C2106">
        <w:rPr>
          <w:rFonts w:hint="cs"/>
          <w:szCs w:val="22"/>
          <w:rtl/>
          <w:lang w:bidi="ar-EG"/>
        </w:rPr>
        <w:t xml:space="preserve">ويشير تقييم المعلومات في التقارير الوطنية إلى أن أغلبية الأطراف قد حققت تقدما نحو إنجاز أهداف أيشي ولكن بمعدل غير كاف للسماح بإنجاز الأهداف بحلول التاريخ النهائي، إلا إذا اتخذت إجراءات إضافية. وحسب الهدف من أهداف أيشي، يحتوي بين ثلث وثلثي التقارير الوطنية على معلومات تفيد بحدوث تقدم ولكن بمعدل غير كاف. كما أنه ما بين </w:t>
      </w:r>
      <w:r>
        <w:rPr>
          <w:rFonts w:hint="cs"/>
          <w:szCs w:val="22"/>
          <w:rtl/>
          <w:lang w:bidi="ar-EG"/>
        </w:rPr>
        <w:t>7</w:t>
      </w:r>
      <w:r w:rsidRPr="000C2106">
        <w:rPr>
          <w:rFonts w:hint="cs"/>
          <w:szCs w:val="22"/>
          <w:rtl/>
          <w:lang w:bidi="ar-EG"/>
        </w:rPr>
        <w:t xml:space="preserve"> و4</w:t>
      </w:r>
      <w:r>
        <w:rPr>
          <w:rFonts w:hint="cs"/>
          <w:szCs w:val="22"/>
          <w:rtl/>
          <w:lang w:bidi="ar-EG"/>
        </w:rPr>
        <w:t>3</w:t>
      </w:r>
      <w:r w:rsidRPr="000C2106">
        <w:rPr>
          <w:rFonts w:hint="cs"/>
          <w:szCs w:val="22"/>
          <w:rtl/>
          <w:lang w:bidi="ar-EG"/>
        </w:rPr>
        <w:t xml:space="preserve"> في المائة من التقارير الوطنية يحتوي على معلومات تفيد بأنه لم يحدث تغيير كبير أو أن البلد يسير بعيدا عن هدف ما. ويتراوح عدد التقييمات المصنفة باعتبارها على المسار الصحيح للوفاء بالهدف أو في على المسار الصحيح لتجاوزه بين </w:t>
      </w:r>
      <w:r w:rsidR="00C43920">
        <w:rPr>
          <w:rFonts w:hint="cs"/>
          <w:szCs w:val="22"/>
          <w:rtl/>
          <w:lang w:bidi="ar-EG"/>
        </w:rPr>
        <w:t>3</w:t>
      </w:r>
      <w:r w:rsidRPr="000C2106">
        <w:rPr>
          <w:rFonts w:hint="cs"/>
          <w:szCs w:val="22"/>
          <w:rtl/>
          <w:lang w:bidi="ar-EG"/>
        </w:rPr>
        <w:t xml:space="preserve"> و</w:t>
      </w:r>
      <w:r w:rsidR="00C43920">
        <w:rPr>
          <w:rFonts w:hint="cs"/>
          <w:szCs w:val="22"/>
          <w:rtl/>
          <w:lang w:bidi="ar-EG"/>
        </w:rPr>
        <w:t>27</w:t>
      </w:r>
      <w:r w:rsidRPr="000C2106">
        <w:rPr>
          <w:rFonts w:hint="cs"/>
          <w:szCs w:val="22"/>
          <w:rtl/>
          <w:lang w:bidi="ar-EG"/>
        </w:rPr>
        <w:t xml:space="preserve"> في المائة اعتمادا على الهدف نفسه (انظر الشكل 2). وبصفة عامة، يشير تقييم المعلومات في التقارير الوطنية إلى أن ما بين 63 و87 في المائة من الأطراف ليست على المسار الصحيح للوفاء بأحد أهداف أيشي للتنوع البيولوجي. والخلاصة العامة لهذا التحليل  مماثلة للخصة التي تم التوصل إليها في الاجتماع الأول للهيئة الفرعية للتنفيذ. وبالإضافة إلى ذلك، يتمشى هذا التحليل مع التقييم المقدم في الإصدار الرابع من التوقعات العالمية للتنوع البيولوجي، والتي خلصت استنادا إلى تقييم 64 تقريرا من التقارير الوطنية الخامسة إلى أن ما بين 53 و92 في المائة من الأطراف ليست على المسار الصحيح للوفاء بهدف أيشي للتنوع البيولوجي.</w:t>
      </w:r>
    </w:p>
    <w:p w:rsidR="00C43920" w:rsidRPr="00C43920" w:rsidRDefault="00C43920" w:rsidP="007E02FA">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C43920">
        <w:rPr>
          <w:rFonts w:hint="cs"/>
          <w:szCs w:val="22"/>
          <w:rtl/>
          <w:lang w:bidi="ar-EG"/>
        </w:rPr>
        <w:t xml:space="preserve">ومن المهم ملاحظة أن كمية المعلومات المتاحة لتقييم الاستراتيجيات وخطط العمل الوطنية للتنوع البيولوجي والتقارير الوطنية قد تباينت. ففي حالة التقارير الوطنية، كانت المعلومات متاحة لما يقرب من 90 في المائة من الأطراف. غير أنه لتقييم الاستراتيجيات وخطط العمل الوطنية كانت المعلومات متاحة من أقل من ثلثي (62 في المائة) الأطراف وأمكن دراستها، وهكذا مع استلام المزيد من الاستراتيجيات وخطط العمل الوطنية، فإن الصورة الكاملة التي قدمت في هذا التقييم قد تتغير. غير أنه إذا كانت الاستراتيجيات وخطط العمل الوطنية التي لم </w:t>
      </w:r>
      <w:r>
        <w:rPr>
          <w:rFonts w:hint="cs"/>
          <w:szCs w:val="22"/>
          <w:rtl/>
          <w:lang w:bidi="ar-EG"/>
        </w:rPr>
        <w:t>تقدم للأمانة</w:t>
      </w:r>
      <w:r w:rsidRPr="00C43920">
        <w:rPr>
          <w:rFonts w:hint="cs"/>
          <w:szCs w:val="22"/>
          <w:rtl/>
          <w:lang w:bidi="ar-EG"/>
        </w:rPr>
        <w:t xml:space="preserve"> بعد قد سارت تجاه نمط مماثل مثل التي طورت بالفعل، فمن غير المحتمل أن تجميع الالتزامات الوطنية الإضافية سيتمشى مع مدى ومستوى الطموح المقرر في أهداف أيشي العالمية. وتشير الاستراتيجيات وخطط العمل الوطنية للتنوع البيولوجي الإضافية التي تم استلامها </w:t>
      </w:r>
      <w:r w:rsidR="007E02FA">
        <w:rPr>
          <w:rFonts w:hint="cs"/>
          <w:szCs w:val="22"/>
          <w:rtl/>
          <w:lang w:bidi="ar-EG"/>
        </w:rPr>
        <w:t>فيما بين الاجتماع العاشر لمؤتمر الأطراف و14 مارس/ آذار 2018 يشير إلى أن ذلك قد يكون هو الحال</w:t>
      </w:r>
      <w:r w:rsidRPr="00C43920">
        <w:rPr>
          <w:rFonts w:hint="cs"/>
          <w:szCs w:val="22"/>
          <w:rtl/>
          <w:lang w:bidi="ar-EG"/>
        </w:rPr>
        <w:t>.</w:t>
      </w:r>
    </w:p>
    <w:p w:rsidR="007E02FA" w:rsidRPr="00867474" w:rsidRDefault="00DD68C9" w:rsidP="00212CCF">
      <w:pPr>
        <w:pStyle w:val="Para1"/>
        <w:suppressLineNumbers/>
        <w:tabs>
          <w:tab w:val="clear" w:pos="360"/>
        </w:tabs>
        <w:suppressAutoHyphens/>
        <w:kinsoku w:val="0"/>
        <w:overflowPunct w:val="0"/>
        <w:autoSpaceDE w:val="0"/>
        <w:autoSpaceDN w:val="0"/>
        <w:bidi/>
        <w:spacing w:before="0"/>
        <w:rPr>
          <w:rFonts w:eastAsia="Malgun Gothic"/>
          <w:kern w:val="22"/>
          <w:szCs w:val="22"/>
        </w:rPr>
      </w:pPr>
      <w:r w:rsidRPr="00DD68C9">
        <w:rPr>
          <w:rFonts w:hint="cs"/>
          <w:szCs w:val="22"/>
          <w:rtl/>
          <w:lang w:bidi="ar-EG"/>
        </w:rPr>
        <w:t>وبينما كانت المعلومات من تقييم الاستراتيجيات وخطط العمل الوطنية للتنوع البيولوجي تتعلق بالتزامات، وأن المعلومات من التقارير الوطنية تتعلق بإجراءات ونتائج، فإن كلا مصدري المعلومات يقدمان صورة متسقة. وقد بذلت جهود لترجمة أهداف أيشي للتنوع البيولوجي إلى التزامات وطنية، وسوف تدعو الحاجة إلى زيادة الجهود بشكل كبير إذا كانت أهداف أيشي للتنوع البيولوجي والخطة الاستراتيجية للتنوع البيولوجي 2011-2020، بصورة أعم، سوف تتحقق. والمعلومات من هذا التحليل تتسق بشكل عريض مع المعلومات المقدمة في الإصدار الرابع من التوقعات العالمية للتنوع البيولوجي التي خلصت إلى أنه بينما يتحقق التقدم نحو بلوغ جميع الأهداف، فلم يكن التقدم كافيا الآن لتحقيق أهداف أيشي للتنوع البيولوجي وأنه يلزم اتخاذ إجراء إضافي للحفاظ على سير الخطة الاستراتيجية للتنوع البيولوجي 2011-2020.</w:t>
      </w:r>
    </w:p>
    <w:p w:rsidR="00867474" w:rsidRPr="00DD68C9" w:rsidRDefault="00867474" w:rsidP="00867474">
      <w:pPr>
        <w:pStyle w:val="Para1"/>
        <w:numPr>
          <w:ilvl w:val="0"/>
          <w:numId w:val="0"/>
        </w:numPr>
        <w:suppressLineNumbers/>
        <w:suppressAutoHyphens/>
        <w:kinsoku w:val="0"/>
        <w:overflowPunct w:val="0"/>
        <w:autoSpaceDE w:val="0"/>
        <w:autoSpaceDN w:val="0"/>
        <w:bidi/>
        <w:spacing w:before="0"/>
        <w:rPr>
          <w:rFonts w:eastAsia="Malgun Gothic"/>
          <w:kern w:val="22"/>
          <w:szCs w:val="22"/>
        </w:rPr>
      </w:pPr>
    </w:p>
    <w:p w:rsidR="009049C2" w:rsidRPr="00E771FA" w:rsidRDefault="009049C2" w:rsidP="00867474">
      <w:pPr>
        <w:keepNext/>
        <w:suppressLineNumbers/>
        <w:suppressAutoHyphens/>
        <w:kinsoku w:val="0"/>
        <w:overflowPunct w:val="0"/>
        <w:autoSpaceDE w:val="0"/>
        <w:autoSpaceDN w:val="0"/>
        <w:bidi/>
        <w:rPr>
          <w:noProof/>
          <w:snapToGrid w:val="0"/>
          <w:kern w:val="22"/>
          <w:szCs w:val="22"/>
        </w:rPr>
      </w:pPr>
    </w:p>
    <w:p w:rsidR="00DD68C9" w:rsidRPr="00D83117" w:rsidRDefault="00D83117" w:rsidP="00867474">
      <w:pPr>
        <w:keepNext/>
        <w:suppressLineNumbers/>
        <w:suppressAutoHyphens/>
        <w:kinsoku w:val="0"/>
        <w:overflowPunct w:val="0"/>
        <w:autoSpaceDE w:val="0"/>
        <w:autoSpaceDN w:val="0"/>
        <w:bidi/>
        <w:spacing w:before="120" w:after="120"/>
        <w:ind w:left="900" w:hanging="900"/>
        <w:jc w:val="left"/>
        <w:rPr>
          <w:snapToGrid w:val="0"/>
          <w:kern w:val="22"/>
          <w:szCs w:val="22"/>
          <w:shd w:val="clear" w:color="auto" w:fill="FFFFFF"/>
          <w:lang w:bidi="ar-EG"/>
        </w:rPr>
      </w:pPr>
      <w:r w:rsidRPr="00D83117">
        <w:rPr>
          <w:rFonts w:hint="cs"/>
          <w:szCs w:val="22"/>
          <w:rtl/>
          <w:lang w:bidi="ar-EG"/>
        </w:rPr>
        <w:t xml:space="preserve">الشكل 1 </w:t>
      </w:r>
      <w:r w:rsidRPr="00D83117">
        <w:rPr>
          <w:szCs w:val="22"/>
          <w:rtl/>
          <w:lang w:bidi="ar-EG"/>
        </w:rPr>
        <w:t>–</w:t>
      </w:r>
      <w:r w:rsidRPr="00D83117">
        <w:rPr>
          <w:rFonts w:hint="cs"/>
          <w:szCs w:val="22"/>
          <w:rtl/>
          <w:lang w:bidi="ar-EG"/>
        </w:rPr>
        <w:t xml:space="preserve"> </w:t>
      </w:r>
      <w:r w:rsidRPr="00D83117">
        <w:rPr>
          <w:rFonts w:hint="cs"/>
          <w:b/>
          <w:bCs/>
          <w:szCs w:val="22"/>
          <w:rtl/>
          <w:lang w:bidi="ar-EG"/>
        </w:rPr>
        <w:t>تقييم مواءمة الأهداف الوطنية والالتزامات الأخرى الواردة في مراجعات وتحديثات الاستراتيجيات وخطط العمل الوطنية للتنوع البيولوجي مع أهداف أيشي</w:t>
      </w:r>
    </w:p>
    <w:p w:rsidR="00867474" w:rsidRDefault="00BE7F34" w:rsidP="00867474">
      <w:pPr>
        <w:keepNext/>
        <w:suppressLineNumbers/>
        <w:suppressAutoHyphens/>
        <w:kinsoku w:val="0"/>
        <w:overflowPunct w:val="0"/>
        <w:autoSpaceDE w:val="0"/>
        <w:autoSpaceDN w:val="0"/>
        <w:bidi/>
        <w:spacing w:before="120" w:after="120"/>
        <w:ind w:left="907" w:hanging="907"/>
        <w:jc w:val="left"/>
        <w:rPr>
          <w:noProof/>
          <w:kern w:val="22"/>
          <w:szCs w:val="22"/>
          <w:shd w:val="clear" w:color="auto" w:fill="FFFFFF"/>
          <w:lang w:val="en-US"/>
        </w:rPr>
      </w:pPr>
      <w:r>
        <w:rPr>
          <w:noProof/>
          <w:kern w:val="22"/>
          <w:szCs w:val="22"/>
          <w:shd w:val="clear" w:color="auto" w:fill="FFFFFF"/>
          <w:lang w:val="en-CA" w:eastAsia="en-CA"/>
        </w:rPr>
        <w:drawing>
          <wp:inline distT="0" distB="0" distL="0" distR="0">
            <wp:extent cx="5953125" cy="4095115"/>
            <wp:effectExtent l="19050" t="0" r="9525" b="0"/>
            <wp:docPr id="4"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20"/>
                    <a:srcRect b="-63"/>
                    <a:stretch>
                      <a:fillRect/>
                    </a:stretch>
                  </pic:blipFill>
                  <pic:spPr bwMode="auto">
                    <a:xfrm>
                      <a:off x="0" y="0"/>
                      <a:ext cx="5953125" cy="4095115"/>
                    </a:xfrm>
                    <a:prstGeom prst="rect">
                      <a:avLst/>
                    </a:prstGeom>
                    <a:noFill/>
                    <a:ln w="9525">
                      <a:noFill/>
                      <a:miter lim="800000"/>
                      <a:headEnd/>
                      <a:tailEnd/>
                    </a:ln>
                  </pic:spPr>
                </pic:pic>
              </a:graphicData>
            </a:graphic>
          </wp:inline>
        </w:drawing>
      </w:r>
    </w:p>
    <w:p w:rsidR="00867474" w:rsidRPr="00867474" w:rsidRDefault="00867474" w:rsidP="00867474">
      <w:pPr>
        <w:keepNext/>
        <w:suppressLineNumbers/>
        <w:suppressAutoHyphens/>
        <w:kinsoku w:val="0"/>
        <w:overflowPunct w:val="0"/>
        <w:autoSpaceDE w:val="0"/>
        <w:autoSpaceDN w:val="0"/>
        <w:bidi/>
        <w:spacing w:before="120" w:after="120"/>
        <w:jc w:val="left"/>
        <w:rPr>
          <w:i/>
          <w:iCs/>
          <w:snapToGrid w:val="0"/>
          <w:kern w:val="22"/>
          <w:szCs w:val="22"/>
          <w:shd w:val="clear" w:color="auto" w:fill="FFFFFF"/>
        </w:rPr>
      </w:pPr>
      <w:r w:rsidRPr="00867474">
        <w:rPr>
          <w:rFonts w:hint="cs"/>
          <w:i/>
          <w:iCs/>
          <w:szCs w:val="22"/>
          <w:rtl/>
          <w:lang w:bidi="ar-EG"/>
        </w:rPr>
        <w:t>ملاحظة:</w:t>
      </w:r>
      <w:r w:rsidRPr="00867474">
        <w:rPr>
          <w:rFonts w:hint="cs"/>
          <w:szCs w:val="22"/>
          <w:rtl/>
          <w:lang w:bidi="ar-EG"/>
        </w:rPr>
        <w:t xml:space="preserve"> تشير الشرائط الملونة إلى نسبة الاستراتيجيات وخطط العمل الوطنية للتنوع البيولوجي في كل فئة. ولتيسير القراءة، تم الجمع في هذا التقييم بين الفئات "الهدف الوطني يتصل على نحو قليل بهدف أيشي"، و"الهدف الوطني أقل بكثير من هدف أيشي" و"الهدف الوطني مشابه لهدف أيشي ولكن على مستوى أقل/لا يغطي جميع العناصر".</w:t>
      </w:r>
    </w:p>
    <w:p w:rsidR="009049C2" w:rsidRPr="00E771FA" w:rsidRDefault="009049C2" w:rsidP="00867474">
      <w:pPr>
        <w:keepNext/>
        <w:suppressLineNumbers/>
        <w:suppressAutoHyphens/>
        <w:kinsoku w:val="0"/>
        <w:overflowPunct w:val="0"/>
        <w:autoSpaceDE w:val="0"/>
        <w:autoSpaceDN w:val="0"/>
        <w:bidi/>
        <w:spacing w:before="120" w:after="120"/>
        <w:jc w:val="left"/>
        <w:rPr>
          <w:snapToGrid w:val="0"/>
          <w:kern w:val="22"/>
          <w:szCs w:val="22"/>
          <w:shd w:val="clear" w:color="auto" w:fill="FFFFFF"/>
        </w:rPr>
      </w:pPr>
    </w:p>
    <w:p w:rsidR="009049C2" w:rsidRPr="00E771FA" w:rsidRDefault="009049C2" w:rsidP="00212CCF">
      <w:pPr>
        <w:suppressLineNumbers/>
        <w:suppressAutoHyphens/>
        <w:kinsoku w:val="0"/>
        <w:overflowPunct w:val="0"/>
        <w:autoSpaceDE w:val="0"/>
        <w:autoSpaceDN w:val="0"/>
        <w:bidi/>
        <w:rPr>
          <w:snapToGrid w:val="0"/>
          <w:kern w:val="22"/>
          <w:szCs w:val="22"/>
          <w:shd w:val="clear" w:color="auto" w:fill="FFFFFF"/>
        </w:rPr>
      </w:pPr>
    </w:p>
    <w:p w:rsidR="009049C2" w:rsidRPr="00E771FA" w:rsidRDefault="009049C2" w:rsidP="00212CCF">
      <w:pPr>
        <w:suppressLineNumbers/>
        <w:suppressAutoHyphens/>
        <w:kinsoku w:val="0"/>
        <w:overflowPunct w:val="0"/>
        <w:autoSpaceDE w:val="0"/>
        <w:autoSpaceDN w:val="0"/>
        <w:bidi/>
        <w:rPr>
          <w:snapToGrid w:val="0"/>
          <w:kern w:val="22"/>
          <w:szCs w:val="22"/>
          <w:shd w:val="clear" w:color="auto" w:fill="FFFFFF"/>
        </w:rPr>
      </w:pPr>
    </w:p>
    <w:p w:rsidR="00867474" w:rsidRDefault="00867474" w:rsidP="00212CCF">
      <w:pPr>
        <w:keepNext/>
        <w:suppressLineNumbers/>
        <w:suppressAutoHyphens/>
        <w:kinsoku w:val="0"/>
        <w:overflowPunct w:val="0"/>
        <w:autoSpaceDE w:val="0"/>
        <w:autoSpaceDN w:val="0"/>
        <w:bidi/>
        <w:spacing w:before="120"/>
        <w:ind w:left="900" w:hanging="900"/>
        <w:jc w:val="left"/>
        <w:rPr>
          <w:b/>
          <w:bCs/>
          <w:szCs w:val="22"/>
          <w:lang w:bidi="ar-EG"/>
        </w:rPr>
      </w:pPr>
      <w:r w:rsidRPr="00867474">
        <w:rPr>
          <w:rFonts w:hint="cs"/>
          <w:szCs w:val="22"/>
          <w:rtl/>
          <w:lang w:bidi="ar-EG"/>
        </w:rPr>
        <w:t xml:space="preserve">الشكل 2 </w:t>
      </w:r>
      <w:r w:rsidRPr="00867474">
        <w:rPr>
          <w:szCs w:val="22"/>
          <w:rtl/>
          <w:lang w:bidi="ar-EG"/>
        </w:rPr>
        <w:t>–</w:t>
      </w:r>
      <w:r w:rsidRPr="00867474">
        <w:rPr>
          <w:rFonts w:hint="cs"/>
          <w:szCs w:val="22"/>
          <w:rtl/>
          <w:lang w:bidi="ar-EG"/>
        </w:rPr>
        <w:t xml:space="preserve"> </w:t>
      </w:r>
      <w:r w:rsidRPr="00867474">
        <w:rPr>
          <w:rFonts w:hint="cs"/>
          <w:b/>
          <w:bCs/>
          <w:szCs w:val="22"/>
          <w:rtl/>
          <w:lang w:bidi="ar-EG"/>
        </w:rPr>
        <w:t>تقييم التقدم المحرز نحو تحقيق كل هدف من أهداف أيشي للتنوع البيولوجي استنادا إلى المعلومات الواردة في التقارير الوطنية الخامسة</w:t>
      </w:r>
    </w:p>
    <w:p w:rsidR="004655EE" w:rsidRDefault="00BE7F34" w:rsidP="004655EE">
      <w:pPr>
        <w:keepNext/>
        <w:suppressLineNumbers/>
        <w:suppressAutoHyphens/>
        <w:kinsoku w:val="0"/>
        <w:overflowPunct w:val="0"/>
        <w:autoSpaceDE w:val="0"/>
        <w:autoSpaceDN w:val="0"/>
        <w:bidi/>
        <w:spacing w:before="120"/>
        <w:ind w:left="900" w:hanging="900"/>
        <w:jc w:val="left"/>
        <w:rPr>
          <w:b/>
          <w:bCs/>
          <w:szCs w:val="22"/>
          <w:lang w:bidi="ar-EG"/>
        </w:rPr>
      </w:pPr>
      <w:r>
        <w:rPr>
          <w:b/>
          <w:bCs/>
          <w:noProof/>
          <w:szCs w:val="22"/>
          <w:lang w:val="en-CA" w:eastAsia="en-CA"/>
        </w:rPr>
        <w:drawing>
          <wp:inline distT="0" distB="0" distL="0" distR="0">
            <wp:extent cx="5963285" cy="3521710"/>
            <wp:effectExtent l="19050" t="0" r="0" b="0"/>
            <wp:docPr id="5"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21"/>
                    <a:srcRect b="-37"/>
                    <a:stretch>
                      <a:fillRect/>
                    </a:stretch>
                  </pic:blipFill>
                  <pic:spPr bwMode="auto">
                    <a:xfrm>
                      <a:off x="0" y="0"/>
                      <a:ext cx="5963285" cy="3521710"/>
                    </a:xfrm>
                    <a:prstGeom prst="rect">
                      <a:avLst/>
                    </a:prstGeom>
                    <a:noFill/>
                    <a:ln w="9525">
                      <a:noFill/>
                      <a:miter lim="800000"/>
                      <a:headEnd/>
                      <a:tailEnd/>
                    </a:ln>
                  </pic:spPr>
                </pic:pic>
              </a:graphicData>
            </a:graphic>
          </wp:inline>
        </w:drawing>
      </w:r>
    </w:p>
    <w:p w:rsidR="00867474" w:rsidRPr="00867474" w:rsidRDefault="00867474" w:rsidP="00212CCF">
      <w:pPr>
        <w:suppressLineNumbers/>
        <w:suppressAutoHyphens/>
        <w:kinsoku w:val="0"/>
        <w:overflowPunct w:val="0"/>
        <w:autoSpaceDE w:val="0"/>
        <w:autoSpaceDN w:val="0"/>
        <w:bidi/>
        <w:spacing w:before="120"/>
        <w:rPr>
          <w:i/>
          <w:iCs/>
          <w:snapToGrid w:val="0"/>
          <w:kern w:val="22"/>
          <w:szCs w:val="22"/>
          <w:shd w:val="clear" w:color="auto" w:fill="FFFFFF"/>
        </w:rPr>
      </w:pPr>
      <w:r w:rsidRPr="00867474">
        <w:rPr>
          <w:rFonts w:hint="cs"/>
          <w:i/>
          <w:iCs/>
          <w:szCs w:val="22"/>
          <w:rtl/>
          <w:lang w:bidi="ar-EG"/>
        </w:rPr>
        <w:t>ملاحظة:</w:t>
      </w:r>
      <w:r w:rsidRPr="00867474">
        <w:rPr>
          <w:rFonts w:hint="cs"/>
          <w:szCs w:val="22"/>
          <w:rtl/>
          <w:lang w:bidi="ar-EG"/>
        </w:rPr>
        <w:t xml:space="preserve"> تشير الشرائط الملونة إلى نسبة التقارير الوطنية في كل فئة.</w:t>
      </w:r>
    </w:p>
    <w:p w:rsidR="009A0C44" w:rsidRPr="00D87ACE" w:rsidRDefault="009A0C44" w:rsidP="00212CCF">
      <w:pPr>
        <w:pStyle w:val="Para1"/>
        <w:numPr>
          <w:ilvl w:val="0"/>
          <w:numId w:val="0"/>
        </w:numPr>
        <w:suppressLineNumbers/>
        <w:suppressAutoHyphens/>
        <w:kinsoku w:val="0"/>
        <w:overflowPunct w:val="0"/>
        <w:autoSpaceDE w:val="0"/>
        <w:autoSpaceDN w:val="0"/>
        <w:bidi/>
        <w:rPr>
          <w:kern w:val="22"/>
          <w:szCs w:val="22"/>
        </w:rPr>
      </w:pPr>
    </w:p>
    <w:p w:rsidR="00D15589" w:rsidRPr="00D87ACE" w:rsidRDefault="00742F79" w:rsidP="00212CCF">
      <w:pPr>
        <w:pStyle w:val="Heading1"/>
        <w:suppressLineNumbers/>
        <w:suppressAutoHyphens/>
        <w:kinsoku w:val="0"/>
        <w:overflowPunct w:val="0"/>
        <w:autoSpaceDE w:val="0"/>
        <w:autoSpaceDN w:val="0"/>
        <w:bidi/>
        <w:spacing w:before="0" w:after="0"/>
        <w:rPr>
          <w:b w:val="0"/>
          <w:bCs/>
          <w:snapToGrid w:val="0"/>
          <w:kern w:val="22"/>
          <w:szCs w:val="22"/>
        </w:rPr>
      </w:pPr>
      <w:r w:rsidRPr="00D87ACE">
        <w:rPr>
          <w:b w:val="0"/>
          <w:bCs/>
          <w:snapToGrid w:val="0"/>
          <w:kern w:val="22"/>
          <w:szCs w:val="22"/>
        </w:rPr>
        <w:t>__________</w:t>
      </w:r>
    </w:p>
    <w:bookmarkEnd w:id="1"/>
    <w:p w:rsidR="00736BC2" w:rsidRPr="00D87ACE" w:rsidRDefault="00736BC2" w:rsidP="00212CCF">
      <w:pPr>
        <w:suppressLineNumbers/>
        <w:suppressAutoHyphens/>
        <w:kinsoku w:val="0"/>
        <w:overflowPunct w:val="0"/>
        <w:autoSpaceDE w:val="0"/>
        <w:autoSpaceDN w:val="0"/>
        <w:bidi/>
        <w:jc w:val="center"/>
        <w:rPr>
          <w:snapToGrid w:val="0"/>
          <w:kern w:val="22"/>
          <w:szCs w:val="22"/>
        </w:rPr>
      </w:pPr>
    </w:p>
    <w:sectPr w:rsidR="00736BC2" w:rsidRPr="00D87ACE" w:rsidSect="00CA1572">
      <w:headerReference w:type="even" r:id="rId22"/>
      <w:headerReference w:type="default" r:id="rId23"/>
      <w:footerReference w:type="even" r:id="rId24"/>
      <w:footerReference w:type="defaul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B2" w:rsidRDefault="006D09B2">
      <w:r>
        <w:separator/>
      </w:r>
    </w:p>
  </w:endnote>
  <w:endnote w:type="continuationSeparator" w:id="0">
    <w:p w:rsidR="006D09B2" w:rsidRDefault="006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12" w:rsidRDefault="00954712" w:rsidP="00D87ACE">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12" w:rsidRDefault="00954712" w:rsidP="00D87ACE">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B2" w:rsidRDefault="006D09B2" w:rsidP="00B810C6">
      <w:pPr>
        <w:bidi/>
      </w:pPr>
      <w:r>
        <w:separator/>
      </w:r>
    </w:p>
  </w:footnote>
  <w:footnote w:type="continuationSeparator" w:id="0">
    <w:p w:rsidR="006D09B2" w:rsidRDefault="006D09B2">
      <w:r>
        <w:continuationSeparator/>
      </w:r>
    </w:p>
  </w:footnote>
  <w:footnote w:id="1">
    <w:p w:rsidR="00212CCF" w:rsidRPr="00B810C6" w:rsidRDefault="002A1BA1" w:rsidP="002610BF">
      <w:pPr>
        <w:pStyle w:val="FootnoteText"/>
        <w:keepLines w:val="0"/>
        <w:suppressLineNumbers/>
        <w:suppressAutoHyphens/>
        <w:kinsoku w:val="0"/>
        <w:overflowPunct w:val="0"/>
        <w:autoSpaceDE w:val="0"/>
        <w:autoSpaceDN w:val="0"/>
        <w:bidi/>
        <w:ind w:firstLine="0"/>
        <w:jc w:val="left"/>
        <w:rPr>
          <w:snapToGrid w:val="0"/>
          <w:kern w:val="18"/>
          <w:szCs w:val="18"/>
        </w:rPr>
      </w:pPr>
      <w:r>
        <w:rPr>
          <w:snapToGrid w:val="0"/>
          <w:kern w:val="18"/>
          <w:szCs w:val="18"/>
        </w:rPr>
        <w:t xml:space="preserve"> </w:t>
      </w:r>
      <w:hyperlink r:id="rId1" w:history="1">
        <w:r w:rsidR="001060FB" w:rsidRPr="002A1BA1">
          <w:rPr>
            <w:rStyle w:val="Hyperlink"/>
            <w:snapToGrid w:val="0"/>
            <w:kern w:val="18"/>
            <w:szCs w:val="18"/>
          </w:rPr>
          <w:t>CBD/SBI/2/1</w:t>
        </w:r>
      </w:hyperlink>
      <w:r w:rsidR="001060FB">
        <w:rPr>
          <w:snapToGrid w:val="0"/>
          <w:kern w:val="18"/>
          <w:szCs w:val="18"/>
        </w:rPr>
        <w:t>*</w:t>
      </w:r>
    </w:p>
  </w:footnote>
  <w:footnote w:id="2">
    <w:p w:rsidR="00B810C6" w:rsidRPr="00B810C6" w:rsidRDefault="00B810C6" w:rsidP="00B810C6">
      <w:pPr>
        <w:pStyle w:val="FootnoteText"/>
        <w:bidi/>
        <w:ind w:firstLine="0"/>
        <w:rPr>
          <w:rFonts w:ascii="Simplified Arabic" w:hAnsi="Simplified Arabic" w:cs="Simplified Arabic"/>
          <w:szCs w:val="18"/>
          <w:lang w:bidi="ar-EG"/>
        </w:rPr>
      </w:pPr>
      <w:r w:rsidRPr="00B810C6">
        <w:rPr>
          <w:rStyle w:val="FootnoteReference"/>
          <w:szCs w:val="18"/>
        </w:rPr>
        <w:footnoteRef/>
      </w:r>
      <w:r w:rsidRPr="00B810C6">
        <w:rPr>
          <w:szCs w:val="18"/>
          <w:rtl/>
        </w:rPr>
        <w:t xml:space="preserve"> </w:t>
      </w:r>
      <w:r w:rsidRPr="00B810C6">
        <w:rPr>
          <w:rFonts w:ascii="Simplified Arabic" w:hAnsi="Simplified Arabic" w:cs="Simplified Arabic"/>
          <w:szCs w:val="18"/>
          <w:rtl/>
          <w:lang w:bidi="ar-EG"/>
        </w:rPr>
        <w:t>قدمت الاستراتيجية وخطة العمل المنقح</w:t>
      </w:r>
      <w:r w:rsidRPr="00B810C6">
        <w:rPr>
          <w:rFonts w:ascii="Simplified Arabic" w:hAnsi="Simplified Arabic" w:cs="Simplified Arabic" w:hint="cs"/>
          <w:szCs w:val="18"/>
          <w:rtl/>
          <w:lang w:bidi="ar-EG"/>
        </w:rPr>
        <w:t>ة</w:t>
      </w:r>
      <w:r w:rsidRPr="00B810C6">
        <w:rPr>
          <w:rFonts w:ascii="Simplified Arabic" w:hAnsi="Simplified Arabic" w:cs="Simplified Arabic"/>
          <w:szCs w:val="18"/>
          <w:rtl/>
          <w:lang w:bidi="ar-EG"/>
        </w:rPr>
        <w:t xml:space="preserve"> للتنوع البيولوجي للصين في سبتمبر/أيلول 2010 وأعدت مع مراعاة الخطة الاستراتيجية للتنوع البيولوجي 2011-2020. وقدمت ألماني</w:t>
      </w:r>
      <w:r w:rsidRPr="00B810C6">
        <w:rPr>
          <w:rFonts w:ascii="Simplified Arabic" w:hAnsi="Simplified Arabic" w:cs="Simplified Arabic" w:hint="cs"/>
          <w:szCs w:val="18"/>
          <w:rtl/>
          <w:lang w:bidi="ar-EG"/>
        </w:rPr>
        <w:t>ا</w:t>
      </w:r>
      <w:r w:rsidRPr="00B810C6">
        <w:rPr>
          <w:rFonts w:ascii="Simplified Arabic" w:hAnsi="Simplified Arabic" w:cs="Simplified Arabic"/>
          <w:szCs w:val="18"/>
          <w:rtl/>
          <w:lang w:bidi="ar-EG"/>
        </w:rPr>
        <w:t xml:space="preserve"> خطة عمل حتى 2020 لخطة عمل واستراتيجية للتنوع البيولوجي كانت قد أعدت قبل اعتماد الخطة الاستراتيجية للتنوع البيولوجي 2011-2020.</w:t>
      </w:r>
    </w:p>
  </w:footnote>
  <w:footnote w:id="3">
    <w:p w:rsidR="00A15740" w:rsidRPr="00D87ACE" w:rsidRDefault="00A15740" w:rsidP="00CC2584">
      <w:pPr>
        <w:pStyle w:val="FootnoteText"/>
        <w:keepLines w:val="0"/>
        <w:suppressLineNumbers/>
        <w:suppressAutoHyphens/>
        <w:kinsoku w:val="0"/>
        <w:overflowPunct w:val="0"/>
        <w:autoSpaceDE w:val="0"/>
        <w:autoSpaceDN w:val="0"/>
        <w:bidi/>
        <w:ind w:firstLine="0"/>
        <w:jc w:val="left"/>
        <w:rPr>
          <w:snapToGrid w:val="0"/>
          <w:kern w:val="18"/>
          <w:szCs w:val="18"/>
        </w:rPr>
      </w:pPr>
      <w:r w:rsidRPr="00D87ACE">
        <w:rPr>
          <w:rStyle w:val="FootnoteReference"/>
          <w:snapToGrid w:val="0"/>
          <w:kern w:val="18"/>
          <w:szCs w:val="18"/>
          <w:u w:val="none"/>
          <w:vertAlign w:val="superscript"/>
        </w:rPr>
        <w:footnoteRef/>
      </w:r>
      <w:r w:rsidRPr="00D87ACE">
        <w:rPr>
          <w:snapToGrid w:val="0"/>
          <w:kern w:val="18"/>
          <w:szCs w:val="18"/>
        </w:rPr>
        <w:t xml:space="preserve"> </w:t>
      </w:r>
      <w:r w:rsidR="00F62F57">
        <w:rPr>
          <w:rFonts w:hint="cs"/>
          <w:snapToGrid w:val="0"/>
          <w:kern w:val="18"/>
          <w:szCs w:val="18"/>
          <w:rtl/>
        </w:rPr>
        <w:t xml:space="preserve"> عرضت نسخة من هذه الوثيقة على الاستعراض النظير من 16 فبراير/ شباط </w:t>
      </w:r>
      <w:r w:rsidR="00CC2584">
        <w:rPr>
          <w:rFonts w:hint="cs"/>
          <w:snapToGrid w:val="0"/>
          <w:kern w:val="18"/>
          <w:szCs w:val="18"/>
          <w:rtl/>
        </w:rPr>
        <w:t>إلى</w:t>
      </w:r>
      <w:r w:rsidR="00F62F57">
        <w:rPr>
          <w:rFonts w:hint="cs"/>
          <w:snapToGrid w:val="0"/>
          <w:kern w:val="18"/>
          <w:szCs w:val="18"/>
          <w:rtl/>
        </w:rPr>
        <w:t xml:space="preserve"> 12 مارس/ </w:t>
      </w:r>
      <w:r w:rsidR="00CC2584">
        <w:rPr>
          <w:rFonts w:hint="cs"/>
          <w:snapToGrid w:val="0"/>
          <w:kern w:val="18"/>
          <w:szCs w:val="18"/>
          <w:rtl/>
        </w:rPr>
        <w:t>آ</w:t>
      </w:r>
      <w:r w:rsidR="00F62F57">
        <w:rPr>
          <w:rFonts w:hint="cs"/>
          <w:snapToGrid w:val="0"/>
          <w:kern w:val="18"/>
          <w:szCs w:val="18"/>
          <w:rtl/>
        </w:rPr>
        <w:t>ذار 2018 وجرى تحديثها لتعكس تعليقات الاستعراض النظير، وجرى خلال هذه  الفترة تلقي خمسة تقارير وطنية واستراتيجيات وخطط عمل وطنية.</w:t>
      </w:r>
      <w:r w:rsidRPr="00D87ACE">
        <w:rPr>
          <w:snapToGrid w:val="0"/>
          <w:kern w:val="18"/>
          <w:szCs w:val="18"/>
        </w:rPr>
        <w:t xml:space="preserve"> </w:t>
      </w:r>
    </w:p>
  </w:footnote>
  <w:footnote w:id="4">
    <w:p w:rsidR="00A15740" w:rsidRPr="00D87ACE" w:rsidRDefault="00A15740" w:rsidP="00900545">
      <w:pPr>
        <w:pStyle w:val="FootnoteText"/>
        <w:keepLines w:val="0"/>
        <w:suppressLineNumbers/>
        <w:suppressAutoHyphens/>
        <w:kinsoku w:val="0"/>
        <w:overflowPunct w:val="0"/>
        <w:autoSpaceDE w:val="0"/>
        <w:autoSpaceDN w:val="0"/>
        <w:bidi/>
        <w:ind w:firstLine="0"/>
        <w:jc w:val="left"/>
        <w:rPr>
          <w:snapToGrid w:val="0"/>
          <w:kern w:val="18"/>
          <w:szCs w:val="18"/>
        </w:rPr>
      </w:pPr>
      <w:r w:rsidRPr="00D87ACE">
        <w:rPr>
          <w:rStyle w:val="FootnoteReference"/>
          <w:snapToGrid w:val="0"/>
          <w:kern w:val="18"/>
          <w:szCs w:val="18"/>
          <w:u w:val="none"/>
          <w:vertAlign w:val="superscript"/>
        </w:rPr>
        <w:footnoteRef/>
      </w:r>
      <w:r w:rsidRPr="00D87ACE">
        <w:rPr>
          <w:snapToGrid w:val="0"/>
          <w:kern w:val="18"/>
          <w:szCs w:val="18"/>
        </w:rPr>
        <w:t xml:space="preserve"> </w:t>
      </w:r>
      <w:r w:rsidR="00900545">
        <w:rPr>
          <w:rFonts w:hint="cs"/>
          <w:snapToGrid w:val="0"/>
          <w:kern w:val="18"/>
          <w:szCs w:val="18"/>
          <w:rtl/>
        </w:rPr>
        <w:t xml:space="preserve"> </w:t>
      </w:r>
      <w:hyperlink r:id="rId2" w:history="1">
        <w:r w:rsidR="00900545" w:rsidRPr="00D87ACE">
          <w:rPr>
            <w:rStyle w:val="Hyperlink"/>
            <w:snapToGrid w:val="0"/>
            <w:kern w:val="18"/>
          </w:rPr>
          <w:t>UNEP/CBD/COP/13/8/Add.2/Rev.1</w:t>
        </w:r>
      </w:hyperlink>
      <w:r w:rsidR="00900545">
        <w:rPr>
          <w:snapToGrid w:val="0"/>
          <w:kern w:val="18"/>
          <w:szCs w:val="18"/>
        </w:rPr>
        <w:t>.</w:t>
      </w:r>
      <w:r w:rsidR="00900545">
        <w:rPr>
          <w:rFonts w:hint="cs"/>
          <w:snapToGrid w:val="0"/>
          <w:kern w:val="18"/>
          <w:szCs w:val="18"/>
          <w:rtl/>
        </w:rPr>
        <w:t>.</w:t>
      </w:r>
    </w:p>
  </w:footnote>
  <w:footnote w:id="5">
    <w:p w:rsidR="00A15740" w:rsidRPr="00D87ACE" w:rsidRDefault="00A15740" w:rsidP="00900545">
      <w:pPr>
        <w:pStyle w:val="FootnoteText"/>
        <w:keepLines w:val="0"/>
        <w:suppressLineNumbers/>
        <w:suppressAutoHyphens/>
        <w:kinsoku w:val="0"/>
        <w:overflowPunct w:val="0"/>
        <w:autoSpaceDE w:val="0"/>
        <w:autoSpaceDN w:val="0"/>
        <w:bidi/>
        <w:ind w:firstLine="0"/>
        <w:jc w:val="left"/>
        <w:rPr>
          <w:snapToGrid w:val="0"/>
          <w:kern w:val="18"/>
          <w:szCs w:val="18"/>
        </w:rPr>
      </w:pPr>
      <w:r w:rsidRPr="00D87ACE">
        <w:rPr>
          <w:rStyle w:val="FootnoteReference"/>
          <w:snapToGrid w:val="0"/>
          <w:kern w:val="18"/>
          <w:szCs w:val="18"/>
          <w:u w:val="none"/>
          <w:vertAlign w:val="superscript"/>
        </w:rPr>
        <w:footnoteRef/>
      </w:r>
      <w:r w:rsidRPr="00D87ACE">
        <w:rPr>
          <w:snapToGrid w:val="0"/>
          <w:kern w:val="18"/>
          <w:szCs w:val="18"/>
        </w:rPr>
        <w:t xml:space="preserve"> </w:t>
      </w:r>
      <w:r w:rsidR="00900545">
        <w:rPr>
          <w:rFonts w:hint="cs"/>
          <w:snapToGrid w:val="0"/>
          <w:kern w:val="18"/>
          <w:szCs w:val="18"/>
          <w:rtl/>
        </w:rPr>
        <w:t xml:space="preserve"> </w:t>
      </w:r>
      <w:r w:rsidR="00900545" w:rsidRPr="00D87ACE">
        <w:rPr>
          <w:snapToGrid w:val="0"/>
          <w:kern w:val="18"/>
          <w:szCs w:val="18"/>
        </w:rPr>
        <w:t>CBD/SBSTTA/22/5.</w:t>
      </w:r>
    </w:p>
  </w:footnote>
  <w:footnote w:id="6">
    <w:p w:rsidR="00F62F57" w:rsidRPr="00900545" w:rsidRDefault="00F62F57" w:rsidP="00900545">
      <w:pPr>
        <w:pStyle w:val="FootnoteText"/>
        <w:keepLines w:val="0"/>
        <w:suppressLineNumbers/>
        <w:suppressAutoHyphens/>
        <w:kinsoku w:val="0"/>
        <w:overflowPunct w:val="0"/>
        <w:autoSpaceDE w:val="0"/>
        <w:autoSpaceDN w:val="0"/>
        <w:bidi/>
        <w:ind w:firstLine="0"/>
        <w:jc w:val="left"/>
        <w:rPr>
          <w:rStyle w:val="FootnoteReference"/>
          <w:snapToGrid w:val="0"/>
          <w:kern w:val="18"/>
          <w:szCs w:val="18"/>
          <w:u w:val="none"/>
        </w:rPr>
      </w:pPr>
      <w:r w:rsidRPr="00900545">
        <w:rPr>
          <w:rStyle w:val="FootnoteReference"/>
          <w:snapToGrid w:val="0"/>
          <w:kern w:val="18"/>
          <w:szCs w:val="18"/>
          <w:u w:val="none"/>
          <w:vertAlign w:val="superscript"/>
        </w:rPr>
        <w:footnoteRef/>
      </w:r>
      <w:r w:rsidR="00900545">
        <w:rPr>
          <w:rFonts w:hint="cs"/>
          <w:snapToGrid w:val="0"/>
          <w:kern w:val="18"/>
          <w:szCs w:val="18"/>
          <w:vertAlign w:val="superscript"/>
          <w:rtl/>
        </w:rPr>
        <w:t xml:space="preserve"> </w:t>
      </w:r>
      <w:r w:rsidRPr="00900545">
        <w:rPr>
          <w:rStyle w:val="FootnoteReference"/>
          <w:snapToGrid w:val="0"/>
          <w:kern w:val="18"/>
          <w:szCs w:val="18"/>
          <w:u w:val="none"/>
          <w:rtl/>
        </w:rPr>
        <w:t xml:space="preserve">لم يتم </w:t>
      </w:r>
      <w:r w:rsidRPr="00900545">
        <w:rPr>
          <w:rStyle w:val="FootnoteReference"/>
          <w:rFonts w:hint="cs"/>
          <w:snapToGrid w:val="0"/>
          <w:kern w:val="18"/>
          <w:szCs w:val="18"/>
          <w:u w:val="none"/>
          <w:rtl/>
        </w:rPr>
        <w:t>تحليل</w:t>
      </w:r>
      <w:r w:rsidRPr="00900545">
        <w:rPr>
          <w:rStyle w:val="FootnoteReference"/>
          <w:snapToGrid w:val="0"/>
          <w:kern w:val="18"/>
          <w:szCs w:val="18"/>
          <w:u w:val="none"/>
          <w:rtl/>
        </w:rPr>
        <w:t xml:space="preserve"> استراتيجي</w:t>
      </w:r>
      <w:r w:rsidRPr="00900545">
        <w:rPr>
          <w:rStyle w:val="FootnoteReference"/>
          <w:rFonts w:hint="cs"/>
          <w:snapToGrid w:val="0"/>
          <w:kern w:val="18"/>
          <w:szCs w:val="18"/>
          <w:u w:val="none"/>
          <w:rtl/>
        </w:rPr>
        <w:t>ة</w:t>
      </w:r>
      <w:r w:rsidRPr="00900545">
        <w:rPr>
          <w:rStyle w:val="FootnoteReference"/>
          <w:snapToGrid w:val="0"/>
          <w:kern w:val="18"/>
          <w:szCs w:val="18"/>
          <w:u w:val="none"/>
          <w:rtl/>
        </w:rPr>
        <w:t xml:space="preserve"> وخط</w:t>
      </w:r>
      <w:r w:rsidRPr="00900545">
        <w:rPr>
          <w:rStyle w:val="FootnoteReference"/>
          <w:rFonts w:hint="cs"/>
          <w:snapToGrid w:val="0"/>
          <w:kern w:val="18"/>
          <w:szCs w:val="18"/>
          <w:u w:val="none"/>
          <w:rtl/>
        </w:rPr>
        <w:t>ة</w:t>
      </w:r>
      <w:r w:rsidRPr="00900545">
        <w:rPr>
          <w:rStyle w:val="FootnoteReference"/>
          <w:snapToGrid w:val="0"/>
          <w:kern w:val="18"/>
          <w:szCs w:val="18"/>
          <w:u w:val="none"/>
          <w:rtl/>
        </w:rPr>
        <w:t xml:space="preserve"> عمل وطني</w:t>
      </w:r>
      <w:r w:rsidRPr="00900545">
        <w:rPr>
          <w:rStyle w:val="FootnoteReference"/>
          <w:rFonts w:hint="cs"/>
          <w:snapToGrid w:val="0"/>
          <w:kern w:val="18"/>
          <w:szCs w:val="18"/>
          <w:u w:val="none"/>
          <w:rtl/>
        </w:rPr>
        <w:t>ة واحدة</w:t>
      </w:r>
      <w:r w:rsidRPr="00900545">
        <w:rPr>
          <w:rStyle w:val="FootnoteReference"/>
          <w:snapToGrid w:val="0"/>
          <w:kern w:val="18"/>
          <w:szCs w:val="18"/>
          <w:u w:val="none"/>
          <w:rtl/>
        </w:rPr>
        <w:t xml:space="preserve"> للتنوع البيولوجي (لاتفيا) </w:t>
      </w:r>
      <w:r w:rsidRPr="00900545">
        <w:rPr>
          <w:rStyle w:val="FootnoteReference"/>
          <w:rFonts w:hint="cs"/>
          <w:snapToGrid w:val="0"/>
          <w:kern w:val="18"/>
          <w:szCs w:val="18"/>
          <w:u w:val="none"/>
          <w:rtl/>
        </w:rPr>
        <w:t>لعدم توافرها</w:t>
      </w:r>
      <w:r w:rsidRPr="00900545">
        <w:rPr>
          <w:rStyle w:val="FootnoteReference"/>
          <w:snapToGrid w:val="0"/>
          <w:kern w:val="18"/>
          <w:szCs w:val="18"/>
          <w:u w:val="none"/>
          <w:rtl/>
        </w:rPr>
        <w:t xml:space="preserve"> بإحدى لغات الأمم المتحدة</w:t>
      </w:r>
      <w:r w:rsidRPr="00900545">
        <w:rPr>
          <w:rStyle w:val="FootnoteReference"/>
          <w:rFonts w:hint="cs"/>
          <w:snapToGrid w:val="0"/>
          <w:kern w:val="18"/>
          <w:szCs w:val="18"/>
          <w:u w:val="none"/>
          <w:rtl/>
        </w:rPr>
        <w:t xml:space="preserve"> الرسمية</w:t>
      </w:r>
      <w:r w:rsidRPr="00900545">
        <w:rPr>
          <w:rStyle w:val="FootnoteReference"/>
          <w:snapToGrid w:val="0"/>
          <w:kern w:val="18"/>
          <w:szCs w:val="18"/>
          <w:u w:val="none"/>
          <w:rtl/>
        </w:rPr>
        <w:t>.</w:t>
      </w:r>
    </w:p>
  </w:footnote>
  <w:footnote w:id="7">
    <w:p w:rsidR="00F95F58" w:rsidRPr="00D87ACE" w:rsidRDefault="00F95F58" w:rsidP="00565307">
      <w:pPr>
        <w:pStyle w:val="Para1"/>
        <w:numPr>
          <w:ilvl w:val="0"/>
          <w:numId w:val="0"/>
        </w:numPr>
        <w:suppressLineNumbers/>
        <w:suppressAutoHyphens/>
        <w:kinsoku w:val="0"/>
        <w:overflowPunct w:val="0"/>
        <w:autoSpaceDE w:val="0"/>
        <w:autoSpaceDN w:val="0"/>
        <w:bidi/>
        <w:spacing w:before="0" w:after="60"/>
        <w:jc w:val="left"/>
        <w:rPr>
          <w:kern w:val="18"/>
        </w:rPr>
      </w:pPr>
      <w:r w:rsidRPr="00D87ACE">
        <w:rPr>
          <w:rStyle w:val="FootnoteReference"/>
          <w:kern w:val="18"/>
          <w:u w:val="none"/>
          <w:vertAlign w:val="superscript"/>
        </w:rPr>
        <w:footnoteRef/>
      </w:r>
      <w:r w:rsidRPr="00D87ACE">
        <w:rPr>
          <w:kern w:val="18"/>
          <w:sz w:val="18"/>
          <w:shd w:val="clear" w:color="auto" w:fill="FFFFFF"/>
        </w:rPr>
        <w:t xml:space="preserve"> </w:t>
      </w:r>
      <w:r w:rsidR="00565307">
        <w:rPr>
          <w:rFonts w:hint="cs"/>
          <w:kern w:val="18"/>
          <w:sz w:val="18"/>
          <w:shd w:val="clear" w:color="auto" w:fill="FFFFFF"/>
          <w:rtl/>
        </w:rPr>
        <w:t xml:space="preserve"> ترد في الوثيقة قائمة شاملة بالأهداف الوطنية بما في ذلك الأهداف الواردة في الاستراتيجيات وخطط العمل السابقة فضلا عن تلك المبلغة في التقارير الوطنية الخامسة </w:t>
      </w:r>
      <w:hyperlink r:id="rId3" w:history="1">
        <w:r w:rsidR="00565307" w:rsidRPr="00D87ACE">
          <w:rPr>
            <w:kern w:val="18"/>
            <w:sz w:val="18"/>
            <w:shd w:val="clear" w:color="auto" w:fill="FFFFFF"/>
          </w:rPr>
          <w:t>https://www.cbd.int/nbsap/targets/default.shtml</w:t>
        </w:r>
      </w:hyperlink>
      <w:r w:rsidR="00565307" w:rsidRPr="00E771FA">
        <w:rPr>
          <w:color w:val="333333"/>
          <w:kern w:val="18"/>
          <w:sz w:val="18"/>
          <w:shd w:val="clear" w:color="auto" w:fill="FFFFFF"/>
        </w:rPr>
        <w:t>.</w:t>
      </w:r>
      <w:r w:rsidR="00565307">
        <w:rPr>
          <w:rFonts w:hint="cs"/>
          <w:kern w:val="18"/>
          <w:sz w:val="18"/>
          <w:shd w:val="clear" w:color="auto" w:fill="FFFFFF"/>
          <w:rtl/>
        </w:rPr>
        <w:t>.</w:t>
      </w:r>
    </w:p>
  </w:footnote>
  <w:footnote w:id="8">
    <w:p w:rsidR="00565307" w:rsidRPr="00D87ACE" w:rsidRDefault="00565307" w:rsidP="00565307">
      <w:pPr>
        <w:pStyle w:val="FootnoteText"/>
        <w:keepLines w:val="0"/>
        <w:suppressLineNumbers/>
        <w:suppressAutoHyphens/>
        <w:kinsoku w:val="0"/>
        <w:overflowPunct w:val="0"/>
        <w:autoSpaceDE w:val="0"/>
        <w:autoSpaceDN w:val="0"/>
        <w:bidi/>
        <w:ind w:firstLine="0"/>
        <w:jc w:val="left"/>
        <w:rPr>
          <w:snapToGrid w:val="0"/>
          <w:kern w:val="18"/>
          <w:szCs w:val="18"/>
        </w:rPr>
      </w:pPr>
      <w:r w:rsidRPr="00D87ACE">
        <w:rPr>
          <w:rStyle w:val="FootnoteReference"/>
          <w:snapToGrid w:val="0"/>
          <w:kern w:val="18"/>
          <w:szCs w:val="18"/>
          <w:u w:val="none"/>
          <w:vertAlign w:val="superscript"/>
        </w:rPr>
        <w:footnoteRef/>
      </w:r>
      <w:r w:rsidRPr="00D87ACE">
        <w:rPr>
          <w:snapToGrid w:val="0"/>
          <w:kern w:val="18"/>
          <w:szCs w:val="18"/>
        </w:rPr>
        <w:t xml:space="preserve"> </w:t>
      </w:r>
      <w:r>
        <w:rPr>
          <w:rFonts w:hint="cs"/>
          <w:snapToGrid w:val="0"/>
          <w:kern w:val="18"/>
          <w:szCs w:val="18"/>
          <w:rtl/>
        </w:rPr>
        <w:t xml:space="preserve"> نظر في جميع التقارير الوطنية التي تلقتها أمانة الاتفاقية المتعلقة بالتنوع البيولوجي ولم تتلق تقارير وطنية من البهاما والجابون </w:t>
      </w:r>
      <w:r w:rsidR="00CC2584">
        <w:rPr>
          <w:rFonts w:hint="cs"/>
          <w:snapToGrid w:val="0"/>
          <w:kern w:val="18"/>
          <w:szCs w:val="18"/>
          <w:rtl/>
        </w:rPr>
        <w:t>وأيسلندا</w:t>
      </w:r>
      <w:r>
        <w:rPr>
          <w:rFonts w:hint="cs"/>
          <w:snapToGrid w:val="0"/>
          <w:kern w:val="18"/>
          <w:szCs w:val="18"/>
          <w:rtl/>
        </w:rPr>
        <w:t xml:space="preserve"> وليسوتو أو ليبيا.</w:t>
      </w:r>
    </w:p>
  </w:footnote>
  <w:footnote w:id="9">
    <w:p w:rsidR="00952441" w:rsidRPr="00A15D8E" w:rsidRDefault="00952441" w:rsidP="00A15D8E">
      <w:pPr>
        <w:pStyle w:val="FootnoteText"/>
        <w:keepLines w:val="0"/>
        <w:suppressLineNumbers/>
        <w:suppressAutoHyphens/>
        <w:kinsoku w:val="0"/>
        <w:overflowPunct w:val="0"/>
        <w:autoSpaceDE w:val="0"/>
        <w:autoSpaceDN w:val="0"/>
        <w:bidi/>
        <w:ind w:firstLine="0"/>
        <w:rPr>
          <w:rStyle w:val="FootnoteReference"/>
          <w:snapToGrid w:val="0"/>
          <w:kern w:val="18"/>
          <w:szCs w:val="18"/>
          <w:u w:val="none"/>
        </w:rPr>
      </w:pPr>
      <w:r w:rsidRPr="00A15D8E">
        <w:rPr>
          <w:rStyle w:val="FootnoteReference"/>
          <w:snapToGrid w:val="0"/>
          <w:kern w:val="18"/>
          <w:szCs w:val="18"/>
          <w:u w:val="none"/>
          <w:vertAlign w:val="superscript"/>
        </w:rPr>
        <w:footnoteRef/>
      </w:r>
      <w:r w:rsidR="00A15D8E">
        <w:rPr>
          <w:rStyle w:val="FootnoteReference"/>
          <w:rFonts w:hint="cs"/>
          <w:snapToGrid w:val="0"/>
          <w:kern w:val="18"/>
          <w:szCs w:val="18"/>
          <w:u w:val="none"/>
          <w:rtl/>
        </w:rPr>
        <w:t xml:space="preserve"> </w:t>
      </w:r>
      <w:r w:rsidRPr="00A15D8E">
        <w:rPr>
          <w:rStyle w:val="FootnoteReference"/>
          <w:snapToGrid w:val="0"/>
          <w:kern w:val="18"/>
          <w:szCs w:val="18"/>
          <w:u w:val="none"/>
          <w:rtl/>
        </w:rPr>
        <w:t xml:space="preserve">أنتيغوا وبربودا، والنمسا، وبيلاروس، وبلجيكا، </w:t>
      </w:r>
      <w:r w:rsidRPr="00A15D8E">
        <w:rPr>
          <w:rStyle w:val="FootnoteReference"/>
          <w:rFonts w:hint="cs"/>
          <w:snapToGrid w:val="0"/>
          <w:kern w:val="18"/>
          <w:szCs w:val="18"/>
          <w:u w:val="none"/>
          <w:rtl/>
        </w:rPr>
        <w:t xml:space="preserve">وبنن، </w:t>
      </w:r>
      <w:r w:rsidRPr="00A15D8E">
        <w:rPr>
          <w:rStyle w:val="FootnoteReference"/>
          <w:snapToGrid w:val="0"/>
          <w:kern w:val="18"/>
          <w:szCs w:val="18"/>
          <w:u w:val="none"/>
          <w:rtl/>
        </w:rPr>
        <w:t xml:space="preserve">والبرازيل، وبوروندي، والكونغو، </w:t>
      </w:r>
      <w:r w:rsidRPr="00A15D8E">
        <w:rPr>
          <w:rStyle w:val="FootnoteReference"/>
          <w:rFonts w:hint="cs"/>
          <w:snapToGrid w:val="0"/>
          <w:kern w:val="18"/>
          <w:szCs w:val="18"/>
          <w:u w:val="none"/>
          <w:rtl/>
        </w:rPr>
        <w:t xml:space="preserve">وكوبا، </w:t>
      </w:r>
      <w:r w:rsidRPr="00A15D8E">
        <w:rPr>
          <w:rStyle w:val="FootnoteReference"/>
          <w:snapToGrid w:val="0"/>
          <w:kern w:val="18"/>
          <w:szCs w:val="18"/>
          <w:u w:val="none"/>
          <w:rtl/>
        </w:rPr>
        <w:t xml:space="preserve">ودومينيكا، </w:t>
      </w:r>
      <w:r w:rsidRPr="00A15D8E">
        <w:rPr>
          <w:rStyle w:val="FootnoteReference"/>
          <w:rFonts w:hint="cs"/>
          <w:snapToGrid w:val="0"/>
          <w:kern w:val="18"/>
          <w:szCs w:val="18"/>
          <w:u w:val="none"/>
          <w:rtl/>
        </w:rPr>
        <w:t xml:space="preserve">وغينيا الاستوائية، </w:t>
      </w:r>
      <w:r w:rsidRPr="00A15D8E">
        <w:rPr>
          <w:rStyle w:val="FootnoteReference"/>
          <w:snapToGrid w:val="0"/>
          <w:kern w:val="18"/>
          <w:szCs w:val="18"/>
          <w:u w:val="none"/>
          <w:rtl/>
        </w:rPr>
        <w:t xml:space="preserve">وإستونيا، </w:t>
      </w:r>
      <w:r w:rsidRPr="00A15D8E">
        <w:rPr>
          <w:rStyle w:val="FootnoteReference"/>
          <w:rFonts w:hint="cs"/>
          <w:snapToGrid w:val="0"/>
          <w:kern w:val="18"/>
          <w:szCs w:val="18"/>
          <w:u w:val="none"/>
          <w:rtl/>
        </w:rPr>
        <w:t xml:space="preserve">وإثيوبيا، </w:t>
      </w:r>
      <w:r w:rsidRPr="00A15D8E">
        <w:rPr>
          <w:rStyle w:val="FootnoteReference"/>
          <w:snapToGrid w:val="0"/>
          <w:kern w:val="18"/>
          <w:szCs w:val="18"/>
          <w:u w:val="none"/>
          <w:rtl/>
        </w:rPr>
        <w:t xml:space="preserve">وفنلندا، وغينيا، والهند، وآيرلندا، واليابان، </w:t>
      </w:r>
      <w:r w:rsidRPr="00A15D8E">
        <w:rPr>
          <w:rStyle w:val="FootnoteReference"/>
          <w:rFonts w:hint="cs"/>
          <w:snapToGrid w:val="0"/>
          <w:kern w:val="18"/>
          <w:szCs w:val="18"/>
          <w:u w:val="none"/>
          <w:rtl/>
        </w:rPr>
        <w:t xml:space="preserve">ولبنان، </w:t>
      </w:r>
      <w:r w:rsidR="00795F85">
        <w:rPr>
          <w:rFonts w:hint="cs"/>
          <w:snapToGrid w:val="0"/>
          <w:kern w:val="18"/>
          <w:szCs w:val="18"/>
          <w:rtl/>
        </w:rPr>
        <w:t xml:space="preserve">ولكسمبرغ، </w:t>
      </w:r>
      <w:r w:rsidRPr="00A15D8E">
        <w:rPr>
          <w:rStyle w:val="FootnoteReference"/>
          <w:snapToGrid w:val="0"/>
          <w:kern w:val="18"/>
          <w:szCs w:val="18"/>
          <w:u w:val="none"/>
          <w:rtl/>
        </w:rPr>
        <w:t xml:space="preserve">ومالي، </w:t>
      </w:r>
      <w:r w:rsidRPr="00A15D8E">
        <w:rPr>
          <w:rStyle w:val="FootnoteReference"/>
          <w:rFonts w:hint="cs"/>
          <w:snapToGrid w:val="0"/>
          <w:kern w:val="18"/>
          <w:szCs w:val="18"/>
          <w:u w:val="none"/>
          <w:rtl/>
        </w:rPr>
        <w:t xml:space="preserve">ونيوزيلندا، ونيكاراغوا، </w:t>
      </w:r>
      <w:r w:rsidRPr="00A15D8E">
        <w:rPr>
          <w:rStyle w:val="FootnoteReference"/>
          <w:snapToGrid w:val="0"/>
          <w:kern w:val="18"/>
          <w:szCs w:val="18"/>
          <w:u w:val="none"/>
          <w:rtl/>
        </w:rPr>
        <w:t xml:space="preserve">وجمهورية كوريا، </w:t>
      </w:r>
      <w:r w:rsidRPr="00A15D8E">
        <w:rPr>
          <w:rStyle w:val="FootnoteReference"/>
          <w:rFonts w:hint="cs"/>
          <w:snapToGrid w:val="0"/>
          <w:kern w:val="18"/>
          <w:szCs w:val="18"/>
          <w:u w:val="none"/>
          <w:rtl/>
        </w:rPr>
        <w:t xml:space="preserve">والاتحاد الروسي، </w:t>
      </w:r>
      <w:r w:rsidR="00795F85">
        <w:rPr>
          <w:rFonts w:hint="cs"/>
          <w:snapToGrid w:val="0"/>
          <w:kern w:val="18"/>
          <w:szCs w:val="18"/>
          <w:rtl/>
        </w:rPr>
        <w:t xml:space="preserve">ورواندا، </w:t>
      </w:r>
      <w:r w:rsidRPr="00A15D8E">
        <w:rPr>
          <w:rStyle w:val="FootnoteReference"/>
          <w:snapToGrid w:val="0"/>
          <w:kern w:val="18"/>
          <w:szCs w:val="18"/>
          <w:u w:val="none"/>
          <w:rtl/>
        </w:rPr>
        <w:t xml:space="preserve">وسانت كيتس ونيفس، </w:t>
      </w:r>
      <w:r w:rsidRPr="00A15D8E">
        <w:rPr>
          <w:rStyle w:val="FootnoteReference"/>
          <w:rFonts w:hint="cs"/>
          <w:snapToGrid w:val="0"/>
          <w:kern w:val="18"/>
          <w:szCs w:val="18"/>
          <w:u w:val="none"/>
          <w:rtl/>
        </w:rPr>
        <w:t xml:space="preserve">وساموا، </w:t>
      </w:r>
      <w:r w:rsidRPr="00A15D8E">
        <w:rPr>
          <w:rStyle w:val="FootnoteReference"/>
          <w:snapToGrid w:val="0"/>
          <w:kern w:val="18"/>
          <w:szCs w:val="18"/>
          <w:u w:val="none"/>
          <w:rtl/>
        </w:rPr>
        <w:t xml:space="preserve">والسنغال، وصربيا، وسلوفاكيا، </w:t>
      </w:r>
      <w:r w:rsidRPr="00A15D8E">
        <w:rPr>
          <w:rStyle w:val="FootnoteReference"/>
          <w:rFonts w:hint="cs"/>
          <w:snapToGrid w:val="0"/>
          <w:kern w:val="18"/>
          <w:szCs w:val="18"/>
          <w:u w:val="none"/>
          <w:rtl/>
        </w:rPr>
        <w:t xml:space="preserve">وجزر سليمان، وجنوب أفريقيا، </w:t>
      </w:r>
      <w:r w:rsidRPr="00A15D8E">
        <w:rPr>
          <w:rStyle w:val="FootnoteReference"/>
          <w:snapToGrid w:val="0"/>
          <w:kern w:val="18"/>
          <w:szCs w:val="18"/>
          <w:u w:val="none"/>
          <w:rtl/>
        </w:rPr>
        <w:t xml:space="preserve">وإسبانيا، </w:t>
      </w:r>
      <w:r w:rsidR="00795F85">
        <w:rPr>
          <w:rStyle w:val="FootnoteReference"/>
          <w:rFonts w:hint="cs"/>
          <w:snapToGrid w:val="0"/>
          <w:kern w:val="18"/>
          <w:szCs w:val="18"/>
          <w:u w:val="none"/>
          <w:rtl/>
        </w:rPr>
        <w:t xml:space="preserve">وتايلند، </w:t>
      </w:r>
      <w:r w:rsidRPr="00A15D8E">
        <w:rPr>
          <w:rStyle w:val="FootnoteReference"/>
          <w:snapToGrid w:val="0"/>
          <w:kern w:val="18"/>
          <w:szCs w:val="18"/>
          <w:u w:val="none"/>
          <w:rtl/>
        </w:rPr>
        <w:t>وتيمور- ليشتي، وتوفالو، والمملكة المتحدة لبريطانيا الع</w:t>
      </w:r>
      <w:r w:rsidRPr="00A15D8E">
        <w:rPr>
          <w:rStyle w:val="FootnoteReference"/>
          <w:rFonts w:hint="cs"/>
          <w:snapToGrid w:val="0"/>
          <w:kern w:val="18"/>
          <w:szCs w:val="18"/>
          <w:u w:val="none"/>
          <w:rtl/>
        </w:rPr>
        <w:t>ظ</w:t>
      </w:r>
      <w:r w:rsidRPr="00A15D8E">
        <w:rPr>
          <w:rStyle w:val="FootnoteReference"/>
          <w:snapToGrid w:val="0"/>
          <w:kern w:val="18"/>
          <w:szCs w:val="18"/>
          <w:u w:val="none"/>
          <w:rtl/>
        </w:rPr>
        <w:t>مى وآيرلندا الشمالية، وأوغندا وزام</w:t>
      </w:r>
      <w:r w:rsidRPr="00A15D8E">
        <w:rPr>
          <w:rStyle w:val="FootnoteReference"/>
          <w:rFonts w:hint="cs"/>
          <w:snapToGrid w:val="0"/>
          <w:kern w:val="18"/>
          <w:szCs w:val="18"/>
          <w:u w:val="none"/>
          <w:rtl/>
        </w:rPr>
        <w:t>بي</w:t>
      </w:r>
      <w:r w:rsidRPr="00A15D8E">
        <w:rPr>
          <w:rStyle w:val="FootnoteReference"/>
          <w:snapToGrid w:val="0"/>
          <w:kern w:val="18"/>
          <w:szCs w:val="18"/>
          <w:u w:val="none"/>
          <w:rtl/>
        </w:rPr>
        <w:t>ا.</w:t>
      </w:r>
    </w:p>
  </w:footnote>
  <w:footnote w:id="10">
    <w:p w:rsidR="00A15D8E" w:rsidRPr="00A15D8E" w:rsidRDefault="00A15D8E" w:rsidP="00A15D8E">
      <w:pPr>
        <w:pStyle w:val="FootnoteText"/>
        <w:keepLines w:val="0"/>
        <w:suppressLineNumbers/>
        <w:suppressAutoHyphens/>
        <w:kinsoku w:val="0"/>
        <w:overflowPunct w:val="0"/>
        <w:autoSpaceDE w:val="0"/>
        <w:autoSpaceDN w:val="0"/>
        <w:bidi/>
        <w:ind w:firstLine="0"/>
        <w:jc w:val="left"/>
        <w:rPr>
          <w:rStyle w:val="FootnoteReference"/>
          <w:snapToGrid w:val="0"/>
          <w:kern w:val="18"/>
          <w:szCs w:val="18"/>
          <w:u w:val="none"/>
        </w:rPr>
      </w:pPr>
      <w:r w:rsidRPr="00A15D8E">
        <w:rPr>
          <w:rStyle w:val="FootnoteReference"/>
          <w:snapToGrid w:val="0"/>
          <w:kern w:val="18"/>
          <w:szCs w:val="18"/>
          <w:u w:val="none"/>
          <w:vertAlign w:val="superscript"/>
        </w:rPr>
        <w:footnoteRef/>
      </w:r>
      <w:r w:rsidRPr="00A15D8E">
        <w:rPr>
          <w:rStyle w:val="FootnoteReference"/>
          <w:rFonts w:hint="cs"/>
          <w:snapToGrid w:val="0"/>
          <w:kern w:val="18"/>
          <w:szCs w:val="18"/>
          <w:u w:val="none"/>
          <w:rtl/>
        </w:rPr>
        <w:t xml:space="preserve"> </w:t>
      </w:r>
      <w:r>
        <w:rPr>
          <w:rStyle w:val="FootnoteReference"/>
          <w:rFonts w:hint="cs"/>
          <w:snapToGrid w:val="0"/>
          <w:kern w:val="18"/>
          <w:szCs w:val="18"/>
          <w:u w:val="none"/>
          <w:rtl/>
        </w:rPr>
        <w:t xml:space="preserve"> </w:t>
      </w:r>
      <w:r w:rsidRPr="00A15D8E">
        <w:rPr>
          <w:rStyle w:val="FootnoteReference"/>
          <w:snapToGrid w:val="0"/>
          <w:kern w:val="18"/>
          <w:szCs w:val="18"/>
          <w:u w:val="none"/>
          <w:rtl/>
        </w:rPr>
        <w:t xml:space="preserve">البرازيل، والكونغو، وفنلندا، وجورجيا، </w:t>
      </w:r>
      <w:r w:rsidRPr="00A15D8E">
        <w:rPr>
          <w:rStyle w:val="FootnoteReference"/>
          <w:rFonts w:hint="cs"/>
          <w:snapToGrid w:val="0"/>
          <w:kern w:val="18"/>
          <w:szCs w:val="18"/>
          <w:u w:val="none"/>
          <w:rtl/>
        </w:rPr>
        <w:t xml:space="preserve">وغينيا، وساموا، وطاجيكستان، </w:t>
      </w:r>
      <w:r w:rsidRPr="00A15D8E">
        <w:rPr>
          <w:rStyle w:val="FootnoteReference"/>
          <w:snapToGrid w:val="0"/>
          <w:kern w:val="18"/>
          <w:szCs w:val="18"/>
          <w:u w:val="none"/>
          <w:rtl/>
        </w:rPr>
        <w:t>وتوغو وزامبيا.</w:t>
      </w:r>
    </w:p>
  </w:footnote>
  <w:footnote w:id="11">
    <w:p w:rsidR="00A15D8E" w:rsidRPr="00A15D8E" w:rsidRDefault="00A15D8E" w:rsidP="00A15D8E">
      <w:pPr>
        <w:pStyle w:val="FootnoteText"/>
        <w:keepLines w:val="0"/>
        <w:suppressLineNumbers/>
        <w:suppressAutoHyphens/>
        <w:kinsoku w:val="0"/>
        <w:overflowPunct w:val="0"/>
        <w:autoSpaceDE w:val="0"/>
        <w:autoSpaceDN w:val="0"/>
        <w:bidi/>
        <w:ind w:firstLine="0"/>
        <w:jc w:val="left"/>
        <w:rPr>
          <w:rStyle w:val="FootnoteReference"/>
          <w:snapToGrid w:val="0"/>
          <w:kern w:val="18"/>
          <w:szCs w:val="18"/>
          <w:u w:val="none"/>
        </w:rPr>
      </w:pPr>
      <w:r w:rsidRPr="00A15D8E">
        <w:rPr>
          <w:rStyle w:val="FootnoteReference"/>
          <w:snapToGrid w:val="0"/>
          <w:kern w:val="18"/>
          <w:szCs w:val="18"/>
          <w:u w:val="none"/>
          <w:vertAlign w:val="superscript"/>
        </w:rPr>
        <w:footnoteRef/>
      </w:r>
      <w:r w:rsidRPr="00A15D8E">
        <w:rPr>
          <w:rStyle w:val="FootnoteReference"/>
          <w:snapToGrid w:val="0"/>
          <w:kern w:val="18"/>
          <w:szCs w:val="18"/>
          <w:u w:val="none"/>
          <w:rtl/>
        </w:rPr>
        <w:t xml:space="preserve"> غينيا بيساو.</w:t>
      </w:r>
    </w:p>
  </w:footnote>
  <w:footnote w:id="12">
    <w:p w:rsidR="00A15D8E" w:rsidRPr="00A15D8E" w:rsidRDefault="00A15D8E" w:rsidP="00A15D8E">
      <w:pPr>
        <w:pStyle w:val="FootnoteText"/>
        <w:tabs>
          <w:tab w:val="left" w:pos="360"/>
        </w:tabs>
        <w:bidi/>
        <w:ind w:firstLine="0"/>
        <w:rPr>
          <w:rFonts w:ascii="Simplified Arabic" w:hAnsi="Simplified Arabic" w:cs="Simplified Arabic"/>
          <w:szCs w:val="18"/>
          <w:rtl/>
          <w:lang w:bidi="ar-EG"/>
        </w:rPr>
      </w:pPr>
      <w:r w:rsidRPr="00A15D8E">
        <w:rPr>
          <w:rStyle w:val="FootnoteReference"/>
          <w:rFonts w:ascii="Simplified Arabic" w:hAnsi="Simplified Arabic"/>
          <w:szCs w:val="18"/>
          <w:u w:val="none"/>
          <w:vertAlign w:val="superscript"/>
        </w:rPr>
        <w:footnoteRef/>
      </w:r>
      <w:r w:rsidRPr="00A15D8E">
        <w:rPr>
          <w:rFonts w:ascii="Simplified Arabic" w:hAnsi="Simplified Arabic" w:cs="Simplified Arabic"/>
          <w:szCs w:val="18"/>
          <w:rtl/>
          <w:lang w:bidi="ar-EG"/>
        </w:rPr>
        <w:tab/>
        <w:t xml:space="preserve">أنتيغوا وبربودا، وبلجيكا، وبوتان، والبرازيل، والكونغو، وإريتريا، وجورجيا، </w:t>
      </w:r>
      <w:r w:rsidRPr="00A15D8E">
        <w:rPr>
          <w:rFonts w:ascii="Simplified Arabic" w:hAnsi="Simplified Arabic" w:cs="Simplified Arabic" w:hint="cs"/>
          <w:szCs w:val="18"/>
          <w:rtl/>
          <w:lang w:bidi="ar-EG"/>
        </w:rPr>
        <w:t xml:space="preserve">وغينيا، </w:t>
      </w:r>
      <w:r w:rsidR="00795F85">
        <w:rPr>
          <w:rFonts w:hint="cs"/>
          <w:snapToGrid w:val="0"/>
          <w:kern w:val="18"/>
          <w:szCs w:val="18"/>
          <w:rtl/>
        </w:rPr>
        <w:t xml:space="preserve">ولكسمبرغ، </w:t>
      </w:r>
      <w:r w:rsidRPr="00A15D8E">
        <w:rPr>
          <w:rFonts w:ascii="Simplified Arabic" w:hAnsi="Simplified Arabic" w:cs="Simplified Arabic"/>
          <w:szCs w:val="18"/>
          <w:rtl/>
          <w:lang w:bidi="ar-EG"/>
        </w:rPr>
        <w:t xml:space="preserve">ومنغوليا، وناميبيا، </w:t>
      </w:r>
      <w:r w:rsidR="00B73296">
        <w:rPr>
          <w:rFonts w:ascii="Simplified Arabic" w:hAnsi="Simplified Arabic" w:cs="Simplified Arabic" w:hint="cs"/>
          <w:szCs w:val="18"/>
          <w:rtl/>
          <w:lang w:bidi="ar-EG"/>
        </w:rPr>
        <w:t xml:space="preserve">ورواندا، </w:t>
      </w:r>
      <w:r w:rsidRPr="00A15D8E">
        <w:rPr>
          <w:rFonts w:ascii="Simplified Arabic" w:hAnsi="Simplified Arabic" w:cs="Simplified Arabic" w:hint="cs"/>
          <w:szCs w:val="18"/>
          <w:rtl/>
          <w:lang w:bidi="ar-EG"/>
        </w:rPr>
        <w:t xml:space="preserve">وساموا، </w:t>
      </w:r>
      <w:r w:rsidR="00B73296">
        <w:rPr>
          <w:rFonts w:ascii="Simplified Arabic" w:hAnsi="Simplified Arabic" w:cs="Simplified Arabic" w:hint="cs"/>
          <w:szCs w:val="18"/>
          <w:rtl/>
          <w:lang w:bidi="ar-EG"/>
        </w:rPr>
        <w:t xml:space="preserve">وسوازيلند، </w:t>
      </w:r>
      <w:r w:rsidRPr="00A15D8E">
        <w:rPr>
          <w:rFonts w:ascii="Simplified Arabic" w:hAnsi="Simplified Arabic" w:cs="Simplified Arabic" w:hint="cs"/>
          <w:szCs w:val="18"/>
          <w:rtl/>
          <w:lang w:bidi="ar-EG"/>
        </w:rPr>
        <w:t xml:space="preserve">وطاجيكستان، </w:t>
      </w:r>
      <w:r w:rsidRPr="00A15D8E">
        <w:rPr>
          <w:rFonts w:ascii="Simplified Arabic" w:hAnsi="Simplified Arabic" w:cs="Simplified Arabic"/>
          <w:szCs w:val="18"/>
          <w:rtl/>
          <w:lang w:bidi="ar-EG"/>
        </w:rPr>
        <w:t>والإمارات العربية المتحدة وجمهوريا تنزانيا المتحدة.</w:t>
      </w:r>
    </w:p>
  </w:footnote>
  <w:footnote w:id="13">
    <w:p w:rsidR="00A15D8E" w:rsidRPr="00FE1069" w:rsidRDefault="00A15D8E" w:rsidP="00A15D8E">
      <w:pPr>
        <w:pStyle w:val="FootnoteText"/>
        <w:tabs>
          <w:tab w:val="left" w:pos="360"/>
        </w:tabs>
        <w:bidi/>
        <w:ind w:firstLine="0"/>
        <w:rPr>
          <w:szCs w:val="18"/>
          <w:lang w:bidi="ar-EG"/>
        </w:rPr>
      </w:pPr>
      <w:r w:rsidRPr="00FE1069">
        <w:rPr>
          <w:rStyle w:val="FootnoteReference"/>
          <w:szCs w:val="18"/>
          <w:u w:val="none"/>
          <w:vertAlign w:val="superscript"/>
        </w:rPr>
        <w:footnoteRef/>
      </w:r>
      <w:r w:rsidRPr="00FE1069">
        <w:rPr>
          <w:szCs w:val="18"/>
          <w:rtl/>
          <w:lang w:bidi="ar-EG"/>
        </w:rPr>
        <w:tab/>
      </w:r>
      <w:r w:rsidRPr="00FE1069">
        <w:rPr>
          <w:szCs w:val="18"/>
          <w:rtl/>
        </w:rPr>
        <w:t>ملديف.</w:t>
      </w:r>
    </w:p>
  </w:footnote>
  <w:footnote w:id="14">
    <w:p w:rsidR="00FE1069" w:rsidRPr="00FE1069" w:rsidRDefault="00FE1069" w:rsidP="00FE1069">
      <w:pPr>
        <w:pStyle w:val="FootnoteText"/>
        <w:tabs>
          <w:tab w:val="left" w:pos="360"/>
        </w:tabs>
        <w:bidi/>
        <w:ind w:firstLine="0"/>
        <w:rPr>
          <w:snapToGrid w:val="0"/>
          <w:kern w:val="18"/>
          <w:szCs w:val="18"/>
        </w:rPr>
      </w:pPr>
      <w:r>
        <w:rPr>
          <w:rFonts w:hint="cs"/>
          <w:rtl/>
          <w:lang w:bidi="ar-EG"/>
        </w:rPr>
        <w:t xml:space="preserve"> </w:t>
      </w:r>
      <w:r w:rsidRPr="00FE1069">
        <w:rPr>
          <w:rStyle w:val="FootnoteReference"/>
          <w:u w:val="none"/>
          <w:vertAlign w:val="superscript"/>
        </w:rPr>
        <w:footnoteRef/>
      </w:r>
      <w:r>
        <w:rPr>
          <w:rFonts w:hint="cs"/>
          <w:rtl/>
          <w:lang w:bidi="ar-EG"/>
        </w:rPr>
        <w:tab/>
      </w:r>
      <w:r w:rsidRPr="00FE1069">
        <w:rPr>
          <w:rFonts w:hint="cs"/>
          <w:snapToGrid w:val="0"/>
          <w:kern w:val="18"/>
          <w:szCs w:val="18"/>
          <w:rtl/>
        </w:rPr>
        <w:t>بنن، و</w:t>
      </w:r>
      <w:r w:rsidRPr="00FE1069">
        <w:rPr>
          <w:snapToGrid w:val="0"/>
          <w:kern w:val="18"/>
          <w:szCs w:val="18"/>
          <w:rtl/>
        </w:rPr>
        <w:t xml:space="preserve">بوتان، والبرازيل، وبوروندي، والكاميرون، والكونغو، وإريتريا، وفنلندا، </w:t>
      </w:r>
      <w:r w:rsidRPr="00FE1069">
        <w:rPr>
          <w:rFonts w:hint="cs"/>
          <w:snapToGrid w:val="0"/>
          <w:kern w:val="18"/>
          <w:szCs w:val="18"/>
          <w:rtl/>
        </w:rPr>
        <w:t xml:space="preserve">وغينيا، وغينيا بيساو، </w:t>
      </w:r>
      <w:r w:rsidR="00B73296">
        <w:rPr>
          <w:rFonts w:hint="cs"/>
          <w:snapToGrid w:val="0"/>
          <w:kern w:val="18"/>
          <w:szCs w:val="18"/>
          <w:rtl/>
        </w:rPr>
        <w:t xml:space="preserve">وإندونيسيا، </w:t>
      </w:r>
      <w:r w:rsidRPr="00FE1069">
        <w:rPr>
          <w:snapToGrid w:val="0"/>
          <w:kern w:val="18"/>
          <w:szCs w:val="18"/>
          <w:rtl/>
        </w:rPr>
        <w:t>ومالي</w:t>
      </w:r>
      <w:r w:rsidRPr="00FE1069">
        <w:rPr>
          <w:rFonts w:hint="cs"/>
          <w:snapToGrid w:val="0"/>
          <w:kern w:val="18"/>
          <w:szCs w:val="18"/>
          <w:rtl/>
        </w:rPr>
        <w:t>، والاتحاد الروسي، وساموا، والصومال</w:t>
      </w:r>
      <w:r w:rsidRPr="00FE1069">
        <w:rPr>
          <w:snapToGrid w:val="0"/>
          <w:kern w:val="18"/>
          <w:szCs w:val="18"/>
          <w:rtl/>
        </w:rPr>
        <w:t xml:space="preserve"> والسودان</w:t>
      </w:r>
      <w:r w:rsidR="00B73296">
        <w:rPr>
          <w:rFonts w:hint="cs"/>
          <w:snapToGrid w:val="0"/>
          <w:kern w:val="18"/>
          <w:szCs w:val="18"/>
          <w:rtl/>
        </w:rPr>
        <w:t>، وتايلند</w:t>
      </w:r>
      <w:r w:rsidRPr="00FE1069">
        <w:rPr>
          <w:snapToGrid w:val="0"/>
          <w:kern w:val="18"/>
          <w:szCs w:val="18"/>
          <w:rtl/>
        </w:rPr>
        <w:t>.</w:t>
      </w:r>
    </w:p>
  </w:footnote>
  <w:footnote w:id="15">
    <w:p w:rsidR="00FE1069" w:rsidRPr="000335B7" w:rsidRDefault="00FE1069" w:rsidP="000335B7">
      <w:pPr>
        <w:pStyle w:val="FootnoteText"/>
        <w:tabs>
          <w:tab w:val="left" w:pos="360"/>
        </w:tabs>
        <w:bidi/>
        <w:ind w:firstLine="0"/>
        <w:rPr>
          <w:szCs w:val="18"/>
          <w:lang w:bidi="ar-EG"/>
        </w:rPr>
      </w:pPr>
      <w:r w:rsidRPr="000335B7">
        <w:rPr>
          <w:rStyle w:val="FootnoteReference"/>
          <w:szCs w:val="18"/>
          <w:u w:val="none"/>
          <w:vertAlign w:val="superscript"/>
        </w:rPr>
        <w:footnoteRef/>
      </w:r>
      <w:r w:rsidRPr="000335B7">
        <w:rPr>
          <w:szCs w:val="18"/>
          <w:rtl/>
          <w:lang w:bidi="ar-EG"/>
        </w:rPr>
        <w:tab/>
        <w:t>البرازيل، والكاميرون، والكونغو، والاتحاد الأوروبي، واليابان، ومالطة، والاتحاد الروسي، وساموا وأوغندا.</w:t>
      </w:r>
    </w:p>
  </w:footnote>
  <w:footnote w:id="16">
    <w:p w:rsidR="00FE1069" w:rsidRPr="000335B7" w:rsidRDefault="00FE1069" w:rsidP="000335B7">
      <w:pPr>
        <w:pStyle w:val="FootnoteText"/>
        <w:tabs>
          <w:tab w:val="left" w:pos="360"/>
          <w:tab w:val="left" w:pos="3164"/>
        </w:tabs>
        <w:bidi/>
        <w:ind w:firstLine="0"/>
        <w:rPr>
          <w:szCs w:val="18"/>
          <w:lang w:bidi="ar-EG"/>
        </w:rPr>
      </w:pPr>
      <w:r w:rsidRPr="000335B7">
        <w:rPr>
          <w:rStyle w:val="FootnoteReference"/>
          <w:szCs w:val="18"/>
          <w:u w:val="none"/>
          <w:vertAlign w:val="superscript"/>
        </w:rPr>
        <w:footnoteRef/>
      </w:r>
      <w:r w:rsidRPr="000335B7">
        <w:rPr>
          <w:szCs w:val="18"/>
          <w:rtl/>
          <w:lang w:bidi="ar-EG"/>
        </w:rPr>
        <w:tab/>
        <w:t>فنلندا.</w:t>
      </w:r>
    </w:p>
  </w:footnote>
  <w:footnote w:id="17">
    <w:p w:rsidR="00597154" w:rsidRPr="003C232C" w:rsidRDefault="00597154" w:rsidP="003C232C">
      <w:pPr>
        <w:pStyle w:val="FootnoteText"/>
        <w:tabs>
          <w:tab w:val="left" w:pos="360"/>
        </w:tabs>
        <w:bidi/>
        <w:ind w:firstLine="0"/>
        <w:rPr>
          <w:szCs w:val="18"/>
          <w:lang w:bidi="ar-EG"/>
        </w:rPr>
      </w:pPr>
      <w:r w:rsidRPr="003C232C">
        <w:rPr>
          <w:rStyle w:val="FootnoteReference"/>
          <w:szCs w:val="18"/>
          <w:u w:val="none"/>
          <w:vertAlign w:val="superscript"/>
        </w:rPr>
        <w:footnoteRef/>
      </w:r>
      <w:r w:rsidRPr="003C232C">
        <w:rPr>
          <w:szCs w:val="18"/>
          <w:rtl/>
          <w:lang w:bidi="ar-EG"/>
        </w:rPr>
        <w:tab/>
        <w:t xml:space="preserve">البرازيل، والكونغو، </w:t>
      </w:r>
      <w:r w:rsidR="00B73296">
        <w:rPr>
          <w:rFonts w:hint="cs"/>
          <w:szCs w:val="18"/>
          <w:rtl/>
          <w:lang w:bidi="ar-EG"/>
        </w:rPr>
        <w:t xml:space="preserve">وإريتريا، </w:t>
      </w:r>
      <w:r w:rsidRPr="003C232C">
        <w:rPr>
          <w:szCs w:val="18"/>
          <w:rtl/>
          <w:lang w:bidi="ar-EG"/>
        </w:rPr>
        <w:t>والاتحاد الأوروبي، وفنلندا، وغينيا، وغينيا بيساو، والاتحاد الروسي، وساموا، وجزر سليمان، والسودان وأوغندا.</w:t>
      </w:r>
    </w:p>
  </w:footnote>
  <w:footnote w:id="18">
    <w:p w:rsidR="00FA4246" w:rsidRPr="003C232C" w:rsidRDefault="00FA4246" w:rsidP="003C232C">
      <w:pPr>
        <w:pStyle w:val="FootnoteText"/>
        <w:tabs>
          <w:tab w:val="left" w:pos="360"/>
        </w:tabs>
        <w:bidi/>
        <w:ind w:firstLine="0"/>
        <w:rPr>
          <w:szCs w:val="18"/>
          <w:lang w:bidi="ar-EG"/>
        </w:rPr>
      </w:pPr>
      <w:r w:rsidRPr="003C232C">
        <w:rPr>
          <w:rStyle w:val="FootnoteReference"/>
          <w:szCs w:val="18"/>
          <w:u w:val="none"/>
          <w:vertAlign w:val="superscript"/>
        </w:rPr>
        <w:footnoteRef/>
      </w:r>
      <w:r w:rsidRPr="003C232C">
        <w:rPr>
          <w:szCs w:val="18"/>
          <w:rtl/>
          <w:lang w:bidi="ar-EG"/>
        </w:rPr>
        <w:tab/>
        <w:t xml:space="preserve">أفغانستان، وبيلاروس، وبلجيكا، وبنن، وبوتان، وكمبوديا، والكونغو، وفنلندا، وغينيا بيساو، وسانت كيتس ونيفس، </w:t>
      </w:r>
      <w:r w:rsidR="00B73296">
        <w:rPr>
          <w:rFonts w:hint="cs"/>
          <w:szCs w:val="18"/>
          <w:rtl/>
          <w:lang w:bidi="ar-EG"/>
        </w:rPr>
        <w:t xml:space="preserve">ورواندا، </w:t>
      </w:r>
      <w:r w:rsidRPr="003C232C">
        <w:rPr>
          <w:szCs w:val="18"/>
          <w:rtl/>
          <w:lang w:bidi="ar-EG"/>
        </w:rPr>
        <w:t>وساموا، وأوغندا وزامبيا.</w:t>
      </w:r>
    </w:p>
  </w:footnote>
  <w:footnote w:id="19">
    <w:p w:rsidR="003C232C" w:rsidRPr="0057020A" w:rsidRDefault="003C232C" w:rsidP="0057020A">
      <w:pPr>
        <w:pStyle w:val="FootnoteText"/>
        <w:tabs>
          <w:tab w:val="left" w:pos="360"/>
        </w:tabs>
        <w:bidi/>
        <w:ind w:firstLine="0"/>
        <w:rPr>
          <w:sz w:val="20"/>
          <w:szCs w:val="20"/>
          <w:rtl/>
          <w:lang w:bidi="ar-EG"/>
        </w:rPr>
      </w:pPr>
      <w:r w:rsidRPr="0057020A">
        <w:rPr>
          <w:rStyle w:val="FootnoteReference"/>
          <w:sz w:val="20"/>
          <w:szCs w:val="20"/>
          <w:u w:val="none"/>
          <w:vertAlign w:val="superscript"/>
        </w:rPr>
        <w:footnoteRef/>
      </w:r>
      <w:r w:rsidRPr="0057020A">
        <w:rPr>
          <w:sz w:val="20"/>
          <w:szCs w:val="20"/>
          <w:rtl/>
        </w:rPr>
        <w:t xml:space="preserve"> </w:t>
      </w:r>
      <w:r w:rsidRPr="0057020A">
        <w:rPr>
          <w:sz w:val="20"/>
          <w:szCs w:val="20"/>
          <w:rtl/>
          <w:lang w:bidi="ar-EG"/>
        </w:rPr>
        <w:tab/>
        <w:t xml:space="preserve">النمسا، وبنن، وبوتان، والبرازيل، والكاميرون، والكونغو، ودومينيكا، وإريتريا، وفنلندا، وجورجيا، وملديف، ومالي، وناميبيا، وقطر، </w:t>
      </w:r>
      <w:r w:rsidR="00B73296">
        <w:rPr>
          <w:rFonts w:hint="cs"/>
          <w:sz w:val="20"/>
          <w:szCs w:val="20"/>
          <w:rtl/>
          <w:lang w:bidi="ar-EG"/>
        </w:rPr>
        <w:t xml:space="preserve">ورواندا، </w:t>
      </w:r>
      <w:r w:rsidRPr="0057020A">
        <w:rPr>
          <w:sz w:val="20"/>
          <w:szCs w:val="20"/>
          <w:rtl/>
          <w:lang w:bidi="ar-EG"/>
        </w:rPr>
        <w:t>وسانت كيتس ونيفس، وساموا، وجزر سليمان، وأوغندا، وجمهورية تنزانيا المتحدة وزامبيا.</w:t>
      </w:r>
    </w:p>
  </w:footnote>
  <w:footnote w:id="20">
    <w:p w:rsidR="00660344" w:rsidRPr="002E515D" w:rsidRDefault="00660344" w:rsidP="002E515D">
      <w:pPr>
        <w:pStyle w:val="FootnoteText"/>
        <w:tabs>
          <w:tab w:val="left" w:pos="360"/>
        </w:tabs>
        <w:bidi/>
        <w:ind w:firstLine="0"/>
        <w:rPr>
          <w:szCs w:val="18"/>
          <w:rtl/>
          <w:lang w:bidi="ar-EG"/>
        </w:rPr>
      </w:pPr>
      <w:r w:rsidRPr="002E515D">
        <w:rPr>
          <w:rStyle w:val="FootnoteReference"/>
          <w:szCs w:val="18"/>
          <w:u w:val="none"/>
          <w:vertAlign w:val="superscript"/>
        </w:rPr>
        <w:footnoteRef/>
      </w:r>
      <w:r w:rsidRPr="002E515D">
        <w:rPr>
          <w:szCs w:val="18"/>
          <w:rtl/>
        </w:rPr>
        <w:t xml:space="preserve"> </w:t>
      </w:r>
      <w:r w:rsidRPr="002E515D">
        <w:rPr>
          <w:szCs w:val="18"/>
          <w:rtl/>
          <w:lang w:bidi="ar-EG"/>
        </w:rPr>
        <w:tab/>
        <w:t xml:space="preserve">أفغانستان، وبلجيكا، وبوتان، والبرازيل، وكمبوديا، والكونغو، وكوبا، والاتحاد الأوروبي، وفنلندا، وجورجيا، وغينيا، والهند، وآيرلندا، واليابان، وقيرغيزستان، </w:t>
      </w:r>
      <w:r w:rsidR="00B73296">
        <w:rPr>
          <w:rFonts w:hint="cs"/>
          <w:szCs w:val="18"/>
          <w:rtl/>
          <w:lang w:bidi="ar-EG"/>
        </w:rPr>
        <w:t xml:space="preserve">وليبيريا، ولكسمبرغ، </w:t>
      </w:r>
      <w:r w:rsidRPr="002E515D">
        <w:rPr>
          <w:szCs w:val="18"/>
          <w:rtl/>
          <w:lang w:bidi="ar-EG"/>
        </w:rPr>
        <w:t xml:space="preserve">ومالي، وناميبيا، ونيوزيلندا، ونيجيريا، </w:t>
      </w:r>
      <w:r w:rsidR="00B73296">
        <w:rPr>
          <w:rFonts w:hint="cs"/>
          <w:szCs w:val="18"/>
          <w:rtl/>
          <w:lang w:bidi="ar-EG"/>
        </w:rPr>
        <w:t xml:space="preserve">ورواندا، </w:t>
      </w:r>
      <w:r w:rsidRPr="002E515D">
        <w:rPr>
          <w:szCs w:val="18"/>
          <w:rtl/>
          <w:lang w:bidi="ar-EG"/>
        </w:rPr>
        <w:t xml:space="preserve">وساموا، وجزر سليمان، والسودان، وطاجيكستان، </w:t>
      </w:r>
      <w:r w:rsidR="00B73296">
        <w:rPr>
          <w:rFonts w:hint="cs"/>
          <w:szCs w:val="18"/>
          <w:rtl/>
          <w:lang w:bidi="ar-EG"/>
        </w:rPr>
        <w:t xml:space="preserve">وتايلند، </w:t>
      </w:r>
      <w:r w:rsidRPr="002E515D">
        <w:rPr>
          <w:szCs w:val="18"/>
          <w:rtl/>
          <w:lang w:bidi="ar-EG"/>
        </w:rPr>
        <w:t>وأوغندا، والإمارات العربية المتحدة، وجمهورية تنزانيا المتحدة، وأوروغواي</w:t>
      </w:r>
      <w:r w:rsidR="00B73296">
        <w:rPr>
          <w:rFonts w:hint="cs"/>
          <w:szCs w:val="18"/>
          <w:rtl/>
          <w:lang w:bidi="ar-EG"/>
        </w:rPr>
        <w:t>، واليمن</w:t>
      </w:r>
      <w:r w:rsidRPr="002E515D">
        <w:rPr>
          <w:szCs w:val="18"/>
          <w:rtl/>
          <w:lang w:bidi="ar-EG"/>
        </w:rPr>
        <w:t xml:space="preserve"> وزامبيا.</w:t>
      </w:r>
    </w:p>
  </w:footnote>
  <w:footnote w:id="21">
    <w:p w:rsidR="00660344" w:rsidRPr="002E515D" w:rsidRDefault="00660344" w:rsidP="002E515D">
      <w:pPr>
        <w:pStyle w:val="FootnoteText"/>
        <w:tabs>
          <w:tab w:val="left" w:pos="360"/>
        </w:tabs>
        <w:bidi/>
        <w:ind w:firstLine="0"/>
        <w:rPr>
          <w:szCs w:val="18"/>
          <w:lang w:bidi="ar-EG"/>
        </w:rPr>
      </w:pPr>
      <w:r w:rsidRPr="002E515D">
        <w:rPr>
          <w:rStyle w:val="FootnoteReference"/>
          <w:szCs w:val="18"/>
          <w:u w:val="none"/>
          <w:vertAlign w:val="superscript"/>
        </w:rPr>
        <w:footnoteRef/>
      </w:r>
      <w:r w:rsidRPr="002E515D">
        <w:rPr>
          <w:szCs w:val="18"/>
          <w:rtl/>
          <w:lang w:bidi="ar-EG"/>
        </w:rPr>
        <w:tab/>
        <w:t>السويد.</w:t>
      </w:r>
    </w:p>
  </w:footnote>
  <w:footnote w:id="22">
    <w:p w:rsidR="002E3799" w:rsidRPr="00B73296" w:rsidRDefault="002E3799" w:rsidP="00B73296">
      <w:pPr>
        <w:pStyle w:val="FootnoteText"/>
        <w:tabs>
          <w:tab w:val="left" w:pos="360"/>
        </w:tabs>
        <w:bidi/>
        <w:ind w:firstLine="0"/>
        <w:rPr>
          <w:szCs w:val="18"/>
          <w:rtl/>
          <w:lang w:bidi="ar-EG"/>
        </w:rPr>
      </w:pPr>
      <w:r w:rsidRPr="00B73296">
        <w:rPr>
          <w:szCs w:val="18"/>
          <w:vertAlign w:val="superscript"/>
          <w:lang w:bidi="ar-EG"/>
        </w:rPr>
        <w:footnoteRef/>
      </w:r>
      <w:r w:rsidRPr="00B73296">
        <w:rPr>
          <w:rFonts w:hint="cs"/>
          <w:szCs w:val="18"/>
          <w:rtl/>
          <w:lang w:bidi="ar-EG"/>
        </w:rPr>
        <w:tab/>
        <w:t>أنتيغوا وبربودا، وبنن، والبرازيل، وكوبا، وإريتريا، وفنلندا، واليابان، وناميبيا، وسانت كيتس ونيفس، والسودان، وجمهورية تنزانيا المتحدة وأوروغواي.</w:t>
      </w:r>
    </w:p>
  </w:footnote>
  <w:footnote w:id="23">
    <w:p w:rsidR="003C314F" w:rsidRPr="00035214" w:rsidRDefault="003C314F" w:rsidP="00035214">
      <w:pPr>
        <w:pStyle w:val="FootnoteText"/>
        <w:tabs>
          <w:tab w:val="left" w:pos="360"/>
        </w:tabs>
        <w:bidi/>
        <w:ind w:firstLine="0"/>
        <w:rPr>
          <w:szCs w:val="18"/>
          <w:rtl/>
          <w:lang w:bidi="ar-EG"/>
        </w:rPr>
      </w:pPr>
      <w:r w:rsidRPr="00035214">
        <w:rPr>
          <w:rStyle w:val="FootnoteReference"/>
          <w:szCs w:val="18"/>
          <w:u w:val="none"/>
          <w:vertAlign w:val="superscript"/>
        </w:rPr>
        <w:footnoteRef/>
      </w:r>
      <w:r w:rsidRPr="00035214">
        <w:rPr>
          <w:szCs w:val="18"/>
          <w:rtl/>
          <w:lang w:bidi="ar-EG"/>
        </w:rPr>
        <w:tab/>
        <w:t xml:space="preserve">بلجيكا، والكاميرون، والكونغو، وفنلندا، وغينيا، وغينيا بيساو، والهند، </w:t>
      </w:r>
      <w:r w:rsidR="00B73296">
        <w:rPr>
          <w:rFonts w:hint="cs"/>
          <w:szCs w:val="18"/>
          <w:rtl/>
          <w:lang w:bidi="ar-EG"/>
        </w:rPr>
        <w:t xml:space="preserve">وجاميكا، </w:t>
      </w:r>
      <w:r w:rsidRPr="00035214">
        <w:rPr>
          <w:szCs w:val="18"/>
          <w:rtl/>
          <w:lang w:bidi="ar-EG"/>
        </w:rPr>
        <w:t>والمكسيك، وساموا، وجزر سليمان، والسودان، وأوغندا، والإمارات العربية المتحدة والمملكة المتحدة.</w:t>
      </w:r>
    </w:p>
  </w:footnote>
  <w:footnote w:id="24">
    <w:p w:rsidR="003C314F" w:rsidRPr="00035214" w:rsidRDefault="003C314F" w:rsidP="00035214">
      <w:pPr>
        <w:pStyle w:val="FootnoteText"/>
        <w:tabs>
          <w:tab w:val="left" w:pos="360"/>
        </w:tabs>
        <w:bidi/>
        <w:ind w:firstLine="0"/>
        <w:rPr>
          <w:szCs w:val="18"/>
          <w:lang w:bidi="ar-EG"/>
        </w:rPr>
      </w:pPr>
      <w:r w:rsidRPr="00035214">
        <w:rPr>
          <w:rStyle w:val="FootnoteReference"/>
          <w:szCs w:val="18"/>
          <w:u w:val="none"/>
          <w:vertAlign w:val="superscript"/>
        </w:rPr>
        <w:footnoteRef/>
      </w:r>
      <w:r w:rsidRPr="00035214">
        <w:rPr>
          <w:szCs w:val="18"/>
          <w:rtl/>
          <w:lang w:bidi="ar-EG"/>
        </w:rPr>
        <w:tab/>
        <w:t>البرازيل، وكوبا ودومينيكا.</w:t>
      </w:r>
    </w:p>
  </w:footnote>
  <w:footnote w:id="25">
    <w:p w:rsidR="00EB083E" w:rsidRPr="005A4FBB" w:rsidRDefault="00EB083E" w:rsidP="00B73296">
      <w:pPr>
        <w:pStyle w:val="FootnoteText"/>
        <w:tabs>
          <w:tab w:val="left" w:pos="360"/>
        </w:tabs>
        <w:bidi/>
        <w:ind w:firstLine="0"/>
        <w:rPr>
          <w:szCs w:val="18"/>
          <w:rtl/>
          <w:lang w:bidi="ar-EG"/>
        </w:rPr>
      </w:pPr>
      <w:r w:rsidRPr="005A4FBB">
        <w:rPr>
          <w:rStyle w:val="FootnoteReference"/>
          <w:szCs w:val="18"/>
          <w:u w:val="none"/>
          <w:vertAlign w:val="superscript"/>
        </w:rPr>
        <w:footnoteRef/>
      </w:r>
      <w:r w:rsidRPr="005A4FBB">
        <w:rPr>
          <w:szCs w:val="18"/>
          <w:rtl/>
          <w:lang w:bidi="ar-EG"/>
        </w:rPr>
        <w:tab/>
        <w:t xml:space="preserve">أفغانستان، والنمسا، وبنغلاديش، وبيلاروس، وبنن، وبوتان، والبرازيل، وكمبوديا، والكاميرون، وكندا، </w:t>
      </w:r>
      <w:r w:rsidR="00B73296">
        <w:rPr>
          <w:rFonts w:hint="cs"/>
          <w:szCs w:val="18"/>
          <w:rtl/>
          <w:lang w:bidi="ar-EG"/>
        </w:rPr>
        <w:t xml:space="preserve">والكونغو، </w:t>
      </w:r>
      <w:r w:rsidRPr="005A4FBB">
        <w:rPr>
          <w:szCs w:val="18"/>
          <w:rtl/>
          <w:lang w:bidi="ar-EG"/>
        </w:rPr>
        <w:t xml:space="preserve">والجمهورية الدومينيكية، وإريتريا، وفنلندا، وجورجيا، وغينيا، وهنغاريا، واليابان، </w:t>
      </w:r>
      <w:r w:rsidR="00B73296">
        <w:rPr>
          <w:rFonts w:hint="cs"/>
          <w:szCs w:val="18"/>
          <w:rtl/>
          <w:lang w:bidi="ar-EG"/>
        </w:rPr>
        <w:t xml:space="preserve">وموريشيوس، </w:t>
      </w:r>
      <w:r w:rsidRPr="005A4FBB">
        <w:rPr>
          <w:szCs w:val="18"/>
          <w:rtl/>
          <w:lang w:bidi="ar-EG"/>
        </w:rPr>
        <w:t xml:space="preserve">والنرويج، </w:t>
      </w:r>
      <w:r w:rsidR="003C103E">
        <w:rPr>
          <w:rFonts w:hint="cs"/>
          <w:szCs w:val="18"/>
          <w:rtl/>
          <w:lang w:bidi="ar-EG"/>
        </w:rPr>
        <w:t xml:space="preserve">ورواندا، </w:t>
      </w:r>
      <w:r w:rsidRPr="005A4FBB">
        <w:rPr>
          <w:szCs w:val="18"/>
          <w:rtl/>
          <w:lang w:bidi="ar-EG"/>
        </w:rPr>
        <w:t>وساموا، وجزر سليمان، والسودان، وأوغندا، والمملكة المتحدة لبريطانيا العظمى وآيرلندا الشمالية (</w:t>
      </w:r>
      <w:r w:rsidR="00CC2584">
        <w:rPr>
          <w:rFonts w:hint="cs"/>
          <w:szCs w:val="18"/>
          <w:rtl/>
          <w:lang w:bidi="ar-EG"/>
        </w:rPr>
        <w:t>إ</w:t>
      </w:r>
      <w:r w:rsidRPr="005A4FBB">
        <w:rPr>
          <w:szCs w:val="18"/>
          <w:rtl/>
          <w:lang w:bidi="ar-EG"/>
        </w:rPr>
        <w:t>ن</w:t>
      </w:r>
      <w:r w:rsidR="00CC2584">
        <w:rPr>
          <w:rFonts w:hint="cs"/>
          <w:szCs w:val="18"/>
          <w:rtl/>
          <w:lang w:bidi="ar-EG"/>
        </w:rPr>
        <w:t>ك</w:t>
      </w:r>
      <w:r w:rsidRPr="005A4FBB">
        <w:rPr>
          <w:szCs w:val="18"/>
          <w:rtl/>
          <w:lang w:bidi="ar-EG"/>
        </w:rPr>
        <w:t xml:space="preserve">لترا، وآيرلندا الشمالية، </w:t>
      </w:r>
      <w:r w:rsidR="00CC2584" w:rsidRPr="005A4FBB">
        <w:rPr>
          <w:rFonts w:hint="cs"/>
          <w:szCs w:val="18"/>
          <w:rtl/>
          <w:lang w:bidi="ar-EG"/>
        </w:rPr>
        <w:t>وإسكتلند</w:t>
      </w:r>
      <w:r w:rsidR="00CC2584" w:rsidRPr="005A4FBB">
        <w:rPr>
          <w:rFonts w:hint="eastAsia"/>
          <w:szCs w:val="18"/>
          <w:rtl/>
          <w:lang w:bidi="ar-EG"/>
        </w:rPr>
        <w:t>ا</w:t>
      </w:r>
      <w:r w:rsidRPr="005A4FBB">
        <w:rPr>
          <w:szCs w:val="18"/>
          <w:rtl/>
          <w:lang w:bidi="ar-EG"/>
        </w:rPr>
        <w:t>)، وفنزويلا، وفييت نام وزمبابوي.</w:t>
      </w:r>
    </w:p>
  </w:footnote>
  <w:footnote w:id="26">
    <w:p w:rsidR="001F6740" w:rsidRPr="005A4FBB" w:rsidRDefault="001F6740" w:rsidP="005A4FBB">
      <w:pPr>
        <w:pStyle w:val="FootnoteText"/>
        <w:tabs>
          <w:tab w:val="left" w:pos="360"/>
        </w:tabs>
        <w:bidi/>
        <w:ind w:firstLine="0"/>
        <w:rPr>
          <w:szCs w:val="18"/>
          <w:rtl/>
          <w:lang w:bidi="ar-EG"/>
        </w:rPr>
      </w:pPr>
      <w:r w:rsidRPr="005A4FBB">
        <w:rPr>
          <w:rStyle w:val="FootnoteReference"/>
          <w:szCs w:val="18"/>
          <w:u w:val="none"/>
          <w:vertAlign w:val="superscript"/>
        </w:rPr>
        <w:footnoteRef/>
      </w:r>
      <w:r w:rsidRPr="005A4FBB">
        <w:rPr>
          <w:szCs w:val="18"/>
          <w:rtl/>
          <w:lang w:bidi="ar-EG"/>
        </w:rPr>
        <w:tab/>
        <w:t xml:space="preserve">أفغانستان، وبوتان، والكاميرون، والكونغو، وفنلندا، وجورجيا، وغينيا، وغينيا بيساو، والهند، ومالي، </w:t>
      </w:r>
      <w:r w:rsidR="008C10FB">
        <w:rPr>
          <w:rFonts w:hint="cs"/>
          <w:szCs w:val="18"/>
          <w:rtl/>
          <w:lang w:bidi="ar-EG"/>
        </w:rPr>
        <w:t xml:space="preserve">وموريشيوس، </w:t>
      </w:r>
      <w:r w:rsidRPr="005A4FBB">
        <w:rPr>
          <w:szCs w:val="18"/>
          <w:rtl/>
          <w:lang w:bidi="ar-EG"/>
        </w:rPr>
        <w:t>والمكسيك، ونيجيريا، وساموا، وجزر سليمان، والسودان، وتوغو، وأوغندا، وزامبيا وزمبابوي.</w:t>
      </w:r>
    </w:p>
  </w:footnote>
  <w:footnote w:id="27">
    <w:p w:rsidR="001F6740" w:rsidRPr="005A4FBB" w:rsidRDefault="001F6740" w:rsidP="005A4FBB">
      <w:pPr>
        <w:pStyle w:val="FootnoteText"/>
        <w:tabs>
          <w:tab w:val="left" w:pos="360"/>
        </w:tabs>
        <w:bidi/>
        <w:ind w:firstLine="0"/>
        <w:rPr>
          <w:szCs w:val="18"/>
          <w:rtl/>
          <w:lang w:bidi="ar-EG"/>
        </w:rPr>
      </w:pPr>
      <w:r w:rsidRPr="005A4FBB">
        <w:rPr>
          <w:rStyle w:val="FootnoteReference"/>
          <w:szCs w:val="18"/>
          <w:u w:val="none"/>
          <w:vertAlign w:val="superscript"/>
        </w:rPr>
        <w:footnoteRef/>
      </w:r>
      <w:r w:rsidRPr="005A4FBB">
        <w:rPr>
          <w:szCs w:val="18"/>
          <w:rtl/>
          <w:lang w:bidi="ar-EG"/>
        </w:rPr>
        <w:tab/>
        <w:t>البرازيل.</w:t>
      </w:r>
    </w:p>
  </w:footnote>
  <w:footnote w:id="28">
    <w:p w:rsidR="001B2DE7" w:rsidRPr="005A4FBB" w:rsidRDefault="001B2DE7" w:rsidP="005A4FBB">
      <w:pPr>
        <w:pStyle w:val="FootnoteText"/>
        <w:tabs>
          <w:tab w:val="left" w:pos="360"/>
        </w:tabs>
        <w:bidi/>
        <w:ind w:firstLine="0"/>
        <w:rPr>
          <w:szCs w:val="18"/>
          <w:rtl/>
          <w:lang w:bidi="ar-EG"/>
        </w:rPr>
      </w:pPr>
      <w:r w:rsidRPr="005A4FBB">
        <w:rPr>
          <w:rStyle w:val="FootnoteReference"/>
          <w:szCs w:val="18"/>
          <w:u w:val="none"/>
          <w:vertAlign w:val="superscript"/>
        </w:rPr>
        <w:footnoteRef/>
      </w:r>
      <w:r w:rsidRPr="005A4FBB">
        <w:rPr>
          <w:szCs w:val="18"/>
          <w:rtl/>
          <w:lang w:bidi="ar-EG"/>
        </w:rPr>
        <w:tab/>
        <w:t xml:space="preserve">أفغانستان، وبنغلاديش، وبلجيكا، وبنن، وبوتان، والبرازيل، وكمبوديا، والكونغو، وإريتريا، وفنلندا، وغينيا، وغينيا بيساو، </w:t>
      </w:r>
      <w:r w:rsidR="008C10FB">
        <w:rPr>
          <w:rFonts w:hint="cs"/>
          <w:szCs w:val="18"/>
          <w:rtl/>
          <w:lang w:bidi="ar-EG"/>
        </w:rPr>
        <w:t xml:space="preserve">وجامايكا، </w:t>
      </w:r>
      <w:r w:rsidRPr="005A4FBB">
        <w:rPr>
          <w:szCs w:val="18"/>
          <w:rtl/>
          <w:lang w:bidi="ar-EG"/>
        </w:rPr>
        <w:t xml:space="preserve">ومالي، </w:t>
      </w:r>
      <w:r w:rsidR="008C10FB">
        <w:rPr>
          <w:rFonts w:hint="cs"/>
          <w:szCs w:val="18"/>
          <w:rtl/>
          <w:lang w:bidi="ar-EG"/>
        </w:rPr>
        <w:t xml:space="preserve">ورواندا، </w:t>
      </w:r>
      <w:r w:rsidRPr="005A4FBB">
        <w:rPr>
          <w:szCs w:val="18"/>
          <w:rtl/>
          <w:lang w:bidi="ar-EG"/>
        </w:rPr>
        <w:t>وساموا، وجزر سليمان، وجنوب أفريقيا، والسودان، وجمهورية تنزانيا المتحدة، وأوروغواي وزمبابوي.</w:t>
      </w:r>
    </w:p>
  </w:footnote>
  <w:footnote w:id="29">
    <w:p w:rsidR="005A4FBB" w:rsidRPr="009A20F9" w:rsidRDefault="005A4FBB" w:rsidP="009A20F9">
      <w:pPr>
        <w:pStyle w:val="FootnoteText"/>
        <w:tabs>
          <w:tab w:val="left" w:pos="360"/>
        </w:tabs>
        <w:bidi/>
        <w:ind w:firstLine="0"/>
        <w:rPr>
          <w:szCs w:val="18"/>
          <w:rtl/>
          <w:lang w:bidi="ar-EG"/>
        </w:rPr>
      </w:pPr>
      <w:r w:rsidRPr="009A20F9">
        <w:rPr>
          <w:rStyle w:val="FootnoteReference"/>
          <w:szCs w:val="18"/>
          <w:u w:val="none"/>
          <w:vertAlign w:val="superscript"/>
        </w:rPr>
        <w:footnoteRef/>
      </w:r>
      <w:r w:rsidRPr="009A20F9">
        <w:rPr>
          <w:szCs w:val="18"/>
          <w:rtl/>
          <w:lang w:bidi="ar-EG"/>
        </w:rPr>
        <w:tab/>
        <w:t>غامبيا، واليابان والإمارات العربية المتحدة.</w:t>
      </w:r>
    </w:p>
  </w:footnote>
  <w:footnote w:id="30">
    <w:p w:rsidR="005A4FBB" w:rsidRPr="009A20F9" w:rsidRDefault="005A4FBB" w:rsidP="009A20F9">
      <w:pPr>
        <w:pStyle w:val="FootnoteText"/>
        <w:tabs>
          <w:tab w:val="left" w:pos="360"/>
        </w:tabs>
        <w:bidi/>
        <w:ind w:firstLine="0"/>
        <w:rPr>
          <w:szCs w:val="18"/>
          <w:lang w:bidi="ar-EG"/>
        </w:rPr>
      </w:pPr>
      <w:r w:rsidRPr="009A20F9">
        <w:rPr>
          <w:rStyle w:val="FootnoteReference"/>
          <w:szCs w:val="18"/>
          <w:u w:val="none"/>
          <w:vertAlign w:val="superscript"/>
        </w:rPr>
        <w:footnoteRef/>
      </w:r>
      <w:r w:rsidRPr="009A20F9">
        <w:rPr>
          <w:szCs w:val="18"/>
          <w:rtl/>
          <w:lang w:bidi="ar-EG"/>
        </w:rPr>
        <w:tab/>
        <w:t>النمسا، وبيلاروس، وبلجيكا،</w:t>
      </w:r>
      <w:r w:rsidR="009B3807">
        <w:rPr>
          <w:rFonts w:hint="cs"/>
          <w:szCs w:val="18"/>
          <w:rtl/>
          <w:lang w:bidi="ar-EG"/>
        </w:rPr>
        <w:t xml:space="preserve"> وبليز،</w:t>
      </w:r>
      <w:r w:rsidRPr="009A20F9">
        <w:rPr>
          <w:szCs w:val="18"/>
          <w:rtl/>
          <w:lang w:bidi="ar-EG"/>
        </w:rPr>
        <w:t xml:space="preserve"> والبرازيل، والكونغو، ودومينيكا، والاتحاد الأوروبي، وغواتيمالا، وغينيا، وهنغاريا،</w:t>
      </w:r>
      <w:r w:rsidR="009B3807">
        <w:rPr>
          <w:rFonts w:hint="cs"/>
          <w:szCs w:val="18"/>
          <w:rtl/>
          <w:lang w:bidi="ar-EG"/>
        </w:rPr>
        <w:t xml:space="preserve"> وجامايكا، ولكسمبرغ،</w:t>
      </w:r>
      <w:r w:rsidRPr="009A20F9">
        <w:rPr>
          <w:szCs w:val="18"/>
          <w:rtl/>
          <w:lang w:bidi="ar-EG"/>
        </w:rPr>
        <w:t xml:space="preserve"> والاتحاد الروسي، وساموا، والسودان، وطاجيكستان وأوغندا.</w:t>
      </w:r>
    </w:p>
  </w:footnote>
  <w:footnote w:id="31">
    <w:p w:rsidR="009A20F9" w:rsidRPr="007552CE" w:rsidRDefault="009A20F9" w:rsidP="007552CE">
      <w:pPr>
        <w:pStyle w:val="FootnoteText"/>
        <w:tabs>
          <w:tab w:val="left" w:pos="360"/>
        </w:tabs>
        <w:bidi/>
        <w:ind w:firstLine="0"/>
        <w:rPr>
          <w:szCs w:val="18"/>
          <w:rtl/>
          <w:lang w:bidi="ar-EG"/>
        </w:rPr>
      </w:pPr>
      <w:r w:rsidRPr="007552CE">
        <w:rPr>
          <w:rStyle w:val="FootnoteReference"/>
          <w:szCs w:val="18"/>
          <w:u w:val="none"/>
          <w:vertAlign w:val="superscript"/>
        </w:rPr>
        <w:footnoteRef/>
      </w:r>
      <w:r w:rsidRPr="007552CE">
        <w:rPr>
          <w:szCs w:val="18"/>
          <w:rtl/>
          <w:lang w:bidi="ar-EG"/>
        </w:rPr>
        <w:tab/>
        <w:t xml:space="preserve">أفغانستان، وألبانيا، وأنتيغوا وبربودا، وبلجيكا، وبنن، وبوتان، والبرازيل، وكابو فيردي، وكمبوديا، والكونغو، والجهورية الدومينيكية، وإريتريا، وإثيوبيا، وفنلندا، وغامبيا، وهنغاريا، والهند، واليابان، والأردن، ومالي، وناميبيا، وبيرو، </w:t>
      </w:r>
      <w:r w:rsidR="009B3807">
        <w:rPr>
          <w:rFonts w:hint="cs"/>
          <w:szCs w:val="18"/>
          <w:rtl/>
          <w:lang w:bidi="ar-EG"/>
        </w:rPr>
        <w:t xml:space="preserve">ورومانيا، </w:t>
      </w:r>
      <w:r w:rsidRPr="007552CE">
        <w:rPr>
          <w:szCs w:val="18"/>
          <w:rtl/>
          <w:lang w:bidi="ar-EG"/>
        </w:rPr>
        <w:t>وساموا، وتوغو، وزامبيا وزمبابوي.</w:t>
      </w:r>
    </w:p>
  </w:footnote>
  <w:footnote w:id="32">
    <w:p w:rsidR="00597532" w:rsidRPr="007552CE" w:rsidRDefault="00597532" w:rsidP="007552CE">
      <w:pPr>
        <w:pStyle w:val="FootnoteText"/>
        <w:tabs>
          <w:tab w:val="left" w:pos="360"/>
        </w:tabs>
        <w:bidi/>
        <w:ind w:firstLine="0"/>
        <w:rPr>
          <w:szCs w:val="18"/>
          <w:rtl/>
          <w:lang w:bidi="ar-EG"/>
        </w:rPr>
      </w:pPr>
      <w:r w:rsidRPr="007552CE">
        <w:rPr>
          <w:rStyle w:val="FootnoteReference"/>
          <w:szCs w:val="18"/>
          <w:u w:val="none"/>
          <w:vertAlign w:val="superscript"/>
        </w:rPr>
        <w:footnoteRef/>
      </w:r>
      <w:r w:rsidRPr="007552CE">
        <w:rPr>
          <w:szCs w:val="18"/>
          <w:rtl/>
          <w:lang w:bidi="ar-EG"/>
        </w:rPr>
        <w:tab/>
        <w:t>ألبانيا، وأنتيغوا وبربودا، وبنغلاديش، وبوتان، والبرازيل، وكابو فيردي، وكمبوديا، والكاميرون، وجزر القمر، والجمهورية الدومينيكية، وإريتريا، وغامبيا، وغينيا بيساو، والهند، وآيرلندا، واليابان، ومالي، ومالطة، والمكسيك، ونيجيريا، وسانت كيتس ونيفس، وجزر سليمان، والصومال، وطاجيكستان، وأوغندا، والإمارات المتحدة العربية، وجمهورية تنزانيا المتحدة، وأوروغواي وزمبابوي.</w:t>
      </w:r>
    </w:p>
  </w:footnote>
  <w:footnote w:id="33">
    <w:p w:rsidR="007552CE" w:rsidRPr="00F31665" w:rsidRDefault="007552CE" w:rsidP="00F31665">
      <w:pPr>
        <w:pStyle w:val="FootnoteText"/>
        <w:tabs>
          <w:tab w:val="left" w:pos="360"/>
        </w:tabs>
        <w:bidi/>
        <w:ind w:firstLine="0"/>
        <w:rPr>
          <w:szCs w:val="18"/>
          <w:rtl/>
          <w:lang w:bidi="ar-EG"/>
        </w:rPr>
      </w:pPr>
      <w:r w:rsidRPr="00F31665">
        <w:rPr>
          <w:rStyle w:val="FootnoteReference"/>
          <w:szCs w:val="18"/>
          <w:u w:val="none"/>
          <w:vertAlign w:val="superscript"/>
        </w:rPr>
        <w:footnoteRef/>
      </w:r>
      <w:r w:rsidRPr="00F31665">
        <w:rPr>
          <w:szCs w:val="18"/>
          <w:vertAlign w:val="superscript"/>
          <w:rtl/>
        </w:rPr>
        <w:t xml:space="preserve"> </w:t>
      </w:r>
      <w:r w:rsidRPr="00F31665">
        <w:rPr>
          <w:szCs w:val="18"/>
          <w:rtl/>
          <w:lang w:bidi="ar-EG"/>
        </w:rPr>
        <w:tab/>
        <w:t xml:space="preserve">أفغانستان، والبرازيل، وكمبوديا، وكندا، والكونغو، وإثيوبيا، وفنلندا، وغينيا، وغينيا بيساو، والمكسيك، ونيوزيلندا، ونيكاراغوا، وبيرو، </w:t>
      </w:r>
      <w:r w:rsidR="009B3807">
        <w:rPr>
          <w:rFonts w:hint="cs"/>
          <w:szCs w:val="18"/>
          <w:rtl/>
          <w:lang w:bidi="ar-EG"/>
        </w:rPr>
        <w:t xml:space="preserve">ورواندا، </w:t>
      </w:r>
      <w:r w:rsidRPr="00F31665">
        <w:rPr>
          <w:szCs w:val="18"/>
          <w:rtl/>
          <w:lang w:bidi="ar-EG"/>
        </w:rPr>
        <w:t>وساموا، والصومال،  والسودان، وطاجيكستان، وتوفالو، وزامبيا وزمبابوي.</w:t>
      </w:r>
    </w:p>
  </w:footnote>
  <w:footnote w:id="34">
    <w:p w:rsidR="00FD04D5" w:rsidRPr="00FF3E84" w:rsidRDefault="00FD04D5" w:rsidP="00FF3E84">
      <w:pPr>
        <w:pStyle w:val="FootnoteText"/>
        <w:tabs>
          <w:tab w:val="left" w:pos="360"/>
        </w:tabs>
        <w:bidi/>
        <w:ind w:firstLine="0"/>
        <w:rPr>
          <w:szCs w:val="18"/>
          <w:rtl/>
          <w:lang w:bidi="ar-EG"/>
        </w:rPr>
      </w:pPr>
      <w:r w:rsidRPr="00FF3E84">
        <w:rPr>
          <w:rStyle w:val="FootnoteReference"/>
          <w:szCs w:val="18"/>
          <w:u w:val="none"/>
          <w:vertAlign w:val="superscript"/>
        </w:rPr>
        <w:footnoteRef/>
      </w:r>
      <w:r w:rsidRPr="00FF3E84">
        <w:rPr>
          <w:szCs w:val="18"/>
          <w:rtl/>
        </w:rPr>
        <w:t xml:space="preserve"> </w:t>
      </w:r>
      <w:r w:rsidRPr="00FF3E84">
        <w:rPr>
          <w:szCs w:val="18"/>
          <w:rtl/>
          <w:lang w:bidi="ar-EG"/>
        </w:rPr>
        <w:tab/>
      </w:r>
      <w:r w:rsidR="00CC2584">
        <w:rPr>
          <w:rFonts w:hint="cs"/>
          <w:szCs w:val="18"/>
          <w:rtl/>
          <w:lang w:bidi="ar-EG"/>
        </w:rPr>
        <w:t>الأرجنتين، و</w:t>
      </w:r>
      <w:r w:rsidRPr="00FF3E84">
        <w:rPr>
          <w:szCs w:val="18"/>
          <w:rtl/>
          <w:lang w:bidi="ar-EG"/>
        </w:rPr>
        <w:t xml:space="preserve">النمسا، وبيلاروس، وبنن، وبوتان، وبوروندي، والكونغو، وكوبا، ومصر، وإريتريا، وإثيوبيا، وفنلندا، وغامبيا، وغينيا، وغينيا بيساو، وغينيا الاستوائية، وآيرلندا، </w:t>
      </w:r>
      <w:r w:rsidR="00CC2584">
        <w:rPr>
          <w:rFonts w:hint="cs"/>
          <w:szCs w:val="18"/>
          <w:rtl/>
          <w:lang w:bidi="ar-EG"/>
        </w:rPr>
        <w:t xml:space="preserve">وجاميكا، </w:t>
      </w:r>
      <w:r w:rsidRPr="00FF3E84">
        <w:rPr>
          <w:szCs w:val="18"/>
          <w:rtl/>
          <w:lang w:bidi="ar-EG"/>
        </w:rPr>
        <w:t xml:space="preserve">واليابان، ومالي، </w:t>
      </w:r>
      <w:r w:rsidR="00CC2584">
        <w:rPr>
          <w:rFonts w:hint="cs"/>
          <w:szCs w:val="18"/>
          <w:rtl/>
          <w:lang w:bidi="ar-EG"/>
        </w:rPr>
        <w:t xml:space="preserve">وموريشيوس، </w:t>
      </w:r>
      <w:r w:rsidRPr="00FF3E84">
        <w:rPr>
          <w:szCs w:val="18"/>
          <w:rtl/>
          <w:lang w:bidi="ar-EG"/>
        </w:rPr>
        <w:t xml:space="preserve">والمكسيك، ومنغوليا، ونيوزيلندا، </w:t>
      </w:r>
      <w:r w:rsidR="00CC2584">
        <w:rPr>
          <w:rFonts w:hint="cs"/>
          <w:szCs w:val="18"/>
          <w:rtl/>
          <w:lang w:bidi="ar-EG"/>
        </w:rPr>
        <w:t xml:space="preserve">ورواندا، </w:t>
      </w:r>
      <w:r w:rsidRPr="00FF3E84">
        <w:rPr>
          <w:szCs w:val="18"/>
          <w:rtl/>
          <w:lang w:bidi="ar-EG"/>
        </w:rPr>
        <w:t xml:space="preserve">وساموا، والسنغال، وسيشيل، والسودان، وسويسرا، وطاجيكستان، </w:t>
      </w:r>
      <w:r w:rsidR="00CC2584">
        <w:rPr>
          <w:rFonts w:hint="cs"/>
          <w:szCs w:val="18"/>
          <w:rtl/>
          <w:lang w:bidi="ar-EG"/>
        </w:rPr>
        <w:t xml:space="preserve">وتايلند، </w:t>
      </w:r>
      <w:r w:rsidRPr="00FF3E84">
        <w:rPr>
          <w:szCs w:val="18"/>
          <w:rtl/>
          <w:lang w:bidi="ar-EG"/>
        </w:rPr>
        <w:t>وأوغندا، وأوروغواي، وزامبيا وزمبابوي.</w:t>
      </w:r>
    </w:p>
  </w:footnote>
  <w:footnote w:id="35">
    <w:p w:rsidR="00FD04D5" w:rsidRPr="00FF3E84" w:rsidRDefault="00FD04D5" w:rsidP="00FF3E84">
      <w:pPr>
        <w:pStyle w:val="FootnoteText"/>
        <w:tabs>
          <w:tab w:val="left" w:pos="360"/>
        </w:tabs>
        <w:bidi/>
        <w:ind w:firstLine="0"/>
        <w:rPr>
          <w:szCs w:val="18"/>
          <w:rtl/>
          <w:lang w:bidi="ar-EG"/>
        </w:rPr>
      </w:pPr>
      <w:r w:rsidRPr="00FF3E84">
        <w:rPr>
          <w:rStyle w:val="FootnoteReference"/>
          <w:szCs w:val="18"/>
          <w:u w:val="none"/>
          <w:vertAlign w:val="superscript"/>
        </w:rPr>
        <w:footnoteRef/>
      </w:r>
      <w:r w:rsidRPr="00FF3E84">
        <w:rPr>
          <w:szCs w:val="18"/>
          <w:rtl/>
        </w:rPr>
        <w:t xml:space="preserve"> </w:t>
      </w:r>
      <w:r w:rsidRPr="00FF3E84">
        <w:rPr>
          <w:szCs w:val="18"/>
          <w:rtl/>
          <w:lang w:bidi="ar-EG"/>
        </w:rPr>
        <w:tab/>
        <w:t>البرازيل.</w:t>
      </w:r>
    </w:p>
  </w:footnote>
  <w:footnote w:id="36">
    <w:p w:rsidR="009F1223" w:rsidRPr="000C2106" w:rsidRDefault="009F1223" w:rsidP="00CC2584">
      <w:pPr>
        <w:pStyle w:val="FootnoteText"/>
        <w:tabs>
          <w:tab w:val="left" w:pos="360"/>
        </w:tabs>
        <w:bidi/>
        <w:ind w:firstLine="0"/>
        <w:rPr>
          <w:szCs w:val="18"/>
          <w:rtl/>
          <w:lang w:bidi="ar-EG"/>
        </w:rPr>
      </w:pPr>
      <w:r w:rsidRPr="000C2106">
        <w:rPr>
          <w:rStyle w:val="FootnoteReference"/>
          <w:szCs w:val="18"/>
          <w:u w:val="none"/>
          <w:vertAlign w:val="superscript"/>
        </w:rPr>
        <w:footnoteRef/>
      </w:r>
      <w:r w:rsidRPr="000C2106">
        <w:rPr>
          <w:szCs w:val="18"/>
          <w:rtl/>
        </w:rPr>
        <w:t xml:space="preserve"> </w:t>
      </w:r>
      <w:r w:rsidRPr="000C2106">
        <w:rPr>
          <w:szCs w:val="18"/>
          <w:rtl/>
          <w:lang w:bidi="ar-EG"/>
        </w:rPr>
        <w:tab/>
      </w:r>
      <w:r w:rsidR="00CC2584">
        <w:rPr>
          <w:rFonts w:hint="cs"/>
          <w:szCs w:val="18"/>
          <w:rtl/>
          <w:lang w:bidi="ar-EG"/>
        </w:rPr>
        <w:t>ألبانيا، و</w:t>
      </w:r>
      <w:r w:rsidRPr="000C2106">
        <w:rPr>
          <w:szCs w:val="18"/>
          <w:rtl/>
          <w:lang w:bidi="ar-EG"/>
        </w:rPr>
        <w:t xml:space="preserve">بيلاروس، وبلجيكا، وبوتان، والبرازيل، </w:t>
      </w:r>
      <w:r w:rsidR="00CC2584">
        <w:rPr>
          <w:rFonts w:hint="cs"/>
          <w:szCs w:val="18"/>
          <w:rtl/>
          <w:lang w:bidi="ar-EG"/>
        </w:rPr>
        <w:t>وبوتسوانا،</w:t>
      </w:r>
      <w:r w:rsidR="00CC2584">
        <w:rPr>
          <w:rFonts w:hint="cs"/>
          <w:szCs w:val="18"/>
          <w:rtl/>
          <w:lang w:bidi="ar-EG"/>
        </w:rPr>
        <w:t xml:space="preserve"> </w:t>
      </w:r>
      <w:r w:rsidRPr="000C2106">
        <w:rPr>
          <w:szCs w:val="18"/>
          <w:rtl/>
          <w:lang w:bidi="ar-EG"/>
        </w:rPr>
        <w:t xml:space="preserve">والكونغو، وكوبا، </w:t>
      </w:r>
      <w:r w:rsidR="003F07B6">
        <w:rPr>
          <w:rFonts w:hint="cs"/>
          <w:szCs w:val="18"/>
          <w:rtl/>
          <w:lang w:bidi="ar-EG"/>
        </w:rPr>
        <w:t xml:space="preserve">ومصر، </w:t>
      </w:r>
      <w:r w:rsidRPr="000C2106">
        <w:rPr>
          <w:szCs w:val="18"/>
          <w:rtl/>
          <w:lang w:bidi="ar-EG"/>
        </w:rPr>
        <w:t xml:space="preserve">وإريتريا، </w:t>
      </w:r>
      <w:r w:rsidR="003F07B6">
        <w:rPr>
          <w:rFonts w:hint="cs"/>
          <w:szCs w:val="18"/>
          <w:rtl/>
          <w:lang w:bidi="ar-EG"/>
        </w:rPr>
        <w:t xml:space="preserve">وإثيوبيا، </w:t>
      </w:r>
      <w:r w:rsidRPr="000C2106">
        <w:rPr>
          <w:szCs w:val="18"/>
          <w:rtl/>
          <w:lang w:bidi="ar-EG"/>
        </w:rPr>
        <w:t xml:space="preserve">وفنلندا، وغامبيا، </w:t>
      </w:r>
      <w:r w:rsidR="003F07B6">
        <w:rPr>
          <w:rFonts w:hint="cs"/>
          <w:szCs w:val="18"/>
          <w:rtl/>
          <w:lang w:bidi="ar-EG"/>
        </w:rPr>
        <w:t xml:space="preserve">وغانا، </w:t>
      </w:r>
      <w:r w:rsidRPr="000C2106">
        <w:rPr>
          <w:szCs w:val="18"/>
          <w:rtl/>
          <w:lang w:bidi="ar-EG"/>
        </w:rPr>
        <w:t xml:space="preserve">وغرينادا، وغواتيمالا، وغينيا، </w:t>
      </w:r>
      <w:r w:rsidR="003F07B6">
        <w:rPr>
          <w:rFonts w:hint="cs"/>
          <w:szCs w:val="18"/>
          <w:rtl/>
          <w:lang w:bidi="ar-EG"/>
        </w:rPr>
        <w:t xml:space="preserve">وجامايكا، ولكسمبرغ، </w:t>
      </w:r>
      <w:r w:rsidRPr="000C2106">
        <w:rPr>
          <w:szCs w:val="18"/>
          <w:rtl/>
          <w:lang w:bidi="ar-EG"/>
        </w:rPr>
        <w:t>ومالي، ونيجيريا، وساموا، وصربيا، والسودان، وطاجيكستان، وأوغندا، والإمارات العربية المتحدة، وجمهورية تنزانيا المتحدة، وزامبيا وزمبابوي.</w:t>
      </w:r>
    </w:p>
  </w:footnote>
  <w:footnote w:id="37">
    <w:p w:rsidR="006B49DE" w:rsidRPr="006B49DE" w:rsidRDefault="006B49DE" w:rsidP="006B49DE">
      <w:pPr>
        <w:pStyle w:val="FootnoteText"/>
        <w:tabs>
          <w:tab w:val="left" w:pos="360"/>
        </w:tabs>
        <w:bidi/>
        <w:ind w:firstLine="0"/>
        <w:rPr>
          <w:rFonts w:hint="cs"/>
          <w:szCs w:val="18"/>
          <w:rtl/>
          <w:lang w:bidi="ar-EG"/>
        </w:rPr>
      </w:pPr>
      <w:r w:rsidRPr="006B49DE">
        <w:rPr>
          <w:szCs w:val="18"/>
          <w:vertAlign w:val="superscript"/>
          <w:lang w:bidi="ar-EG"/>
        </w:rPr>
        <w:footnoteRef/>
      </w:r>
      <w:r w:rsidRPr="006B49DE">
        <w:rPr>
          <w:rFonts w:hint="cs"/>
          <w:szCs w:val="18"/>
          <w:rtl/>
          <w:lang w:bidi="ar-EG"/>
        </w:rPr>
        <w:t xml:space="preserve"> </w:t>
      </w:r>
      <w:r>
        <w:rPr>
          <w:rFonts w:hint="cs"/>
          <w:szCs w:val="18"/>
          <w:rtl/>
          <w:lang w:bidi="ar-EG"/>
        </w:rPr>
        <w:tab/>
      </w:r>
      <w:r w:rsidRPr="006B49DE">
        <w:rPr>
          <w:rFonts w:hint="cs"/>
          <w:szCs w:val="18"/>
          <w:rtl/>
          <w:lang w:bidi="ar-EG"/>
        </w:rPr>
        <w:t>جامايكا.</w:t>
      </w:r>
    </w:p>
  </w:footnote>
  <w:footnote w:id="38">
    <w:p w:rsidR="006B49DE" w:rsidRPr="000C2106" w:rsidRDefault="006B49DE" w:rsidP="006B49DE">
      <w:pPr>
        <w:pStyle w:val="FootnoteText"/>
        <w:tabs>
          <w:tab w:val="left" w:pos="360"/>
        </w:tabs>
        <w:bidi/>
        <w:ind w:firstLine="0"/>
        <w:rPr>
          <w:szCs w:val="18"/>
          <w:rtl/>
          <w:lang w:bidi="ar-EG"/>
        </w:rPr>
      </w:pPr>
      <w:r w:rsidRPr="000C2106">
        <w:rPr>
          <w:rStyle w:val="FootnoteReference"/>
          <w:szCs w:val="18"/>
          <w:u w:val="none"/>
          <w:vertAlign w:val="superscript"/>
        </w:rPr>
        <w:footnoteRef/>
      </w:r>
      <w:r w:rsidRPr="000C2106">
        <w:rPr>
          <w:szCs w:val="18"/>
          <w:rtl/>
        </w:rPr>
        <w:t xml:space="preserve"> </w:t>
      </w:r>
      <w:r w:rsidRPr="000C2106">
        <w:rPr>
          <w:szCs w:val="18"/>
          <w:rtl/>
          <w:lang w:bidi="ar-EG"/>
        </w:rPr>
        <w:tab/>
      </w:r>
      <w:hyperlink r:id="rId4" w:history="1">
        <w:r w:rsidRPr="006B49DE">
          <w:rPr>
            <w:rStyle w:val="Hyperlink"/>
            <w:szCs w:val="18"/>
            <w:lang w:bidi="ar-EG"/>
          </w:rPr>
          <w:t>UNEP/CBD/SBI/1/2/Add.2</w:t>
        </w:r>
      </w:hyperlink>
      <w:r w:rsidRPr="000C2106">
        <w:rPr>
          <w:szCs w:val="18"/>
          <w:rtl/>
          <w:lang w:bidi="ar-EG"/>
        </w:rPr>
        <w:t>.</w:t>
      </w:r>
    </w:p>
  </w:footnote>
  <w:footnote w:id="39">
    <w:p w:rsidR="006B49DE" w:rsidRPr="000C2106" w:rsidRDefault="006B49DE" w:rsidP="006B49DE">
      <w:pPr>
        <w:pStyle w:val="FootnoteText"/>
        <w:tabs>
          <w:tab w:val="left" w:pos="360"/>
        </w:tabs>
        <w:bidi/>
        <w:ind w:firstLine="0"/>
        <w:rPr>
          <w:szCs w:val="18"/>
          <w:rtl/>
          <w:lang w:bidi="ar-EG"/>
        </w:rPr>
      </w:pPr>
      <w:r w:rsidRPr="000C2106">
        <w:rPr>
          <w:rStyle w:val="FootnoteReference"/>
          <w:szCs w:val="18"/>
          <w:u w:val="none"/>
          <w:vertAlign w:val="superscript"/>
        </w:rPr>
        <w:footnoteRef/>
      </w:r>
      <w:r w:rsidRPr="000C2106">
        <w:rPr>
          <w:szCs w:val="18"/>
          <w:rtl/>
        </w:rPr>
        <w:t xml:space="preserve"> </w:t>
      </w:r>
      <w:r w:rsidRPr="000C2106">
        <w:rPr>
          <w:szCs w:val="18"/>
          <w:rtl/>
          <w:lang w:bidi="ar-EG"/>
        </w:rPr>
        <w:tab/>
      </w:r>
      <w:hyperlink r:id="rId5" w:history="1">
        <w:r w:rsidRPr="00D87ACE">
          <w:rPr>
            <w:rStyle w:val="Hyperlink"/>
            <w:snapToGrid w:val="0"/>
            <w:kern w:val="18"/>
          </w:rPr>
          <w:t>UNEP/CBD/COP/13/8/Add.2/Rev.1</w:t>
        </w:r>
      </w:hyperlink>
      <w:r w:rsidRPr="000C2106">
        <w:rPr>
          <w:szCs w:val="18"/>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D1" w:rsidRPr="00954712" w:rsidRDefault="00292DB1" w:rsidP="005440A6">
    <w:pPr>
      <w:pStyle w:val="Header"/>
      <w:tabs>
        <w:tab w:val="clear" w:pos="4320"/>
        <w:tab w:val="clear" w:pos="8640"/>
      </w:tabs>
      <w:jc w:val="left"/>
      <w:rPr>
        <w:noProof/>
        <w:kern w:val="22"/>
      </w:rPr>
    </w:pPr>
    <w:r w:rsidRPr="00954712">
      <w:rPr>
        <w:noProof/>
        <w:kern w:val="22"/>
      </w:rPr>
      <w:t>CBD/SBI/2/2/Add.2</w:t>
    </w:r>
  </w:p>
  <w:p w:rsidR="00D80AD1" w:rsidRPr="00954712" w:rsidRDefault="00D80AD1" w:rsidP="005440A6">
    <w:pPr>
      <w:pStyle w:val="Header"/>
      <w:tabs>
        <w:tab w:val="clear" w:pos="4320"/>
        <w:tab w:val="clear" w:pos="8640"/>
      </w:tabs>
      <w:jc w:val="left"/>
      <w:rPr>
        <w:noProof/>
        <w:kern w:val="22"/>
      </w:rPr>
    </w:pPr>
    <w:r w:rsidRPr="00954712">
      <w:rPr>
        <w:noProof/>
        <w:kern w:val="22"/>
      </w:rPr>
      <w:t xml:space="preserve">Page </w:t>
    </w:r>
    <w:r w:rsidR="003E5E0D" w:rsidRPr="00954712">
      <w:rPr>
        <w:noProof/>
        <w:kern w:val="22"/>
      </w:rPr>
      <w:fldChar w:fldCharType="begin"/>
    </w:r>
    <w:r w:rsidRPr="00954712">
      <w:rPr>
        <w:noProof/>
        <w:kern w:val="22"/>
      </w:rPr>
      <w:instrText xml:space="preserve"> PAGE   \* MERGEFORMAT </w:instrText>
    </w:r>
    <w:r w:rsidR="003E5E0D" w:rsidRPr="00954712">
      <w:rPr>
        <w:noProof/>
        <w:kern w:val="22"/>
      </w:rPr>
      <w:fldChar w:fldCharType="separate"/>
    </w:r>
    <w:r w:rsidR="00B310C7">
      <w:rPr>
        <w:noProof/>
        <w:kern w:val="22"/>
      </w:rPr>
      <w:t>14</w:t>
    </w:r>
    <w:r w:rsidR="003E5E0D" w:rsidRPr="00954712">
      <w:rPr>
        <w:noProof/>
        <w:kern w:val="22"/>
      </w:rPr>
      <w:fldChar w:fldCharType="end"/>
    </w:r>
  </w:p>
  <w:p w:rsidR="00D80AD1" w:rsidRPr="00954712" w:rsidRDefault="00D80AD1"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AD1" w:rsidRPr="00954712" w:rsidRDefault="00292DB1" w:rsidP="00D87ACE">
    <w:pPr>
      <w:pStyle w:val="Header"/>
      <w:tabs>
        <w:tab w:val="clear" w:pos="4320"/>
        <w:tab w:val="clear" w:pos="8640"/>
      </w:tabs>
      <w:kinsoku w:val="0"/>
      <w:overflowPunct w:val="0"/>
      <w:autoSpaceDE w:val="0"/>
      <w:autoSpaceDN w:val="0"/>
      <w:jc w:val="right"/>
      <w:rPr>
        <w:noProof/>
        <w:kern w:val="22"/>
      </w:rPr>
    </w:pPr>
    <w:r w:rsidRPr="00954712">
      <w:rPr>
        <w:noProof/>
        <w:kern w:val="22"/>
      </w:rPr>
      <w:t>CBD/SBI/2/2/Add.2</w:t>
    </w:r>
  </w:p>
  <w:p w:rsidR="00D80AD1" w:rsidRPr="00954712" w:rsidRDefault="00D80AD1" w:rsidP="00D87ACE">
    <w:pPr>
      <w:pStyle w:val="Header"/>
      <w:tabs>
        <w:tab w:val="clear" w:pos="4320"/>
        <w:tab w:val="clear" w:pos="8640"/>
      </w:tabs>
      <w:kinsoku w:val="0"/>
      <w:overflowPunct w:val="0"/>
      <w:autoSpaceDE w:val="0"/>
      <w:autoSpaceDN w:val="0"/>
      <w:jc w:val="right"/>
      <w:rPr>
        <w:noProof/>
        <w:kern w:val="22"/>
      </w:rPr>
    </w:pPr>
    <w:r w:rsidRPr="00954712">
      <w:rPr>
        <w:noProof/>
        <w:kern w:val="22"/>
      </w:rPr>
      <w:t xml:space="preserve">Page </w:t>
    </w:r>
    <w:r w:rsidR="003E5E0D" w:rsidRPr="00954712">
      <w:rPr>
        <w:noProof/>
        <w:kern w:val="22"/>
      </w:rPr>
      <w:fldChar w:fldCharType="begin"/>
    </w:r>
    <w:r w:rsidRPr="00954712">
      <w:rPr>
        <w:noProof/>
        <w:kern w:val="22"/>
      </w:rPr>
      <w:instrText xml:space="preserve"> PAGE   \* MERGEFORMAT </w:instrText>
    </w:r>
    <w:r w:rsidR="003E5E0D" w:rsidRPr="00954712">
      <w:rPr>
        <w:noProof/>
        <w:kern w:val="22"/>
      </w:rPr>
      <w:fldChar w:fldCharType="separate"/>
    </w:r>
    <w:r w:rsidR="00CF13DE">
      <w:rPr>
        <w:noProof/>
        <w:kern w:val="22"/>
      </w:rPr>
      <w:t>11</w:t>
    </w:r>
    <w:r w:rsidR="003E5E0D" w:rsidRPr="00954712">
      <w:rPr>
        <w:noProof/>
        <w:kern w:val="22"/>
      </w:rPr>
      <w:fldChar w:fldCharType="end"/>
    </w:r>
  </w:p>
  <w:p w:rsidR="00D80AD1" w:rsidRPr="00954712" w:rsidRDefault="00D80AD1" w:rsidP="00D87ACE">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D382E"/>
    <w:multiLevelType w:val="hybridMultilevel"/>
    <w:tmpl w:val="0D1C34DA"/>
    <w:lvl w:ilvl="0" w:tplc="214CCC86">
      <w:start w:val="1"/>
      <w:numFmt w:val="decimal"/>
      <w:lvlText w:val="8.%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1FB3431"/>
    <w:multiLevelType w:val="hybridMultilevel"/>
    <w:tmpl w:val="1F381FF6"/>
    <w:lvl w:ilvl="0" w:tplc="D3D89D5A">
      <w:start w:val="1"/>
      <w:numFmt w:val="decimal"/>
      <w:lvlText w:val="8.%1."/>
      <w:lvlJc w:val="left"/>
      <w:pPr>
        <w:ind w:left="1080" w:hanging="360"/>
      </w:pPr>
      <w:rPr>
        <w:rFonts w:eastAsia="MS Mincho"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042105AB"/>
    <w:multiLevelType w:val="hybridMultilevel"/>
    <w:tmpl w:val="D8E42BC4"/>
    <w:lvl w:ilvl="0" w:tplc="C2D4ED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9CA3496"/>
    <w:multiLevelType w:val="multilevel"/>
    <w:tmpl w:val="1A3856FC"/>
    <w:lvl w:ilvl="0">
      <w:start w:val="5"/>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0DB33FC5"/>
    <w:multiLevelType w:val="multilevel"/>
    <w:tmpl w:val="6BC4AF3C"/>
    <w:lvl w:ilvl="0">
      <w:start w:val="12"/>
      <w:numFmt w:val="decimal"/>
      <w:lvlText w:val="%1."/>
      <w:lvlJc w:val="left"/>
      <w:pPr>
        <w:ind w:left="0" w:firstLine="0"/>
      </w:pPr>
      <w:rPr>
        <w:rFonts w:cs="Times New Roman" w:hint="default"/>
      </w:rPr>
    </w:lvl>
    <w:lvl w:ilvl="1">
      <w:start w:val="2"/>
      <w:numFmt w:val="decimal"/>
      <w:lvlText w:val="%1.%2."/>
      <w:lvlJc w:val="left"/>
      <w:pPr>
        <w:ind w:left="0" w:firstLine="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360" w:hanging="36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720" w:hanging="72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14">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A55D6"/>
    <w:multiLevelType w:val="hybridMultilevel"/>
    <w:tmpl w:val="0D083972"/>
    <w:lvl w:ilvl="0" w:tplc="263C486E">
      <w:start w:val="1"/>
      <w:numFmt w:val="decimal"/>
      <w:lvlText w:val="5.3.%1."/>
      <w:lvlJc w:val="left"/>
      <w:pPr>
        <w:ind w:left="216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163AD6"/>
    <w:multiLevelType w:val="hybridMultilevel"/>
    <w:tmpl w:val="20C2241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564925"/>
    <w:multiLevelType w:val="hybridMultilevel"/>
    <w:tmpl w:val="F7B2F33E"/>
    <w:lvl w:ilvl="0" w:tplc="0C4AB220">
      <w:start w:val="1"/>
      <w:numFmt w:val="decimal"/>
      <w:lvlText w:val="7.%1."/>
      <w:lvlJc w:val="left"/>
      <w:pPr>
        <w:ind w:left="144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0">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4243D8"/>
    <w:multiLevelType w:val="hybridMultilevel"/>
    <w:tmpl w:val="00CAA0EC"/>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107F15"/>
    <w:multiLevelType w:val="multilevel"/>
    <w:tmpl w:val="544EA59A"/>
    <w:lvl w:ilvl="0">
      <w:start w:val="12"/>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EC40A97"/>
    <w:multiLevelType w:val="hybridMultilevel"/>
    <w:tmpl w:val="539C2078"/>
    <w:lvl w:ilvl="0" w:tplc="D562CB36">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F63584E"/>
    <w:multiLevelType w:val="hybridMultilevel"/>
    <w:tmpl w:val="DA10539A"/>
    <w:lvl w:ilvl="0" w:tplc="AE30DAF8">
      <w:start w:val="1"/>
      <w:numFmt w:val="decimal"/>
      <w:lvlText w:val="10.%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27219CA"/>
    <w:multiLevelType w:val="hybridMultilevel"/>
    <w:tmpl w:val="0F245256"/>
    <w:lvl w:ilvl="0" w:tplc="1F429E6C">
      <w:start w:val="1"/>
      <w:numFmt w:val="decimal"/>
      <w:lvlText w:val="%1."/>
      <w:lvlJc w:val="left"/>
      <w:pPr>
        <w:ind w:left="30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56851BD"/>
    <w:multiLevelType w:val="hybridMultilevel"/>
    <w:tmpl w:val="41F821D0"/>
    <w:lvl w:ilvl="0" w:tplc="E560467A">
      <w:start w:val="1"/>
      <w:numFmt w:val="decimal"/>
      <w:lvlText w:val="5.%1."/>
      <w:lvlJc w:val="left"/>
      <w:pPr>
        <w:ind w:left="360" w:hanging="360"/>
      </w:pPr>
      <w:rPr>
        <w:rFonts w:eastAsia="MS Mincho"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6011E81"/>
    <w:multiLevelType w:val="multilevel"/>
    <w:tmpl w:val="E56E59C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26216FD1"/>
    <w:multiLevelType w:val="multilevel"/>
    <w:tmpl w:val="08AC1BD0"/>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7">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9170178"/>
    <w:multiLevelType w:val="multilevel"/>
    <w:tmpl w:val="732AB310"/>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2A566F77"/>
    <w:multiLevelType w:val="hybridMultilevel"/>
    <w:tmpl w:val="045C9CD6"/>
    <w:lvl w:ilvl="0" w:tplc="D3D89D5A">
      <w:start w:val="1"/>
      <w:numFmt w:val="decimal"/>
      <w:lvlText w:val="8.%1."/>
      <w:lvlJc w:val="left"/>
      <w:pPr>
        <w:ind w:left="2160" w:hanging="360"/>
      </w:pPr>
      <w:rPr>
        <w:rFonts w:eastAsia="MS Mincho"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2BA16B6B"/>
    <w:multiLevelType w:val="hybridMultilevel"/>
    <w:tmpl w:val="4CB4FAE6"/>
    <w:lvl w:ilvl="0" w:tplc="D3D89D5A">
      <w:start w:val="1"/>
      <w:numFmt w:val="decimal"/>
      <w:lvlText w:val="8.%1."/>
      <w:lvlJc w:val="left"/>
      <w:pPr>
        <w:ind w:left="1440" w:hanging="360"/>
      </w:pPr>
      <w:rPr>
        <w:rFonts w:eastAsia="MS Mincho"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2D0A12A3"/>
    <w:multiLevelType w:val="multilevel"/>
    <w:tmpl w:val="7870C202"/>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D415771"/>
    <w:multiLevelType w:val="hybridMultilevel"/>
    <w:tmpl w:val="4F5A89DE"/>
    <w:lvl w:ilvl="0" w:tplc="9A5A1ACE">
      <w:start w:val="1"/>
      <w:numFmt w:val="decimal"/>
      <w:lvlText w:val="12.%1."/>
      <w:lvlJc w:val="left"/>
      <w:pPr>
        <w:ind w:left="1080" w:hanging="360"/>
      </w:pPr>
      <w:rPr>
        <w:rFonts w:eastAsia="MS Mincho"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0">
    <w:nsid w:val="317642D9"/>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3C705002"/>
    <w:multiLevelType w:val="multilevel"/>
    <w:tmpl w:val="3B9885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C9A1798"/>
    <w:multiLevelType w:val="hybridMultilevel"/>
    <w:tmpl w:val="0F245256"/>
    <w:lvl w:ilvl="0" w:tplc="1F429E6C">
      <w:start w:val="1"/>
      <w:numFmt w:val="decimal"/>
      <w:lvlText w:val="%1."/>
      <w:lvlJc w:val="left"/>
      <w:pPr>
        <w:ind w:left="1080" w:hanging="360"/>
      </w:pPr>
      <w:rPr>
        <w:b w:val="0"/>
        <w:b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3CE43C91"/>
    <w:multiLevelType w:val="singleLevel"/>
    <w:tmpl w:val="7174E9C0"/>
    <w:lvl w:ilvl="0">
      <w:start w:val="1"/>
      <w:numFmt w:val="decimal"/>
      <w:lvlText w:val="%1."/>
      <w:lvlJc w:val="left"/>
      <w:pPr>
        <w:tabs>
          <w:tab w:val="num" w:pos="360"/>
        </w:tabs>
        <w:ind w:left="0" w:firstLine="0"/>
      </w:pPr>
    </w:lvl>
  </w:abstractNum>
  <w:abstractNum w:abstractNumId="58">
    <w:nsid w:val="3D1B784A"/>
    <w:multiLevelType w:val="hybridMultilevel"/>
    <w:tmpl w:val="EA7E7952"/>
    <w:lvl w:ilvl="0" w:tplc="B5AE727A">
      <w:start w:val="1"/>
      <w:numFmt w:val="decimal"/>
      <w:lvlText w:val="%1."/>
      <w:lvlJc w:val="left"/>
      <w:pPr>
        <w:ind w:left="1080" w:hanging="720"/>
      </w:pPr>
      <w:rPr>
        <w:rFonts w:hint="default"/>
        <w:b w:val="0"/>
      </w:rPr>
    </w:lvl>
    <w:lvl w:ilvl="1" w:tplc="214CCC86">
      <w:start w:val="1"/>
      <w:numFmt w:val="decimal"/>
      <w:lvlText w:val="8.%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nsid w:val="458B2A5F"/>
    <w:multiLevelType w:val="hybridMultilevel"/>
    <w:tmpl w:val="0F245256"/>
    <w:lvl w:ilvl="0" w:tplc="1F429E6C">
      <w:start w:val="1"/>
      <w:numFmt w:val="decimal"/>
      <w:lvlText w:val="%1."/>
      <w:lvlJc w:val="left"/>
      <w:pPr>
        <w:ind w:left="45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66">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7">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0">
    <w:nsid w:val="4A473A5C"/>
    <w:multiLevelType w:val="multilevel"/>
    <w:tmpl w:val="3120F548"/>
    <w:lvl w:ilvl="0">
      <w:start w:val="1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C4C367F"/>
    <w:multiLevelType w:val="hybridMultilevel"/>
    <w:tmpl w:val="839C910E"/>
    <w:lvl w:ilvl="0" w:tplc="52A6345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4E0442B4"/>
    <w:multiLevelType w:val="multilevel"/>
    <w:tmpl w:val="BA608EA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arabicAbjad"/>
      <w:lvlText w:val="(%2)"/>
      <w:lvlJc w:val="left"/>
      <w:pPr>
        <w:tabs>
          <w:tab w:val="num" w:pos="1440"/>
        </w:tabs>
        <w:ind w:left="0" w:firstLine="720"/>
      </w:pPr>
      <w:rPr>
        <w:rFonts w:hint="default"/>
        <w:b w:val="0"/>
        <w:i w:val="0"/>
        <w:lang w:val="en-GB"/>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E0D0FD7"/>
    <w:multiLevelType w:val="multilevel"/>
    <w:tmpl w:val="BDB688D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4">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0F9217F"/>
    <w:multiLevelType w:val="hybridMultilevel"/>
    <w:tmpl w:val="948A14CA"/>
    <w:lvl w:ilvl="0" w:tplc="7E12E7E2">
      <w:start w:val="1"/>
      <w:numFmt w:val="lowerLetter"/>
      <w:lvlText w:val="(%1)"/>
      <w:lvlJc w:val="left"/>
      <w:pPr>
        <w:tabs>
          <w:tab w:val="num" w:pos="720"/>
        </w:tabs>
        <w:ind w:left="720" w:hanging="72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77">
    <w:nsid w:val="52887001"/>
    <w:multiLevelType w:val="multilevel"/>
    <w:tmpl w:val="40349D22"/>
    <w:lvl w:ilvl="0">
      <w:start w:val="12"/>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8">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612300C"/>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6A7102D"/>
    <w:multiLevelType w:val="hybridMultilevel"/>
    <w:tmpl w:val="B9AC85D2"/>
    <w:lvl w:ilvl="0" w:tplc="6F28C9C8">
      <w:start w:val="1"/>
      <w:numFmt w:val="decimal"/>
      <w:lvlText w:val="8.1.%1."/>
      <w:lvlJc w:val="left"/>
      <w:pPr>
        <w:ind w:left="1530" w:hanging="360"/>
      </w:pPr>
      <w:rPr>
        <w:rFonts w:eastAsia="MS Mincho"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1">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nsid w:val="59E57DD8"/>
    <w:multiLevelType w:val="multilevel"/>
    <w:tmpl w:val="B65EE8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nsid w:val="5AE42D92"/>
    <w:multiLevelType w:val="hybridMultilevel"/>
    <w:tmpl w:val="E40AEA0E"/>
    <w:lvl w:ilvl="0" w:tplc="9A5A1ACE">
      <w:start w:val="1"/>
      <w:numFmt w:val="decimal"/>
      <w:lvlText w:val="12.%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BB91A5C"/>
    <w:multiLevelType w:val="hybridMultilevel"/>
    <w:tmpl w:val="01F43F4C"/>
    <w:lvl w:ilvl="0" w:tplc="983C9F9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89">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E5122ED"/>
    <w:multiLevelType w:val="hybridMultilevel"/>
    <w:tmpl w:val="50F89FD6"/>
    <w:lvl w:ilvl="0" w:tplc="7FAA3AF4">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E7F6714"/>
    <w:multiLevelType w:val="multilevel"/>
    <w:tmpl w:val="679E8494"/>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2">
    <w:nsid w:val="5EC33090"/>
    <w:multiLevelType w:val="multilevel"/>
    <w:tmpl w:val="A504061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3">
    <w:nsid w:val="608B0D67"/>
    <w:multiLevelType w:val="multilevel"/>
    <w:tmpl w:val="A0601B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3045E1E"/>
    <w:multiLevelType w:val="multilevel"/>
    <w:tmpl w:val="FD60FA5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4933052"/>
    <w:multiLevelType w:val="hybridMultilevel"/>
    <w:tmpl w:val="8836F49A"/>
    <w:lvl w:ilvl="0" w:tplc="8C5E693E">
      <w:start w:val="1"/>
      <w:numFmt w:val="decimal"/>
      <w:lvlText w:val="11.3.%1."/>
      <w:lvlJc w:val="left"/>
      <w:pPr>
        <w:ind w:left="180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6033C9C"/>
    <w:multiLevelType w:val="multilevel"/>
    <w:tmpl w:val="C478CB1A"/>
    <w:lvl w:ilvl="0">
      <w:start w:val="11"/>
      <w:numFmt w:val="decimal"/>
      <w:lvlText w:val="%1"/>
      <w:lvlJc w:val="left"/>
      <w:pPr>
        <w:ind w:left="420" w:hanging="420"/>
      </w:pPr>
      <w:rPr>
        <w:rFonts w:hint="default"/>
      </w:rPr>
    </w:lvl>
    <w:lvl w:ilvl="1">
      <w:start w:val="1"/>
      <w:numFmt w:val="decimal"/>
      <w:lvlText w:val="%1.%2"/>
      <w:lvlJc w:val="left"/>
      <w:pPr>
        <w:ind w:left="2220" w:hanging="4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03">
    <w:nsid w:val="664E1103"/>
    <w:multiLevelType w:val="hybridMultilevel"/>
    <w:tmpl w:val="166EF7D8"/>
    <w:lvl w:ilvl="0" w:tplc="B5AE727A">
      <w:start w:val="1"/>
      <w:numFmt w:val="decimal"/>
      <w:lvlText w:val="%1."/>
      <w:lvlJc w:val="left"/>
      <w:pPr>
        <w:ind w:left="1080" w:hanging="720"/>
      </w:pPr>
      <w:rPr>
        <w:rFonts w:hint="default"/>
        <w:b w:val="0"/>
      </w:rPr>
    </w:lvl>
    <w:lvl w:ilvl="1" w:tplc="F6F6E078">
      <w:start w:val="1"/>
      <w:numFmt w:val="decimal"/>
      <w:lvlText w:val="12.%2."/>
      <w:lvlJc w:val="left"/>
      <w:pPr>
        <w:ind w:left="1440" w:hanging="360"/>
      </w:pPr>
      <w:rPr>
        <w:rFonts w:hint="default"/>
      </w:rPr>
    </w:lvl>
    <w:lvl w:ilvl="2" w:tplc="E7DA577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77006BD"/>
    <w:multiLevelType w:val="hybridMultilevel"/>
    <w:tmpl w:val="E7B21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8014AF5"/>
    <w:multiLevelType w:val="multilevel"/>
    <w:tmpl w:val="C48A99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6">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D786413"/>
    <w:multiLevelType w:val="hybridMultilevel"/>
    <w:tmpl w:val="6AA6CB38"/>
    <w:lvl w:ilvl="0" w:tplc="75DCE9E4">
      <w:start w:val="1"/>
      <w:numFmt w:val="lowerLetter"/>
      <w:lvlText w:val="(%1)"/>
      <w:lvlJc w:val="left"/>
      <w:pPr>
        <w:ind w:left="1080" w:hanging="360"/>
      </w:pPr>
      <w:rPr>
        <w:rFonts w:hint="default"/>
        <w:i w:val="0"/>
      </w:rPr>
    </w:lvl>
    <w:lvl w:ilvl="1" w:tplc="A4B09DFE">
      <w:start w:val="1"/>
      <w:numFmt w:val="lowerRoman"/>
      <w:lvlText w:val="(%2)"/>
      <w:lvlJc w:val="right"/>
      <w:pPr>
        <w:ind w:left="1800" w:hanging="360"/>
      </w:pPr>
      <w:rPr>
        <w:rFonts w:hint="default"/>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DF22951"/>
    <w:multiLevelType w:val="hybridMultilevel"/>
    <w:tmpl w:val="545E2592"/>
    <w:lvl w:ilvl="0" w:tplc="5404817E">
      <w:start w:val="1"/>
      <w:numFmt w:val="decimal"/>
      <w:lvlText w:val="14.%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73FD092E"/>
    <w:multiLevelType w:val="multilevel"/>
    <w:tmpl w:val="7870C20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5F466BF"/>
    <w:multiLevelType w:val="hybridMultilevel"/>
    <w:tmpl w:val="D22E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602101"/>
    <w:multiLevelType w:val="multilevel"/>
    <w:tmpl w:val="765E86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7A2A7CB6"/>
    <w:multiLevelType w:val="hybridMultilevel"/>
    <w:tmpl w:val="5FFE1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8"/>
  </w:num>
  <w:num w:numId="3">
    <w:abstractNumId w:val="41"/>
  </w:num>
  <w:num w:numId="4">
    <w:abstractNumId w:val="110"/>
  </w:num>
  <w:num w:numId="5">
    <w:abstractNumId w:val="49"/>
  </w:num>
  <w:num w:numId="6">
    <w:abstractNumId w:val="72"/>
  </w:num>
  <w:num w:numId="7">
    <w:abstractNumId w:val="62"/>
  </w:num>
  <w:num w:numId="8">
    <w:abstractNumId w:val="54"/>
  </w:num>
  <w:num w:numId="9">
    <w:abstractNumId w:val="72"/>
  </w:num>
  <w:num w:numId="10">
    <w:abstractNumId w:val="68"/>
  </w:num>
  <w:num w:numId="11">
    <w:abstractNumId w:val="57"/>
  </w:num>
  <w:num w:numId="12">
    <w:abstractNumId w:val="30"/>
  </w:num>
  <w:num w:numId="13">
    <w:abstractNumId w:val="66"/>
  </w:num>
  <w:num w:numId="14">
    <w:abstractNumId w:val="3"/>
  </w:num>
  <w:num w:numId="15">
    <w:abstractNumId w:val="121"/>
  </w:num>
  <w:num w:numId="16">
    <w:abstractNumId w:val="86"/>
  </w:num>
  <w:num w:numId="17">
    <w:abstractNumId w:val="27"/>
  </w:num>
  <w:num w:numId="18">
    <w:abstractNumId w:val="72"/>
    <w:lvlOverride w:ilvl="0">
      <w:startOverride w:val="1"/>
    </w:lvlOverride>
    <w:lvlOverride w:ilvl="1">
      <w:startOverride w:val="1"/>
    </w:lvlOverride>
    <w:lvlOverride w:ilvl="2">
      <w:startOverride w:val="2"/>
    </w:lvlOverride>
  </w:num>
  <w:num w:numId="19">
    <w:abstractNumId w:val="72"/>
    <w:lvlOverride w:ilvl="0">
      <w:startOverride w:val="1"/>
    </w:lvlOverride>
    <w:lvlOverride w:ilvl="1">
      <w:startOverride w:val="1"/>
    </w:lvlOverride>
    <w:lvlOverride w:ilvl="2">
      <w:startOverride w:val="3"/>
    </w:lvlOverride>
  </w:num>
  <w:num w:numId="20">
    <w:abstractNumId w:val="22"/>
  </w:num>
  <w:num w:numId="21">
    <w:abstractNumId w:val="87"/>
  </w:num>
  <w:num w:numId="22">
    <w:abstractNumId w:val="78"/>
  </w:num>
  <w:num w:numId="23">
    <w:abstractNumId w:val="36"/>
  </w:num>
  <w:num w:numId="24">
    <w:abstractNumId w:val="94"/>
  </w:num>
  <w:num w:numId="25">
    <w:abstractNumId w:val="101"/>
  </w:num>
  <w:num w:numId="26">
    <w:abstractNumId w:val="65"/>
  </w:num>
  <w:num w:numId="27">
    <w:abstractNumId w:val="72"/>
  </w:num>
  <w:num w:numId="28">
    <w:abstractNumId w:val="72"/>
  </w:num>
  <w:num w:numId="29">
    <w:abstractNumId w:val="72"/>
  </w:num>
  <w:num w:numId="30">
    <w:abstractNumId w:val="72"/>
  </w:num>
  <w:num w:numId="31">
    <w:abstractNumId w:val="4"/>
  </w:num>
  <w:num w:numId="32">
    <w:abstractNumId w:val="14"/>
  </w:num>
  <w:num w:numId="33">
    <w:abstractNumId w:val="17"/>
  </w:num>
  <w:num w:numId="34">
    <w:abstractNumId w:val="0"/>
  </w:num>
  <w:num w:numId="35">
    <w:abstractNumId w:val="88"/>
  </w:num>
  <w:num w:numId="36">
    <w:abstractNumId w:val="100"/>
  </w:num>
  <w:num w:numId="37">
    <w:abstractNumId w:val="20"/>
  </w:num>
  <w:num w:numId="38">
    <w:abstractNumId w:val="32"/>
  </w:num>
  <w:num w:numId="39">
    <w:abstractNumId w:val="52"/>
  </w:num>
  <w:num w:numId="40">
    <w:abstractNumId w:val="112"/>
  </w:num>
  <w:num w:numId="41">
    <w:abstractNumId w:val="19"/>
  </w:num>
  <w:num w:numId="42">
    <w:abstractNumId w:val="96"/>
  </w:num>
  <w:num w:numId="43">
    <w:abstractNumId w:val="75"/>
  </w:num>
  <w:num w:numId="44">
    <w:abstractNumId w:val="37"/>
  </w:num>
  <w:num w:numId="45">
    <w:abstractNumId w:val="47"/>
  </w:num>
  <w:num w:numId="46">
    <w:abstractNumId w:val="51"/>
  </w:num>
  <w:num w:numId="47">
    <w:abstractNumId w:val="117"/>
  </w:num>
  <w:num w:numId="48">
    <w:abstractNumId w:val="114"/>
  </w:num>
  <w:num w:numId="49">
    <w:abstractNumId w:val="98"/>
  </w:num>
  <w:num w:numId="50">
    <w:abstractNumId w:val="119"/>
  </w:num>
  <w:num w:numId="51">
    <w:abstractNumId w:val="106"/>
  </w:num>
  <w:num w:numId="52">
    <w:abstractNumId w:val="71"/>
  </w:num>
  <w:num w:numId="53">
    <w:abstractNumId w:val="67"/>
  </w:num>
  <w:num w:numId="54">
    <w:abstractNumId w:val="8"/>
  </w:num>
  <w:num w:numId="55">
    <w:abstractNumId w:val="29"/>
  </w:num>
  <w:num w:numId="56">
    <w:abstractNumId w:val="7"/>
  </w:num>
  <w:num w:numId="57">
    <w:abstractNumId w:val="108"/>
  </w:num>
  <w:num w:numId="58">
    <w:abstractNumId w:val="53"/>
  </w:num>
  <w:num w:numId="59">
    <w:abstractNumId w:val="61"/>
  </w:num>
  <w:num w:numId="60">
    <w:abstractNumId w:val="74"/>
  </w:num>
  <w:num w:numId="61">
    <w:abstractNumId w:val="60"/>
  </w:num>
  <w:num w:numId="62">
    <w:abstractNumId w:val="11"/>
  </w:num>
  <w:num w:numId="63">
    <w:abstractNumId w:val="81"/>
  </w:num>
  <w:num w:numId="64">
    <w:abstractNumId w:val="23"/>
  </w:num>
  <w:num w:numId="65">
    <w:abstractNumId w:val="6"/>
  </w:num>
  <w:num w:numId="66">
    <w:abstractNumId w:val="95"/>
  </w:num>
  <w:num w:numId="67">
    <w:abstractNumId w:val="59"/>
  </w:num>
  <w:num w:numId="68">
    <w:abstractNumId w:val="64"/>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8"/>
  </w:num>
  <w:num w:numId="73">
    <w:abstractNumId w:val="72"/>
  </w:num>
  <w:num w:numId="74">
    <w:abstractNumId w:val="72"/>
  </w:num>
  <w:num w:numId="75">
    <w:abstractNumId w:val="72"/>
  </w:num>
  <w:num w:numId="76">
    <w:abstractNumId w:val="43"/>
  </w:num>
  <w:num w:numId="77">
    <w:abstractNumId w:val="69"/>
  </w:num>
  <w:num w:numId="78">
    <w:abstractNumId w:val="62"/>
    <w:lvlOverride w:ilvl="0">
      <w:startOverride w:val="1"/>
    </w:lvlOverride>
  </w:num>
  <w:num w:numId="79">
    <w:abstractNumId w:val="12"/>
  </w:num>
  <w:num w:numId="80">
    <w:abstractNumId w:val="82"/>
  </w:num>
  <w:num w:numId="81">
    <w:abstractNumId w:val="35"/>
  </w:num>
  <w:num w:numId="82">
    <w:abstractNumId w:val="21"/>
  </w:num>
  <w:num w:numId="83">
    <w:abstractNumId w:val="109"/>
  </w:num>
  <w:num w:numId="84">
    <w:abstractNumId w:val="85"/>
  </w:num>
  <w:num w:numId="85">
    <w:abstractNumId w:val="26"/>
  </w:num>
  <w:num w:numId="86">
    <w:abstractNumId w:val="92"/>
  </w:num>
  <w:num w:numId="87">
    <w:abstractNumId w:val="102"/>
  </w:num>
  <w:num w:numId="88">
    <w:abstractNumId w:val="58"/>
  </w:num>
  <w:num w:numId="89">
    <w:abstractNumId w:val="105"/>
  </w:num>
  <w:num w:numId="90">
    <w:abstractNumId w:val="16"/>
  </w:num>
  <w:num w:numId="91">
    <w:abstractNumId w:val="10"/>
  </w:num>
  <w:num w:numId="92">
    <w:abstractNumId w:val="50"/>
  </w:num>
  <w:num w:numId="93">
    <w:abstractNumId w:val="115"/>
  </w:num>
  <w:num w:numId="94">
    <w:abstractNumId w:val="79"/>
  </w:num>
  <w:num w:numId="95">
    <w:abstractNumId w:val="33"/>
  </w:num>
  <w:num w:numId="96">
    <w:abstractNumId w:val="15"/>
  </w:num>
  <w:num w:numId="97">
    <w:abstractNumId w:val="18"/>
  </w:num>
  <w:num w:numId="98">
    <w:abstractNumId w:val="90"/>
  </w:num>
  <w:num w:numId="99">
    <w:abstractNumId w:val="45"/>
  </w:num>
  <w:num w:numId="100">
    <w:abstractNumId w:val="84"/>
  </w:num>
  <w:num w:numId="101">
    <w:abstractNumId w:val="83"/>
  </w:num>
  <w:num w:numId="102">
    <w:abstractNumId w:val="34"/>
  </w:num>
  <w:num w:numId="103">
    <w:abstractNumId w:val="73"/>
  </w:num>
  <w:num w:numId="104">
    <w:abstractNumId w:val="97"/>
  </w:num>
  <w:num w:numId="105">
    <w:abstractNumId w:val="2"/>
  </w:num>
  <w:num w:numId="106">
    <w:abstractNumId w:val="80"/>
  </w:num>
  <w:num w:numId="107">
    <w:abstractNumId w:val="99"/>
  </w:num>
  <w:num w:numId="108">
    <w:abstractNumId w:val="113"/>
  </w:num>
  <w:num w:numId="109">
    <w:abstractNumId w:val="39"/>
  </w:num>
  <w:num w:numId="110">
    <w:abstractNumId w:val="40"/>
  </w:num>
  <w:num w:numId="111">
    <w:abstractNumId w:val="70"/>
  </w:num>
  <w:num w:numId="112">
    <w:abstractNumId w:val="24"/>
  </w:num>
  <w:num w:numId="113">
    <w:abstractNumId w:val="77"/>
  </w:num>
  <w:num w:numId="114">
    <w:abstractNumId w:val="93"/>
  </w:num>
  <w:num w:numId="115">
    <w:abstractNumId w:val="42"/>
  </w:num>
  <w:num w:numId="116">
    <w:abstractNumId w:val="111"/>
  </w:num>
  <w:num w:numId="117">
    <w:abstractNumId w:val="13"/>
  </w:num>
  <w:num w:numId="118">
    <w:abstractNumId w:val="103"/>
  </w:num>
  <w:num w:numId="119">
    <w:abstractNumId w:val="25"/>
  </w:num>
  <w:num w:numId="120">
    <w:abstractNumId w:val="55"/>
  </w:num>
  <w:num w:numId="121">
    <w:abstractNumId w:val="1"/>
  </w:num>
  <w:num w:numId="122">
    <w:abstractNumId w:val="38"/>
  </w:num>
  <w:num w:numId="123">
    <w:abstractNumId w:val="91"/>
  </w:num>
  <w:num w:numId="124">
    <w:abstractNumId w:val="104"/>
  </w:num>
  <w:num w:numId="125">
    <w:abstractNumId w:val="107"/>
  </w:num>
  <w:num w:numId="126">
    <w:abstractNumId w:val="116"/>
  </w:num>
  <w:num w:numId="127">
    <w:abstractNumId w:val="76"/>
  </w:num>
  <w:num w:numId="128">
    <w:abstractNumId w:val="5"/>
  </w:num>
  <w:num w:numId="129">
    <w:abstractNumId w:val="56"/>
  </w:num>
  <w:num w:numId="130">
    <w:abstractNumId w:val="63"/>
  </w:num>
  <w:num w:numId="131">
    <w:abstractNumId w:val="31"/>
  </w:num>
  <w:num w:numId="132">
    <w:abstractNumId w:val="72"/>
  </w:num>
  <w:num w:numId="133">
    <w:abstractNumId w:val="9"/>
  </w:num>
  <w:num w:numId="134">
    <w:abstractNumId w:val="28"/>
  </w:num>
  <w:num w:numId="135">
    <w:abstractNumId w:val="72"/>
  </w:num>
  <w:num w:numId="136">
    <w:abstractNumId w:val="89"/>
  </w:num>
  <w:num w:numId="137">
    <w:abstractNumId w:val="7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5B3B"/>
    <w:rsid w:val="0000058F"/>
    <w:rsid w:val="00001AD4"/>
    <w:rsid w:val="00017319"/>
    <w:rsid w:val="000219AC"/>
    <w:rsid w:val="00031A3D"/>
    <w:rsid w:val="00031D24"/>
    <w:rsid w:val="000335B7"/>
    <w:rsid w:val="00035214"/>
    <w:rsid w:val="00037873"/>
    <w:rsid w:val="00037C3A"/>
    <w:rsid w:val="0004006A"/>
    <w:rsid w:val="00046709"/>
    <w:rsid w:val="000504F8"/>
    <w:rsid w:val="00051FC1"/>
    <w:rsid w:val="00052C8E"/>
    <w:rsid w:val="00054381"/>
    <w:rsid w:val="00056018"/>
    <w:rsid w:val="00056186"/>
    <w:rsid w:val="0006160A"/>
    <w:rsid w:val="0006272E"/>
    <w:rsid w:val="00070492"/>
    <w:rsid w:val="000711E1"/>
    <w:rsid w:val="0007267A"/>
    <w:rsid w:val="00073708"/>
    <w:rsid w:val="00083F3E"/>
    <w:rsid w:val="00086F16"/>
    <w:rsid w:val="00090F6C"/>
    <w:rsid w:val="0009483D"/>
    <w:rsid w:val="000A00BC"/>
    <w:rsid w:val="000A5E0A"/>
    <w:rsid w:val="000B0F98"/>
    <w:rsid w:val="000B10A7"/>
    <w:rsid w:val="000B26B6"/>
    <w:rsid w:val="000B61B3"/>
    <w:rsid w:val="000B654F"/>
    <w:rsid w:val="000C2106"/>
    <w:rsid w:val="000C2923"/>
    <w:rsid w:val="000C4880"/>
    <w:rsid w:val="000C5DD5"/>
    <w:rsid w:val="000D45C4"/>
    <w:rsid w:val="000D4D95"/>
    <w:rsid w:val="000D6D35"/>
    <w:rsid w:val="000E00FF"/>
    <w:rsid w:val="000E47E1"/>
    <w:rsid w:val="000E554E"/>
    <w:rsid w:val="000E637D"/>
    <w:rsid w:val="000E78AF"/>
    <w:rsid w:val="000E7E6A"/>
    <w:rsid w:val="000F4D9F"/>
    <w:rsid w:val="000F63AB"/>
    <w:rsid w:val="001060FB"/>
    <w:rsid w:val="001071F5"/>
    <w:rsid w:val="00120349"/>
    <w:rsid w:val="0012122D"/>
    <w:rsid w:val="0012214B"/>
    <w:rsid w:val="00131F48"/>
    <w:rsid w:val="00132945"/>
    <w:rsid w:val="00132CDA"/>
    <w:rsid w:val="00132F87"/>
    <w:rsid w:val="001371BD"/>
    <w:rsid w:val="00151073"/>
    <w:rsid w:val="00151744"/>
    <w:rsid w:val="001524E6"/>
    <w:rsid w:val="001562E0"/>
    <w:rsid w:val="0016083D"/>
    <w:rsid w:val="00160F74"/>
    <w:rsid w:val="001624B0"/>
    <w:rsid w:val="0016303B"/>
    <w:rsid w:val="00166030"/>
    <w:rsid w:val="00166367"/>
    <w:rsid w:val="001815A4"/>
    <w:rsid w:val="00192E06"/>
    <w:rsid w:val="001971BB"/>
    <w:rsid w:val="001A5072"/>
    <w:rsid w:val="001A600B"/>
    <w:rsid w:val="001B2DE7"/>
    <w:rsid w:val="001C1B78"/>
    <w:rsid w:val="001D4098"/>
    <w:rsid w:val="001D68F7"/>
    <w:rsid w:val="001E14AC"/>
    <w:rsid w:val="001F1A8E"/>
    <w:rsid w:val="001F5A46"/>
    <w:rsid w:val="001F6379"/>
    <w:rsid w:val="001F6740"/>
    <w:rsid w:val="00200350"/>
    <w:rsid w:val="00201461"/>
    <w:rsid w:val="00204415"/>
    <w:rsid w:val="00207A6E"/>
    <w:rsid w:val="002115FF"/>
    <w:rsid w:val="00212CCF"/>
    <w:rsid w:val="00213680"/>
    <w:rsid w:val="00220EE1"/>
    <w:rsid w:val="00223BE1"/>
    <w:rsid w:val="002247D1"/>
    <w:rsid w:val="00224B92"/>
    <w:rsid w:val="00224FB9"/>
    <w:rsid w:val="002273F3"/>
    <w:rsid w:val="00227547"/>
    <w:rsid w:val="002315FB"/>
    <w:rsid w:val="002357E1"/>
    <w:rsid w:val="00242E55"/>
    <w:rsid w:val="00252897"/>
    <w:rsid w:val="00256E2C"/>
    <w:rsid w:val="002601A1"/>
    <w:rsid w:val="002610BF"/>
    <w:rsid w:val="00261BC7"/>
    <w:rsid w:val="00267207"/>
    <w:rsid w:val="002834C7"/>
    <w:rsid w:val="00287FD9"/>
    <w:rsid w:val="00291303"/>
    <w:rsid w:val="00292CC4"/>
    <w:rsid w:val="00292DB1"/>
    <w:rsid w:val="00293D5F"/>
    <w:rsid w:val="00297562"/>
    <w:rsid w:val="00297F68"/>
    <w:rsid w:val="002A1BA1"/>
    <w:rsid w:val="002A55F8"/>
    <w:rsid w:val="002B0942"/>
    <w:rsid w:val="002B0EE5"/>
    <w:rsid w:val="002B3D57"/>
    <w:rsid w:val="002B5BFA"/>
    <w:rsid w:val="002C4240"/>
    <w:rsid w:val="002C4BDB"/>
    <w:rsid w:val="002D089F"/>
    <w:rsid w:val="002D5647"/>
    <w:rsid w:val="002E0627"/>
    <w:rsid w:val="002E3799"/>
    <w:rsid w:val="002E39A0"/>
    <w:rsid w:val="002E515D"/>
    <w:rsid w:val="002F4F80"/>
    <w:rsid w:val="0030342C"/>
    <w:rsid w:val="0031080E"/>
    <w:rsid w:val="0031155A"/>
    <w:rsid w:val="003210FF"/>
    <w:rsid w:val="00325DE3"/>
    <w:rsid w:val="003263DC"/>
    <w:rsid w:val="0032702A"/>
    <w:rsid w:val="0033431F"/>
    <w:rsid w:val="003348C1"/>
    <w:rsid w:val="00336766"/>
    <w:rsid w:val="00340FE6"/>
    <w:rsid w:val="003439D9"/>
    <w:rsid w:val="0034733A"/>
    <w:rsid w:val="003538B5"/>
    <w:rsid w:val="00353EA7"/>
    <w:rsid w:val="003608F9"/>
    <w:rsid w:val="00363623"/>
    <w:rsid w:val="003732C8"/>
    <w:rsid w:val="003772DB"/>
    <w:rsid w:val="00380489"/>
    <w:rsid w:val="00381DF0"/>
    <w:rsid w:val="00382A7C"/>
    <w:rsid w:val="003879C2"/>
    <w:rsid w:val="00395296"/>
    <w:rsid w:val="003B10B9"/>
    <w:rsid w:val="003B760A"/>
    <w:rsid w:val="003C103E"/>
    <w:rsid w:val="003C113F"/>
    <w:rsid w:val="003C232C"/>
    <w:rsid w:val="003C314F"/>
    <w:rsid w:val="003C3F9C"/>
    <w:rsid w:val="003C5ED9"/>
    <w:rsid w:val="003C7E0F"/>
    <w:rsid w:val="003E2DAE"/>
    <w:rsid w:val="003E3406"/>
    <w:rsid w:val="003E4C6D"/>
    <w:rsid w:val="003E5E0D"/>
    <w:rsid w:val="003E6721"/>
    <w:rsid w:val="003F07B6"/>
    <w:rsid w:val="003F6E44"/>
    <w:rsid w:val="0040202A"/>
    <w:rsid w:val="00406BC6"/>
    <w:rsid w:val="00410201"/>
    <w:rsid w:val="00410927"/>
    <w:rsid w:val="0041369F"/>
    <w:rsid w:val="00413D21"/>
    <w:rsid w:val="0041557D"/>
    <w:rsid w:val="00420729"/>
    <w:rsid w:val="004211B4"/>
    <w:rsid w:val="004236E4"/>
    <w:rsid w:val="00430D17"/>
    <w:rsid w:val="0043279F"/>
    <w:rsid w:val="0044290D"/>
    <w:rsid w:val="0044424E"/>
    <w:rsid w:val="00444F43"/>
    <w:rsid w:val="00450BE3"/>
    <w:rsid w:val="00450EAF"/>
    <w:rsid w:val="00457515"/>
    <w:rsid w:val="00461921"/>
    <w:rsid w:val="004631DA"/>
    <w:rsid w:val="004655EE"/>
    <w:rsid w:val="004751BC"/>
    <w:rsid w:val="00484242"/>
    <w:rsid w:val="00495A68"/>
    <w:rsid w:val="004A1E04"/>
    <w:rsid w:val="004A2C25"/>
    <w:rsid w:val="004A427F"/>
    <w:rsid w:val="004A5ED2"/>
    <w:rsid w:val="004B4965"/>
    <w:rsid w:val="004B597A"/>
    <w:rsid w:val="004E3D4C"/>
    <w:rsid w:val="004E6759"/>
    <w:rsid w:val="004F1331"/>
    <w:rsid w:val="004F151E"/>
    <w:rsid w:val="004F4306"/>
    <w:rsid w:val="004F625F"/>
    <w:rsid w:val="00500530"/>
    <w:rsid w:val="0050137C"/>
    <w:rsid w:val="005032C9"/>
    <w:rsid w:val="0051472C"/>
    <w:rsid w:val="00514F21"/>
    <w:rsid w:val="00516C26"/>
    <w:rsid w:val="005232AA"/>
    <w:rsid w:val="0052736E"/>
    <w:rsid w:val="00530E68"/>
    <w:rsid w:val="005320A1"/>
    <w:rsid w:val="005325C1"/>
    <w:rsid w:val="00533D1F"/>
    <w:rsid w:val="0054116A"/>
    <w:rsid w:val="0054149D"/>
    <w:rsid w:val="005416A5"/>
    <w:rsid w:val="0054296D"/>
    <w:rsid w:val="005440A6"/>
    <w:rsid w:val="00556A25"/>
    <w:rsid w:val="00565307"/>
    <w:rsid w:val="00565BD1"/>
    <w:rsid w:val="00567130"/>
    <w:rsid w:val="00567777"/>
    <w:rsid w:val="0057020A"/>
    <w:rsid w:val="00572006"/>
    <w:rsid w:val="005806FB"/>
    <w:rsid w:val="00581526"/>
    <w:rsid w:val="005815F3"/>
    <w:rsid w:val="00585237"/>
    <w:rsid w:val="005858D5"/>
    <w:rsid w:val="00586032"/>
    <w:rsid w:val="005935D7"/>
    <w:rsid w:val="005955D2"/>
    <w:rsid w:val="00596A7D"/>
    <w:rsid w:val="00597154"/>
    <w:rsid w:val="00597532"/>
    <w:rsid w:val="005A4284"/>
    <w:rsid w:val="005A4FBB"/>
    <w:rsid w:val="005B4770"/>
    <w:rsid w:val="005B7AE9"/>
    <w:rsid w:val="005C0B37"/>
    <w:rsid w:val="005C496D"/>
    <w:rsid w:val="005C4BAA"/>
    <w:rsid w:val="005C4ECB"/>
    <w:rsid w:val="005D139C"/>
    <w:rsid w:val="005D354A"/>
    <w:rsid w:val="005D5769"/>
    <w:rsid w:val="005D768C"/>
    <w:rsid w:val="005D7ED0"/>
    <w:rsid w:val="005E5DAD"/>
    <w:rsid w:val="005F0420"/>
    <w:rsid w:val="005F4C74"/>
    <w:rsid w:val="005F4E21"/>
    <w:rsid w:val="00605540"/>
    <w:rsid w:val="00611585"/>
    <w:rsid w:val="006156CA"/>
    <w:rsid w:val="00623ABF"/>
    <w:rsid w:val="006260D5"/>
    <w:rsid w:val="00630CCB"/>
    <w:rsid w:val="006315AD"/>
    <w:rsid w:val="00635D95"/>
    <w:rsid w:val="0064005C"/>
    <w:rsid w:val="00642C86"/>
    <w:rsid w:val="00646BEF"/>
    <w:rsid w:val="006507F2"/>
    <w:rsid w:val="00660344"/>
    <w:rsid w:val="006628B4"/>
    <w:rsid w:val="00663EAF"/>
    <w:rsid w:val="006737BC"/>
    <w:rsid w:val="006758A1"/>
    <w:rsid w:val="00675AAC"/>
    <w:rsid w:val="00687199"/>
    <w:rsid w:val="00690599"/>
    <w:rsid w:val="00690847"/>
    <w:rsid w:val="006A149B"/>
    <w:rsid w:val="006A21F1"/>
    <w:rsid w:val="006A4358"/>
    <w:rsid w:val="006A449E"/>
    <w:rsid w:val="006B074E"/>
    <w:rsid w:val="006B0C79"/>
    <w:rsid w:val="006B2BD5"/>
    <w:rsid w:val="006B47F8"/>
    <w:rsid w:val="006B49DE"/>
    <w:rsid w:val="006B7309"/>
    <w:rsid w:val="006C607F"/>
    <w:rsid w:val="006C6472"/>
    <w:rsid w:val="006D09B2"/>
    <w:rsid w:val="006D0E3D"/>
    <w:rsid w:val="006D4207"/>
    <w:rsid w:val="006D4E4B"/>
    <w:rsid w:val="006D741D"/>
    <w:rsid w:val="006F0138"/>
    <w:rsid w:val="006F1E9E"/>
    <w:rsid w:val="006F284C"/>
    <w:rsid w:val="006F3F51"/>
    <w:rsid w:val="006F41B8"/>
    <w:rsid w:val="006F63B3"/>
    <w:rsid w:val="006F7227"/>
    <w:rsid w:val="00702366"/>
    <w:rsid w:val="0070295F"/>
    <w:rsid w:val="00707E2B"/>
    <w:rsid w:val="007110CB"/>
    <w:rsid w:val="00711195"/>
    <w:rsid w:val="00711853"/>
    <w:rsid w:val="007163BC"/>
    <w:rsid w:val="00717502"/>
    <w:rsid w:val="0072288C"/>
    <w:rsid w:val="00730AE3"/>
    <w:rsid w:val="00736BC2"/>
    <w:rsid w:val="00736BFC"/>
    <w:rsid w:val="00742DB9"/>
    <w:rsid w:val="00742F11"/>
    <w:rsid w:val="00742F79"/>
    <w:rsid w:val="007478C4"/>
    <w:rsid w:val="007504F2"/>
    <w:rsid w:val="0075164B"/>
    <w:rsid w:val="00751F2D"/>
    <w:rsid w:val="00752599"/>
    <w:rsid w:val="00754119"/>
    <w:rsid w:val="007552CE"/>
    <w:rsid w:val="007564FF"/>
    <w:rsid w:val="00764858"/>
    <w:rsid w:val="00767B0C"/>
    <w:rsid w:val="0077226E"/>
    <w:rsid w:val="007817F1"/>
    <w:rsid w:val="00781B44"/>
    <w:rsid w:val="00782032"/>
    <w:rsid w:val="00783FC1"/>
    <w:rsid w:val="00786408"/>
    <w:rsid w:val="0079325E"/>
    <w:rsid w:val="00795F85"/>
    <w:rsid w:val="007A403E"/>
    <w:rsid w:val="007B0404"/>
    <w:rsid w:val="007B1587"/>
    <w:rsid w:val="007C16FC"/>
    <w:rsid w:val="007C3BE6"/>
    <w:rsid w:val="007C5285"/>
    <w:rsid w:val="007C5753"/>
    <w:rsid w:val="007C633B"/>
    <w:rsid w:val="007C70D1"/>
    <w:rsid w:val="007C7FB7"/>
    <w:rsid w:val="007D0C62"/>
    <w:rsid w:val="007D3182"/>
    <w:rsid w:val="007D5686"/>
    <w:rsid w:val="007E02FA"/>
    <w:rsid w:val="007E0E6E"/>
    <w:rsid w:val="007E3A44"/>
    <w:rsid w:val="007E529C"/>
    <w:rsid w:val="007F23ED"/>
    <w:rsid w:val="007F30B3"/>
    <w:rsid w:val="0080218F"/>
    <w:rsid w:val="008027ED"/>
    <w:rsid w:val="0080589A"/>
    <w:rsid w:val="00810A95"/>
    <w:rsid w:val="00811CB2"/>
    <w:rsid w:val="008122D6"/>
    <w:rsid w:val="00814DD8"/>
    <w:rsid w:val="008174B0"/>
    <w:rsid w:val="00817CFE"/>
    <w:rsid w:val="008214DE"/>
    <w:rsid w:val="008252AE"/>
    <w:rsid w:val="00825524"/>
    <w:rsid w:val="008272A4"/>
    <w:rsid w:val="0083211E"/>
    <w:rsid w:val="00843FF1"/>
    <w:rsid w:val="00862BB7"/>
    <w:rsid w:val="00867173"/>
    <w:rsid w:val="00867474"/>
    <w:rsid w:val="00870D40"/>
    <w:rsid w:val="0087177E"/>
    <w:rsid w:val="00884637"/>
    <w:rsid w:val="00885D83"/>
    <w:rsid w:val="008964AA"/>
    <w:rsid w:val="008A517A"/>
    <w:rsid w:val="008A5DE8"/>
    <w:rsid w:val="008A6A53"/>
    <w:rsid w:val="008B097E"/>
    <w:rsid w:val="008C013C"/>
    <w:rsid w:val="008C10FB"/>
    <w:rsid w:val="008C1E35"/>
    <w:rsid w:val="008C3552"/>
    <w:rsid w:val="008C42AF"/>
    <w:rsid w:val="008D5AA2"/>
    <w:rsid w:val="008E1D9F"/>
    <w:rsid w:val="008E5F84"/>
    <w:rsid w:val="008E6584"/>
    <w:rsid w:val="008E6B7B"/>
    <w:rsid w:val="008E7500"/>
    <w:rsid w:val="008F02B5"/>
    <w:rsid w:val="008F0DD6"/>
    <w:rsid w:val="008F5E9C"/>
    <w:rsid w:val="008F78E9"/>
    <w:rsid w:val="00900545"/>
    <w:rsid w:val="009049C2"/>
    <w:rsid w:val="00904F69"/>
    <w:rsid w:val="009067F8"/>
    <w:rsid w:val="00911A96"/>
    <w:rsid w:val="00912580"/>
    <w:rsid w:val="00922EAD"/>
    <w:rsid w:val="0092491F"/>
    <w:rsid w:val="00926C56"/>
    <w:rsid w:val="0092794B"/>
    <w:rsid w:val="00931360"/>
    <w:rsid w:val="0093215B"/>
    <w:rsid w:val="009476F5"/>
    <w:rsid w:val="00950647"/>
    <w:rsid w:val="0095229F"/>
    <w:rsid w:val="00952441"/>
    <w:rsid w:val="009526B0"/>
    <w:rsid w:val="00953856"/>
    <w:rsid w:val="00954163"/>
    <w:rsid w:val="00954712"/>
    <w:rsid w:val="009554D5"/>
    <w:rsid w:val="00961124"/>
    <w:rsid w:val="00961FD1"/>
    <w:rsid w:val="0096244F"/>
    <w:rsid w:val="009637CC"/>
    <w:rsid w:val="00970F50"/>
    <w:rsid w:val="00971D51"/>
    <w:rsid w:val="00981BD6"/>
    <w:rsid w:val="009A0C44"/>
    <w:rsid w:val="009A1533"/>
    <w:rsid w:val="009A20F9"/>
    <w:rsid w:val="009B2E90"/>
    <w:rsid w:val="009B3807"/>
    <w:rsid w:val="009B5E1D"/>
    <w:rsid w:val="009B7331"/>
    <w:rsid w:val="009B7EE3"/>
    <w:rsid w:val="009C42A0"/>
    <w:rsid w:val="009D2F92"/>
    <w:rsid w:val="009D68DB"/>
    <w:rsid w:val="009E040A"/>
    <w:rsid w:val="009E2B79"/>
    <w:rsid w:val="009E6978"/>
    <w:rsid w:val="009F0844"/>
    <w:rsid w:val="009F1223"/>
    <w:rsid w:val="009F1F76"/>
    <w:rsid w:val="009F5BB8"/>
    <w:rsid w:val="009F5C6A"/>
    <w:rsid w:val="009F7AF7"/>
    <w:rsid w:val="00A02BA1"/>
    <w:rsid w:val="00A02EB2"/>
    <w:rsid w:val="00A068DE"/>
    <w:rsid w:val="00A10051"/>
    <w:rsid w:val="00A11243"/>
    <w:rsid w:val="00A11E09"/>
    <w:rsid w:val="00A15740"/>
    <w:rsid w:val="00A15D8E"/>
    <w:rsid w:val="00A20F36"/>
    <w:rsid w:val="00A216C9"/>
    <w:rsid w:val="00A24045"/>
    <w:rsid w:val="00A24C55"/>
    <w:rsid w:val="00A30DAD"/>
    <w:rsid w:val="00A311E7"/>
    <w:rsid w:val="00A64DB8"/>
    <w:rsid w:val="00A65CDC"/>
    <w:rsid w:val="00A70495"/>
    <w:rsid w:val="00A73277"/>
    <w:rsid w:val="00A75DB3"/>
    <w:rsid w:val="00A76768"/>
    <w:rsid w:val="00A9121D"/>
    <w:rsid w:val="00A9327C"/>
    <w:rsid w:val="00A940B9"/>
    <w:rsid w:val="00AA014E"/>
    <w:rsid w:val="00AA4771"/>
    <w:rsid w:val="00AA590F"/>
    <w:rsid w:val="00AB1AC6"/>
    <w:rsid w:val="00AB2F11"/>
    <w:rsid w:val="00AC1E69"/>
    <w:rsid w:val="00AC35BD"/>
    <w:rsid w:val="00AC38B2"/>
    <w:rsid w:val="00AD2EA2"/>
    <w:rsid w:val="00AD51B4"/>
    <w:rsid w:val="00AF21C9"/>
    <w:rsid w:val="00AF4683"/>
    <w:rsid w:val="00B0174D"/>
    <w:rsid w:val="00B157C7"/>
    <w:rsid w:val="00B15D5A"/>
    <w:rsid w:val="00B2190A"/>
    <w:rsid w:val="00B22A84"/>
    <w:rsid w:val="00B24047"/>
    <w:rsid w:val="00B24085"/>
    <w:rsid w:val="00B25EC6"/>
    <w:rsid w:val="00B271A0"/>
    <w:rsid w:val="00B310C7"/>
    <w:rsid w:val="00B31CD4"/>
    <w:rsid w:val="00B3299A"/>
    <w:rsid w:val="00B33F81"/>
    <w:rsid w:val="00B41DC0"/>
    <w:rsid w:val="00B4475A"/>
    <w:rsid w:val="00B4723A"/>
    <w:rsid w:val="00B5204C"/>
    <w:rsid w:val="00B54B3D"/>
    <w:rsid w:val="00B56B11"/>
    <w:rsid w:val="00B6064C"/>
    <w:rsid w:val="00B61494"/>
    <w:rsid w:val="00B62D5C"/>
    <w:rsid w:val="00B64008"/>
    <w:rsid w:val="00B73296"/>
    <w:rsid w:val="00B810C6"/>
    <w:rsid w:val="00B82F04"/>
    <w:rsid w:val="00B85F9B"/>
    <w:rsid w:val="00B9537F"/>
    <w:rsid w:val="00BA1498"/>
    <w:rsid w:val="00BA3233"/>
    <w:rsid w:val="00BB14F8"/>
    <w:rsid w:val="00BB6B68"/>
    <w:rsid w:val="00BC292B"/>
    <w:rsid w:val="00BD4E73"/>
    <w:rsid w:val="00BE0957"/>
    <w:rsid w:val="00BE0B3D"/>
    <w:rsid w:val="00BE37A4"/>
    <w:rsid w:val="00BE45DE"/>
    <w:rsid w:val="00BE7F34"/>
    <w:rsid w:val="00BF1482"/>
    <w:rsid w:val="00BF3B66"/>
    <w:rsid w:val="00BF6F63"/>
    <w:rsid w:val="00C01038"/>
    <w:rsid w:val="00C05456"/>
    <w:rsid w:val="00C05D4F"/>
    <w:rsid w:val="00C07151"/>
    <w:rsid w:val="00C07321"/>
    <w:rsid w:val="00C076A9"/>
    <w:rsid w:val="00C07738"/>
    <w:rsid w:val="00C079AB"/>
    <w:rsid w:val="00C11963"/>
    <w:rsid w:val="00C13021"/>
    <w:rsid w:val="00C15BBB"/>
    <w:rsid w:val="00C21FED"/>
    <w:rsid w:val="00C31FC0"/>
    <w:rsid w:val="00C34C69"/>
    <w:rsid w:val="00C34E2E"/>
    <w:rsid w:val="00C36508"/>
    <w:rsid w:val="00C37FF1"/>
    <w:rsid w:val="00C41D14"/>
    <w:rsid w:val="00C4200D"/>
    <w:rsid w:val="00C43196"/>
    <w:rsid w:val="00C43920"/>
    <w:rsid w:val="00C44B0B"/>
    <w:rsid w:val="00C507CD"/>
    <w:rsid w:val="00C51A98"/>
    <w:rsid w:val="00C5459D"/>
    <w:rsid w:val="00C57C7C"/>
    <w:rsid w:val="00C65664"/>
    <w:rsid w:val="00C711F1"/>
    <w:rsid w:val="00C753AD"/>
    <w:rsid w:val="00C77A42"/>
    <w:rsid w:val="00C82B91"/>
    <w:rsid w:val="00C85EA4"/>
    <w:rsid w:val="00C86B12"/>
    <w:rsid w:val="00C87FD6"/>
    <w:rsid w:val="00C912FE"/>
    <w:rsid w:val="00C9605F"/>
    <w:rsid w:val="00CA0495"/>
    <w:rsid w:val="00CA1572"/>
    <w:rsid w:val="00CA19CB"/>
    <w:rsid w:val="00CA5E13"/>
    <w:rsid w:val="00CA6B87"/>
    <w:rsid w:val="00CA7888"/>
    <w:rsid w:val="00CB0C3B"/>
    <w:rsid w:val="00CB2022"/>
    <w:rsid w:val="00CB4A1B"/>
    <w:rsid w:val="00CB6192"/>
    <w:rsid w:val="00CC1474"/>
    <w:rsid w:val="00CC1D39"/>
    <w:rsid w:val="00CC2031"/>
    <w:rsid w:val="00CC2584"/>
    <w:rsid w:val="00CC366C"/>
    <w:rsid w:val="00CC395D"/>
    <w:rsid w:val="00CC3F87"/>
    <w:rsid w:val="00CC57B8"/>
    <w:rsid w:val="00CC5F7A"/>
    <w:rsid w:val="00CC7630"/>
    <w:rsid w:val="00CD3AD2"/>
    <w:rsid w:val="00CD3BA0"/>
    <w:rsid w:val="00CD5810"/>
    <w:rsid w:val="00CD73BD"/>
    <w:rsid w:val="00CE2096"/>
    <w:rsid w:val="00CE51C3"/>
    <w:rsid w:val="00CF131D"/>
    <w:rsid w:val="00CF13DE"/>
    <w:rsid w:val="00CF4F69"/>
    <w:rsid w:val="00CF5255"/>
    <w:rsid w:val="00CF5A23"/>
    <w:rsid w:val="00CF65F6"/>
    <w:rsid w:val="00D055E9"/>
    <w:rsid w:val="00D068F8"/>
    <w:rsid w:val="00D125A5"/>
    <w:rsid w:val="00D145C8"/>
    <w:rsid w:val="00D15589"/>
    <w:rsid w:val="00D15D48"/>
    <w:rsid w:val="00D22675"/>
    <w:rsid w:val="00D22AE8"/>
    <w:rsid w:val="00D33779"/>
    <w:rsid w:val="00D35E72"/>
    <w:rsid w:val="00D3744D"/>
    <w:rsid w:val="00D432AD"/>
    <w:rsid w:val="00D46420"/>
    <w:rsid w:val="00D46B00"/>
    <w:rsid w:val="00D51069"/>
    <w:rsid w:val="00D64EE0"/>
    <w:rsid w:val="00D65A12"/>
    <w:rsid w:val="00D66A50"/>
    <w:rsid w:val="00D6799B"/>
    <w:rsid w:val="00D73523"/>
    <w:rsid w:val="00D74253"/>
    <w:rsid w:val="00D77339"/>
    <w:rsid w:val="00D77756"/>
    <w:rsid w:val="00D77A7E"/>
    <w:rsid w:val="00D803E2"/>
    <w:rsid w:val="00D80585"/>
    <w:rsid w:val="00D80AD1"/>
    <w:rsid w:val="00D83117"/>
    <w:rsid w:val="00D85AB6"/>
    <w:rsid w:val="00D86C2C"/>
    <w:rsid w:val="00D87ACE"/>
    <w:rsid w:val="00D91504"/>
    <w:rsid w:val="00D943C8"/>
    <w:rsid w:val="00D9537D"/>
    <w:rsid w:val="00DA5EA8"/>
    <w:rsid w:val="00DB5BF7"/>
    <w:rsid w:val="00DB79A7"/>
    <w:rsid w:val="00DC1B3D"/>
    <w:rsid w:val="00DC3D2E"/>
    <w:rsid w:val="00DC5A7E"/>
    <w:rsid w:val="00DD2276"/>
    <w:rsid w:val="00DD52CC"/>
    <w:rsid w:val="00DD68C9"/>
    <w:rsid w:val="00DE24CC"/>
    <w:rsid w:val="00DE308B"/>
    <w:rsid w:val="00DF3234"/>
    <w:rsid w:val="00E04147"/>
    <w:rsid w:val="00E15625"/>
    <w:rsid w:val="00E21F12"/>
    <w:rsid w:val="00E22D4D"/>
    <w:rsid w:val="00E2785B"/>
    <w:rsid w:val="00E30875"/>
    <w:rsid w:val="00E31E67"/>
    <w:rsid w:val="00E370BD"/>
    <w:rsid w:val="00E37A7A"/>
    <w:rsid w:val="00E44E36"/>
    <w:rsid w:val="00E45B12"/>
    <w:rsid w:val="00E46075"/>
    <w:rsid w:val="00E46A8E"/>
    <w:rsid w:val="00E47630"/>
    <w:rsid w:val="00E47BED"/>
    <w:rsid w:val="00E52BFA"/>
    <w:rsid w:val="00E55570"/>
    <w:rsid w:val="00E55B3B"/>
    <w:rsid w:val="00E55E91"/>
    <w:rsid w:val="00E605D7"/>
    <w:rsid w:val="00E60637"/>
    <w:rsid w:val="00E74341"/>
    <w:rsid w:val="00E771FA"/>
    <w:rsid w:val="00E929AB"/>
    <w:rsid w:val="00E954AE"/>
    <w:rsid w:val="00EA12D7"/>
    <w:rsid w:val="00EA1C90"/>
    <w:rsid w:val="00EA3A52"/>
    <w:rsid w:val="00EA61BB"/>
    <w:rsid w:val="00EA7525"/>
    <w:rsid w:val="00EA7B92"/>
    <w:rsid w:val="00EB00A2"/>
    <w:rsid w:val="00EB083E"/>
    <w:rsid w:val="00EC0891"/>
    <w:rsid w:val="00ED559A"/>
    <w:rsid w:val="00ED5C47"/>
    <w:rsid w:val="00EE51DB"/>
    <w:rsid w:val="00EE5517"/>
    <w:rsid w:val="00EE600D"/>
    <w:rsid w:val="00EE76A5"/>
    <w:rsid w:val="00EF4ED1"/>
    <w:rsid w:val="00F0038E"/>
    <w:rsid w:val="00F12260"/>
    <w:rsid w:val="00F12357"/>
    <w:rsid w:val="00F13DC0"/>
    <w:rsid w:val="00F14485"/>
    <w:rsid w:val="00F16F02"/>
    <w:rsid w:val="00F25B7A"/>
    <w:rsid w:val="00F25D2F"/>
    <w:rsid w:val="00F26A60"/>
    <w:rsid w:val="00F31665"/>
    <w:rsid w:val="00F32123"/>
    <w:rsid w:val="00F465B6"/>
    <w:rsid w:val="00F55878"/>
    <w:rsid w:val="00F57625"/>
    <w:rsid w:val="00F60384"/>
    <w:rsid w:val="00F61688"/>
    <w:rsid w:val="00F62F57"/>
    <w:rsid w:val="00F63218"/>
    <w:rsid w:val="00F64CB9"/>
    <w:rsid w:val="00F67181"/>
    <w:rsid w:val="00F67995"/>
    <w:rsid w:val="00F70F1C"/>
    <w:rsid w:val="00F75503"/>
    <w:rsid w:val="00F75EE8"/>
    <w:rsid w:val="00F77628"/>
    <w:rsid w:val="00F820C2"/>
    <w:rsid w:val="00F82F1D"/>
    <w:rsid w:val="00F838DD"/>
    <w:rsid w:val="00F952E8"/>
    <w:rsid w:val="00F95F58"/>
    <w:rsid w:val="00FA4246"/>
    <w:rsid w:val="00FA4EC6"/>
    <w:rsid w:val="00FA50A5"/>
    <w:rsid w:val="00FB1895"/>
    <w:rsid w:val="00FB2F55"/>
    <w:rsid w:val="00FB3B70"/>
    <w:rsid w:val="00FC045D"/>
    <w:rsid w:val="00FC6159"/>
    <w:rsid w:val="00FD04D5"/>
    <w:rsid w:val="00FD061C"/>
    <w:rsid w:val="00FD290D"/>
    <w:rsid w:val="00FE0AB4"/>
    <w:rsid w:val="00FE1069"/>
    <w:rsid w:val="00FE10B7"/>
    <w:rsid w:val="00FE444C"/>
    <w:rsid w:val="00FF3DFC"/>
    <w:rsid w:val="00FF3E84"/>
    <w:rsid w:val="00FF5C5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uiPriority="0"/>
    <w:lsdException w:name="footer" w:uiPriority="0"/>
    <w:lsdException w:name="caption" w:uiPriority="0" w:qFormat="1"/>
    <w:lsdException w:name="footnote reference" w:uiPriority="0" w:qFormat="1"/>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No List" w:uiPriority="0"/>
    <w:lsdException w:name="Outline List 2"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uiPriority="59"/>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3E5E0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3E5E0D"/>
    <w:pPr>
      <w:keepNext/>
      <w:tabs>
        <w:tab w:val="left" w:pos="567"/>
      </w:tabs>
      <w:spacing w:before="120" w:after="120"/>
      <w:jc w:val="center"/>
      <w:outlineLvl w:val="2"/>
    </w:pPr>
    <w:rPr>
      <w:i/>
      <w:iCs/>
    </w:rPr>
  </w:style>
  <w:style w:type="paragraph" w:styleId="Heading4">
    <w:name w:val="heading 4"/>
    <w:basedOn w:val="Normal"/>
    <w:qFormat/>
    <w:rsid w:val="003E5E0D"/>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rsid w:val="003E5E0D"/>
    <w:pPr>
      <w:keepNext/>
      <w:spacing w:before="120" w:after="120"/>
      <w:jc w:val="left"/>
      <w:outlineLvl w:val="4"/>
    </w:pPr>
    <w:rPr>
      <w:bCs/>
      <w:i/>
      <w:szCs w:val="26"/>
      <w:lang w:val="en-CA"/>
    </w:rPr>
  </w:style>
  <w:style w:type="paragraph" w:styleId="Heading6">
    <w:name w:val="heading 6"/>
    <w:basedOn w:val="Normal"/>
    <w:next w:val="Normal"/>
    <w:qFormat/>
    <w:rsid w:val="003E5E0D"/>
    <w:pPr>
      <w:keepNext/>
      <w:spacing w:after="240" w:line="240" w:lineRule="exact"/>
      <w:ind w:left="720"/>
      <w:outlineLvl w:val="5"/>
    </w:pPr>
    <w:rPr>
      <w:u w:val="single"/>
    </w:rPr>
  </w:style>
  <w:style w:type="paragraph" w:styleId="Heading7">
    <w:name w:val="heading 7"/>
    <w:basedOn w:val="Normal"/>
    <w:next w:val="Normal"/>
    <w:qFormat/>
    <w:rsid w:val="003E5E0D"/>
    <w:pPr>
      <w:keepNext/>
      <w:jc w:val="right"/>
      <w:outlineLvl w:val="6"/>
    </w:pPr>
    <w:rPr>
      <w:rFonts w:ascii="Univers" w:hAnsi="Univers"/>
      <w:b/>
      <w:sz w:val="28"/>
    </w:rPr>
  </w:style>
  <w:style w:type="paragraph" w:styleId="Heading8">
    <w:name w:val="heading 8"/>
    <w:basedOn w:val="Normal"/>
    <w:next w:val="Normal"/>
    <w:qFormat/>
    <w:rsid w:val="003E5E0D"/>
    <w:pPr>
      <w:keepNext/>
      <w:jc w:val="right"/>
      <w:outlineLvl w:val="7"/>
    </w:pPr>
    <w:rPr>
      <w:rFonts w:ascii="Univers" w:hAnsi="Univers"/>
      <w:b/>
      <w:sz w:val="32"/>
    </w:rPr>
  </w:style>
  <w:style w:type="paragraph" w:styleId="Heading9">
    <w:name w:val="heading 9"/>
    <w:basedOn w:val="Normal"/>
    <w:next w:val="Normal"/>
    <w:qFormat/>
    <w:rsid w:val="003E5E0D"/>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5E0D"/>
    <w:pPr>
      <w:tabs>
        <w:tab w:val="center" w:pos="4320"/>
        <w:tab w:val="right" w:pos="8640"/>
      </w:tabs>
    </w:pPr>
  </w:style>
  <w:style w:type="paragraph" w:styleId="Footer">
    <w:name w:val="footer"/>
    <w:basedOn w:val="Normal"/>
    <w:link w:val="FooterChar"/>
    <w:rsid w:val="003E5E0D"/>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n3,fn"/>
    <w:basedOn w:val="Normal"/>
    <w:link w:val="FootnoteTextChar"/>
    <w:qFormat/>
    <w:rsid w:val="003E5E0D"/>
    <w:pPr>
      <w:keepLines/>
      <w:spacing w:after="60"/>
      <w:ind w:firstLine="720"/>
    </w:pPr>
    <w:rPr>
      <w:sz w:val="18"/>
    </w:rPr>
  </w:style>
  <w:style w:type="paragraph" w:styleId="BodyText">
    <w:name w:val="Body Text"/>
    <w:basedOn w:val="Normal"/>
    <w:rsid w:val="003E5E0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3E5E0D"/>
    <w:rPr>
      <w:sz w:val="16"/>
    </w:rPr>
  </w:style>
  <w:style w:type="paragraph" w:styleId="CommentText">
    <w:name w:val="annotation text"/>
    <w:basedOn w:val="Normal"/>
    <w:link w:val="CommentTextChar"/>
    <w:uiPriority w:val="99"/>
    <w:rsid w:val="003E5E0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qFormat/>
    <w:rsid w:val="003E5E0D"/>
    <w:rPr>
      <w:sz w:val="18"/>
      <w:u w:val="single"/>
      <w:vertAlign w:val="baseline"/>
    </w:rPr>
  </w:style>
  <w:style w:type="paragraph" w:styleId="BodyTextIndent">
    <w:name w:val="Body Text Indent"/>
    <w:basedOn w:val="Normal"/>
    <w:rsid w:val="003E5E0D"/>
    <w:pPr>
      <w:spacing w:before="120" w:after="120"/>
      <w:ind w:left="1440" w:hanging="720"/>
      <w:jc w:val="left"/>
    </w:pPr>
  </w:style>
  <w:style w:type="character" w:styleId="PageNumber">
    <w:name w:val="page number"/>
    <w:rsid w:val="003E5E0D"/>
    <w:rPr>
      <w:rFonts w:ascii="Times New Roman" w:hAnsi="Times New Roman"/>
      <w:sz w:val="22"/>
    </w:rPr>
  </w:style>
  <w:style w:type="paragraph" w:customStyle="1" w:styleId="HEADING">
    <w:name w:val="HEADING"/>
    <w:basedOn w:val="Normal"/>
    <w:rsid w:val="003E5E0D"/>
    <w:pPr>
      <w:keepNext/>
      <w:spacing w:before="240" w:after="120"/>
      <w:jc w:val="center"/>
    </w:pPr>
    <w:rPr>
      <w:b/>
      <w:bCs/>
      <w:caps/>
    </w:rPr>
  </w:style>
  <w:style w:type="paragraph" w:customStyle="1" w:styleId="para4">
    <w:name w:val="para4"/>
    <w:basedOn w:val="Normal"/>
    <w:rsid w:val="003E5E0D"/>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3E5E0D"/>
    <w:pPr>
      <w:ind w:left="170" w:right="3119" w:hanging="170"/>
      <w:jc w:val="left"/>
    </w:pPr>
  </w:style>
  <w:style w:type="paragraph" w:customStyle="1" w:styleId="Para3">
    <w:name w:val="Para3"/>
    <w:basedOn w:val="Normal"/>
    <w:rsid w:val="003E5E0D"/>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3E5E0D"/>
    <w:pPr>
      <w:spacing w:before="120"/>
    </w:pPr>
    <w:rPr>
      <w:rFonts w:cs="Arial"/>
      <w:b/>
      <w:bCs/>
      <w:sz w:val="24"/>
    </w:rPr>
  </w:style>
  <w:style w:type="paragraph" w:styleId="TOC9">
    <w:name w:val="toc 9"/>
    <w:basedOn w:val="Normal"/>
    <w:next w:val="Normal"/>
    <w:autoRedefine/>
    <w:semiHidden/>
    <w:rsid w:val="003E5E0D"/>
    <w:pPr>
      <w:spacing w:before="120" w:after="120"/>
      <w:ind w:left="1760"/>
      <w:jc w:val="left"/>
    </w:pPr>
  </w:style>
  <w:style w:type="paragraph" w:styleId="TOC1">
    <w:name w:val="toc 1"/>
    <w:basedOn w:val="Normal"/>
    <w:next w:val="Normal"/>
    <w:autoRedefine/>
    <w:semiHidden/>
    <w:rsid w:val="003E5E0D"/>
    <w:pPr>
      <w:ind w:left="720" w:hanging="720"/>
    </w:pPr>
    <w:rPr>
      <w:caps/>
    </w:rPr>
  </w:style>
  <w:style w:type="paragraph" w:styleId="TOC2">
    <w:name w:val="toc 2"/>
    <w:basedOn w:val="Normal"/>
    <w:next w:val="Normal"/>
    <w:autoRedefine/>
    <w:semiHidden/>
    <w:rsid w:val="003E5E0D"/>
    <w:pPr>
      <w:tabs>
        <w:tab w:val="right" w:leader="dot" w:pos="9356"/>
      </w:tabs>
      <w:ind w:left="1440" w:hanging="720"/>
    </w:pPr>
    <w:rPr>
      <w:noProof/>
      <w:szCs w:val="22"/>
    </w:rPr>
  </w:style>
  <w:style w:type="paragraph" w:styleId="TOC3">
    <w:name w:val="toc 3"/>
    <w:basedOn w:val="Normal"/>
    <w:next w:val="Normal"/>
    <w:autoRedefine/>
    <w:semiHidden/>
    <w:rsid w:val="003E5E0D"/>
    <w:pPr>
      <w:ind w:left="2160" w:hanging="720"/>
    </w:pPr>
  </w:style>
  <w:style w:type="paragraph" w:styleId="TOC4">
    <w:name w:val="toc 4"/>
    <w:basedOn w:val="Normal"/>
    <w:next w:val="Normal"/>
    <w:autoRedefine/>
    <w:semiHidden/>
    <w:rsid w:val="003E5E0D"/>
    <w:pPr>
      <w:spacing w:before="120" w:after="120"/>
      <w:ind w:left="660"/>
      <w:jc w:val="left"/>
    </w:pPr>
  </w:style>
  <w:style w:type="paragraph" w:styleId="TOC5">
    <w:name w:val="toc 5"/>
    <w:basedOn w:val="Normal"/>
    <w:next w:val="Normal"/>
    <w:autoRedefine/>
    <w:semiHidden/>
    <w:rsid w:val="003E5E0D"/>
    <w:pPr>
      <w:spacing w:before="120" w:after="120"/>
      <w:ind w:left="880"/>
      <w:jc w:val="left"/>
    </w:pPr>
  </w:style>
  <w:style w:type="paragraph" w:styleId="TOC6">
    <w:name w:val="toc 6"/>
    <w:basedOn w:val="Normal"/>
    <w:next w:val="Normal"/>
    <w:autoRedefine/>
    <w:semiHidden/>
    <w:rsid w:val="003E5E0D"/>
    <w:pPr>
      <w:spacing w:before="120" w:after="120"/>
      <w:ind w:left="1100"/>
      <w:jc w:val="left"/>
    </w:pPr>
  </w:style>
  <w:style w:type="paragraph" w:styleId="TOC7">
    <w:name w:val="toc 7"/>
    <w:basedOn w:val="Normal"/>
    <w:next w:val="Normal"/>
    <w:autoRedefine/>
    <w:semiHidden/>
    <w:rsid w:val="003E5E0D"/>
    <w:pPr>
      <w:spacing w:before="120" w:after="120"/>
      <w:ind w:left="1320"/>
      <w:jc w:val="left"/>
    </w:pPr>
  </w:style>
  <w:style w:type="paragraph" w:styleId="TOC8">
    <w:name w:val="toc 8"/>
    <w:basedOn w:val="Normal"/>
    <w:next w:val="Normal"/>
    <w:autoRedefine/>
    <w:semiHidden/>
    <w:rsid w:val="003E5E0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3E5E0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3E5E0D"/>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uiPriority w:val="99"/>
    <w:semiHidden/>
    <w:rsid w:val="003E5E0D"/>
    <w:rPr>
      <w:vertAlign w:val="superscript"/>
    </w:rPr>
  </w:style>
  <w:style w:type="paragraph" w:styleId="EndnoteText">
    <w:name w:val="endnote text"/>
    <w:basedOn w:val="Normal"/>
    <w:link w:val="EndnoteTextChar"/>
    <w:uiPriority w:val="99"/>
    <w:rsid w:val="003E5E0D"/>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rsid w:val="003E5E0D"/>
    <w:pPr>
      <w:ind w:left="1843" w:hanging="1134"/>
      <w:jc w:val="left"/>
    </w:pPr>
  </w:style>
  <w:style w:type="paragraph" w:customStyle="1" w:styleId="Heading1multiline">
    <w:name w:val="Heading 1 (multiline)"/>
    <w:basedOn w:val="Heading1"/>
    <w:rsid w:val="003E5E0D"/>
    <w:pPr>
      <w:ind w:left="1843" w:right="996" w:hanging="567"/>
      <w:jc w:val="left"/>
    </w:pPr>
  </w:style>
  <w:style w:type="paragraph" w:customStyle="1" w:styleId="Heading2multiline">
    <w:name w:val="Heading 2 (multiline)"/>
    <w:basedOn w:val="Heading1"/>
    <w:next w:val="Para1"/>
    <w:rsid w:val="003E5E0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3E5E0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eastAsia="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qFormat/>
    <w:rsid w:val="00742F79"/>
    <w:rPr>
      <w:b/>
      <w:bCs/>
      <w:i w:val="0"/>
      <w:iCs w:val="0"/>
    </w:rPr>
  </w:style>
  <w:style w:type="character" w:customStyle="1" w:styleId="Heading1Char">
    <w:name w:val="Heading 1 Char"/>
    <w:link w:val="Heading1"/>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styleId="Caption">
    <w:name w:val="caption"/>
    <w:basedOn w:val="Normal"/>
    <w:next w:val="Normal"/>
    <w:qFormat/>
    <w:rsid w:val="009049C2"/>
    <w:pPr>
      <w:widowControl w:val="0"/>
    </w:pPr>
    <w:rPr>
      <w:rFonts w:ascii="Courier New" w:eastAsia="MS Mincho" w:hAnsi="Courier New" w:cs="Angsana New"/>
    </w:rPr>
  </w:style>
  <w:style w:type="paragraph" w:styleId="BodyTextIndent3">
    <w:name w:val="Body Text Indent 3"/>
    <w:basedOn w:val="Normal"/>
    <w:link w:val="BodyTextIndent3Char"/>
    <w:rsid w:val="009049C2"/>
    <w:pPr>
      <w:ind w:left="1080" w:hanging="360"/>
    </w:pPr>
    <w:rPr>
      <w:rFonts w:ascii="Courier" w:eastAsia="MS Mincho" w:hAnsi="Courier" w:cs="Angsana New"/>
      <w:sz w:val="20"/>
    </w:rPr>
  </w:style>
  <w:style w:type="character" w:customStyle="1" w:styleId="BodyTextIndent3Char">
    <w:name w:val="Body Text Indent 3 Char"/>
    <w:basedOn w:val="DefaultParagraphFont"/>
    <w:link w:val="BodyTextIndent3"/>
    <w:rsid w:val="009049C2"/>
    <w:rPr>
      <w:rFonts w:ascii="Courier" w:eastAsia="MS Mincho" w:hAnsi="Courier" w:cs="Angsana New"/>
      <w:szCs w:val="24"/>
      <w:lang w:val="en-GB"/>
    </w:rPr>
  </w:style>
  <w:style w:type="paragraph" w:customStyle="1" w:styleId="BodyText21">
    <w:name w:val="Body Text 21"/>
    <w:basedOn w:val="Normal"/>
    <w:rsid w:val="009049C2"/>
    <w:rPr>
      <w:rFonts w:eastAsia="MS Mincho" w:cs="Angsana New"/>
    </w:rPr>
  </w:style>
  <w:style w:type="paragraph" w:styleId="BlockText">
    <w:name w:val="Block Text"/>
    <w:basedOn w:val="Normal"/>
    <w:rsid w:val="009049C2"/>
    <w:pPr>
      <w:tabs>
        <w:tab w:val="left" w:leader="dot" w:pos="8100"/>
        <w:tab w:val="left" w:pos="8370"/>
      </w:tabs>
      <w:suppressAutoHyphens/>
      <w:ind w:left="720" w:right="1440" w:hanging="720"/>
    </w:pPr>
    <w:rPr>
      <w:rFonts w:ascii="Courier New" w:eastAsia="MS Mincho" w:hAnsi="Courier New" w:cs="Angsana New"/>
      <w:sz w:val="20"/>
    </w:rPr>
  </w:style>
  <w:style w:type="paragraph" w:customStyle="1" w:styleId="Para">
    <w:name w:val="Para"/>
    <w:basedOn w:val="Normal"/>
    <w:rsid w:val="009049C2"/>
    <w:pPr>
      <w:numPr>
        <w:numId w:val="76"/>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paragraph" w:styleId="DocumentMap">
    <w:name w:val="Document Map"/>
    <w:basedOn w:val="Normal"/>
    <w:link w:val="DocumentMapChar"/>
    <w:semiHidden/>
    <w:rsid w:val="009049C2"/>
    <w:pPr>
      <w:shd w:val="clear" w:color="auto" w:fill="000080"/>
    </w:pPr>
    <w:rPr>
      <w:rFonts w:ascii="Tahoma" w:eastAsia="MS Mincho" w:hAnsi="Tahoma" w:cs="Angsana New"/>
    </w:rPr>
  </w:style>
  <w:style w:type="character" w:customStyle="1" w:styleId="DocumentMapChar">
    <w:name w:val="Document Map Char"/>
    <w:basedOn w:val="DefaultParagraphFont"/>
    <w:link w:val="DocumentMap"/>
    <w:semiHidden/>
    <w:rsid w:val="009049C2"/>
    <w:rPr>
      <w:rFonts w:ascii="Tahoma" w:eastAsia="MS Mincho" w:hAnsi="Tahoma" w:cs="Angsana New"/>
      <w:sz w:val="22"/>
      <w:szCs w:val="24"/>
      <w:shd w:val="clear" w:color="auto" w:fill="000080"/>
      <w:lang w:val="en-GB"/>
    </w:rPr>
  </w:style>
  <w:style w:type="paragraph" w:customStyle="1" w:styleId="Heading2-center">
    <w:name w:val="Heading 2-center"/>
    <w:basedOn w:val="Heading2"/>
    <w:rsid w:val="009049C2"/>
    <w:rPr>
      <w:rFonts w:eastAsia="MS Mincho" w:cs="Angsana New"/>
      <w:i/>
    </w:rPr>
  </w:style>
  <w:style w:type="paragraph" w:styleId="PlainText">
    <w:name w:val="Plain Text"/>
    <w:basedOn w:val="Normal"/>
    <w:link w:val="PlainTextChar"/>
    <w:uiPriority w:val="99"/>
    <w:rsid w:val="009049C2"/>
    <w:rPr>
      <w:rFonts w:ascii="Courier New" w:eastAsia="MS Mincho" w:hAnsi="Courier New"/>
      <w:sz w:val="20"/>
    </w:rPr>
  </w:style>
  <w:style w:type="character" w:customStyle="1" w:styleId="PlainTextChar">
    <w:name w:val="Plain Text Char"/>
    <w:basedOn w:val="DefaultParagraphFont"/>
    <w:link w:val="PlainText"/>
    <w:uiPriority w:val="99"/>
    <w:rsid w:val="009049C2"/>
    <w:rPr>
      <w:rFonts w:ascii="Courier New" w:eastAsia="MS Mincho" w:hAnsi="Courier New"/>
      <w:szCs w:val="24"/>
    </w:rPr>
  </w:style>
  <w:style w:type="paragraph" w:customStyle="1" w:styleId="xl24">
    <w:name w:val="xl24"/>
    <w:basedOn w:val="Normal"/>
    <w:rsid w:val="009049C2"/>
    <w:pPr>
      <w:spacing w:before="100" w:beforeAutospacing="1" w:after="100" w:afterAutospacing="1"/>
    </w:pPr>
    <w:rPr>
      <w:rFonts w:eastAsia="Arial Unicode MS" w:cs="Angsana New"/>
      <w:b/>
      <w:bCs/>
      <w:szCs w:val="22"/>
    </w:rPr>
  </w:style>
  <w:style w:type="paragraph" w:customStyle="1" w:styleId="xl25">
    <w:name w:val="xl25"/>
    <w:basedOn w:val="Normal"/>
    <w:rsid w:val="009049C2"/>
    <w:pPr>
      <w:spacing w:before="100" w:beforeAutospacing="1" w:after="100" w:afterAutospacing="1"/>
    </w:pPr>
    <w:rPr>
      <w:rFonts w:eastAsia="Arial Unicode MS" w:cs="Angsana New"/>
      <w:b/>
      <w:bCs/>
      <w:szCs w:val="22"/>
    </w:rPr>
  </w:style>
  <w:style w:type="paragraph" w:customStyle="1" w:styleId="xl26">
    <w:name w:val="xl26"/>
    <w:basedOn w:val="Normal"/>
    <w:rsid w:val="009049C2"/>
    <w:pPr>
      <w:spacing w:before="100" w:beforeAutospacing="1" w:after="100" w:afterAutospacing="1"/>
      <w:jc w:val="center"/>
    </w:pPr>
    <w:rPr>
      <w:rFonts w:eastAsia="Arial Unicode MS" w:cs="Angsana New"/>
      <w:b/>
      <w:bCs/>
      <w:szCs w:val="22"/>
    </w:rPr>
  </w:style>
  <w:style w:type="paragraph" w:customStyle="1" w:styleId="xl27">
    <w:name w:val="xl27"/>
    <w:basedOn w:val="Normal"/>
    <w:rsid w:val="009049C2"/>
    <w:pPr>
      <w:pBdr>
        <w:left w:val="single" w:sz="8" w:space="0" w:color="auto"/>
      </w:pBdr>
      <w:spacing w:before="100" w:beforeAutospacing="1" w:after="100" w:afterAutospacing="1"/>
    </w:pPr>
    <w:rPr>
      <w:rFonts w:eastAsia="Arial Unicode MS" w:cs="Angsana New"/>
      <w:b/>
      <w:bCs/>
      <w:szCs w:val="22"/>
    </w:rPr>
  </w:style>
  <w:style w:type="paragraph" w:customStyle="1" w:styleId="xl28">
    <w:name w:val="xl28"/>
    <w:basedOn w:val="Normal"/>
    <w:rsid w:val="009049C2"/>
    <w:pPr>
      <w:pBdr>
        <w:left w:val="single" w:sz="8"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xl29">
    <w:name w:val="xl29"/>
    <w:basedOn w:val="Normal"/>
    <w:rsid w:val="009049C2"/>
    <w:pPr>
      <w:pBdr>
        <w:left w:val="single" w:sz="8" w:space="0" w:color="auto"/>
      </w:pBdr>
      <w:spacing w:before="100" w:beforeAutospacing="1" w:after="100" w:afterAutospacing="1"/>
    </w:pPr>
    <w:rPr>
      <w:rFonts w:eastAsia="Arial Unicode MS" w:cs="Angsana New"/>
      <w:szCs w:val="22"/>
    </w:rPr>
  </w:style>
  <w:style w:type="paragraph" w:customStyle="1" w:styleId="xl30">
    <w:name w:val="xl30"/>
    <w:basedOn w:val="Normal"/>
    <w:rsid w:val="009049C2"/>
    <w:pPr>
      <w:pBdr>
        <w:left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31">
    <w:name w:val="xl31"/>
    <w:basedOn w:val="Normal"/>
    <w:rsid w:val="009049C2"/>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2">
    <w:name w:val="xl32"/>
    <w:basedOn w:val="Normal"/>
    <w:rsid w:val="009049C2"/>
    <w:pPr>
      <w:pBdr>
        <w:left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33">
    <w:name w:val="xl33"/>
    <w:basedOn w:val="Normal"/>
    <w:rsid w:val="009049C2"/>
    <w:pPr>
      <w:pBdr>
        <w:right w:val="single" w:sz="8" w:space="0" w:color="auto"/>
      </w:pBdr>
      <w:spacing w:before="100" w:beforeAutospacing="1" w:after="100" w:afterAutospacing="1"/>
    </w:pPr>
    <w:rPr>
      <w:rFonts w:eastAsia="Arial Unicode MS" w:cs="Angsana New"/>
      <w:szCs w:val="22"/>
    </w:rPr>
  </w:style>
  <w:style w:type="paragraph" w:customStyle="1" w:styleId="xl34">
    <w:name w:val="xl34"/>
    <w:basedOn w:val="Normal"/>
    <w:rsid w:val="009049C2"/>
    <w:pPr>
      <w:pBdr>
        <w:left w:val="single" w:sz="8" w:space="0" w:color="auto"/>
      </w:pBdr>
      <w:spacing w:before="100" w:beforeAutospacing="1" w:after="100" w:afterAutospacing="1"/>
      <w:textAlignment w:val="top"/>
    </w:pPr>
    <w:rPr>
      <w:rFonts w:eastAsia="Arial Unicode MS" w:cs="Angsana New"/>
      <w:szCs w:val="22"/>
    </w:rPr>
  </w:style>
  <w:style w:type="paragraph" w:customStyle="1" w:styleId="xl35">
    <w:name w:val="xl35"/>
    <w:basedOn w:val="Normal"/>
    <w:rsid w:val="009049C2"/>
    <w:pPr>
      <w:pBdr>
        <w:left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6">
    <w:name w:val="xl36"/>
    <w:basedOn w:val="Normal"/>
    <w:rsid w:val="009049C2"/>
    <w:pPr>
      <w:pBdr>
        <w:left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37">
    <w:name w:val="xl37"/>
    <w:basedOn w:val="Normal"/>
    <w:rsid w:val="009049C2"/>
    <w:pPr>
      <w:pBdr>
        <w:left w:val="single" w:sz="8" w:space="0" w:color="auto"/>
        <w:bottom w:val="single" w:sz="4" w:space="0" w:color="auto"/>
      </w:pBdr>
      <w:spacing w:before="100" w:beforeAutospacing="1" w:after="100" w:afterAutospacing="1"/>
      <w:textAlignment w:val="top"/>
    </w:pPr>
    <w:rPr>
      <w:rFonts w:eastAsia="Arial Unicode MS" w:cs="Angsana New"/>
      <w:szCs w:val="22"/>
    </w:rPr>
  </w:style>
  <w:style w:type="paragraph" w:customStyle="1" w:styleId="xl38">
    <w:name w:val="xl38"/>
    <w:basedOn w:val="Normal"/>
    <w:rsid w:val="009049C2"/>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Cs w:val="22"/>
    </w:rPr>
  </w:style>
  <w:style w:type="paragraph" w:customStyle="1" w:styleId="xl39">
    <w:name w:val="xl39"/>
    <w:basedOn w:val="Normal"/>
    <w:rsid w:val="009049C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cs="Angsana New"/>
      <w:szCs w:val="22"/>
    </w:rPr>
  </w:style>
  <w:style w:type="paragraph" w:customStyle="1" w:styleId="xl40">
    <w:name w:val="xl40"/>
    <w:basedOn w:val="Normal"/>
    <w:rsid w:val="009049C2"/>
    <w:pPr>
      <w:spacing w:before="100" w:beforeAutospacing="1" w:after="100" w:afterAutospacing="1"/>
      <w:jc w:val="center"/>
      <w:textAlignment w:val="top"/>
    </w:pPr>
    <w:rPr>
      <w:rFonts w:eastAsia="Arial Unicode MS" w:cs="Angsana New"/>
      <w:szCs w:val="22"/>
    </w:rPr>
  </w:style>
  <w:style w:type="paragraph" w:customStyle="1" w:styleId="xl41">
    <w:name w:val="xl41"/>
    <w:basedOn w:val="Normal"/>
    <w:rsid w:val="009049C2"/>
    <w:pPr>
      <w:spacing w:before="100" w:beforeAutospacing="1" w:after="100" w:afterAutospacing="1"/>
      <w:textAlignment w:val="top"/>
    </w:pPr>
    <w:rPr>
      <w:rFonts w:eastAsia="Arial Unicode MS" w:cs="Angsana New"/>
      <w:szCs w:val="22"/>
    </w:rPr>
  </w:style>
  <w:style w:type="paragraph" w:customStyle="1" w:styleId="xl42">
    <w:name w:val="xl42"/>
    <w:basedOn w:val="Normal"/>
    <w:rsid w:val="009049C2"/>
    <w:pPr>
      <w:spacing w:before="100" w:beforeAutospacing="1" w:after="100" w:afterAutospacing="1"/>
      <w:jc w:val="center"/>
    </w:pPr>
    <w:rPr>
      <w:rFonts w:eastAsia="Arial Unicode MS" w:cs="Angsana New"/>
      <w:szCs w:val="22"/>
    </w:rPr>
  </w:style>
  <w:style w:type="paragraph" w:customStyle="1" w:styleId="xl43">
    <w:name w:val="xl43"/>
    <w:basedOn w:val="Normal"/>
    <w:rsid w:val="009049C2"/>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xl44">
    <w:name w:val="xl44"/>
    <w:basedOn w:val="Normal"/>
    <w:rsid w:val="009049C2"/>
    <w:pPr>
      <w:pBdr>
        <w:top w:val="single" w:sz="8" w:space="0" w:color="auto"/>
        <w:bottom w:val="single" w:sz="8" w:space="0" w:color="auto"/>
      </w:pBdr>
      <w:spacing w:before="100" w:beforeAutospacing="1" w:after="100" w:afterAutospacing="1"/>
      <w:jc w:val="center"/>
    </w:pPr>
    <w:rPr>
      <w:rFonts w:eastAsia="Arial Unicode MS" w:cs="Angsana New"/>
      <w:b/>
      <w:bCs/>
      <w:szCs w:val="22"/>
    </w:rPr>
  </w:style>
  <w:style w:type="paragraph" w:customStyle="1" w:styleId="xl45">
    <w:name w:val="xl45"/>
    <w:basedOn w:val="Normal"/>
    <w:rsid w:val="009049C2"/>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46">
    <w:name w:val="xl46"/>
    <w:basedOn w:val="Normal"/>
    <w:rsid w:val="009049C2"/>
    <w:pPr>
      <w:pBdr>
        <w:left w:val="single" w:sz="4" w:space="0" w:color="auto"/>
      </w:pBdr>
      <w:spacing w:before="100" w:beforeAutospacing="1" w:after="100" w:afterAutospacing="1"/>
    </w:pPr>
    <w:rPr>
      <w:rFonts w:eastAsia="Arial Unicode MS" w:cs="Angsana New"/>
      <w:szCs w:val="22"/>
    </w:rPr>
  </w:style>
  <w:style w:type="paragraph" w:customStyle="1" w:styleId="xl47">
    <w:name w:val="xl47"/>
    <w:basedOn w:val="Normal"/>
    <w:rsid w:val="009049C2"/>
    <w:pPr>
      <w:pBdr>
        <w:left w:val="single" w:sz="8" w:space="0" w:color="auto"/>
        <w:bottom w:val="single" w:sz="8" w:space="0" w:color="auto"/>
      </w:pBdr>
      <w:spacing w:before="100" w:beforeAutospacing="1" w:after="100" w:afterAutospacing="1"/>
    </w:pPr>
    <w:rPr>
      <w:rFonts w:eastAsia="Arial Unicode MS" w:cs="Angsana New"/>
      <w:szCs w:val="22"/>
    </w:rPr>
  </w:style>
  <w:style w:type="paragraph" w:customStyle="1" w:styleId="xl48">
    <w:name w:val="xl48"/>
    <w:basedOn w:val="Normal"/>
    <w:rsid w:val="009049C2"/>
    <w:pPr>
      <w:pBdr>
        <w:bottom w:val="single" w:sz="8" w:space="0" w:color="auto"/>
      </w:pBdr>
      <w:spacing w:before="100" w:beforeAutospacing="1" w:after="100" w:afterAutospacing="1"/>
      <w:jc w:val="center"/>
    </w:pPr>
    <w:rPr>
      <w:rFonts w:eastAsia="Arial Unicode MS" w:cs="Angsana New"/>
      <w:szCs w:val="22"/>
    </w:rPr>
  </w:style>
  <w:style w:type="paragraph" w:customStyle="1" w:styleId="xl49">
    <w:name w:val="xl49"/>
    <w:basedOn w:val="Normal"/>
    <w:rsid w:val="009049C2"/>
    <w:pPr>
      <w:pBdr>
        <w:left w:val="single" w:sz="4"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0">
    <w:name w:val="xl50"/>
    <w:basedOn w:val="Normal"/>
    <w:rsid w:val="009049C2"/>
    <w:pPr>
      <w:pBdr>
        <w:left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1">
    <w:name w:val="xl51"/>
    <w:basedOn w:val="Normal"/>
    <w:rsid w:val="009049C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2">
    <w:name w:val="xl52"/>
    <w:basedOn w:val="Normal"/>
    <w:rsid w:val="009049C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53">
    <w:name w:val="xl53"/>
    <w:basedOn w:val="Normal"/>
    <w:rsid w:val="009049C2"/>
    <w:pPr>
      <w:pBdr>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4">
    <w:name w:val="xl54"/>
    <w:basedOn w:val="Normal"/>
    <w:rsid w:val="009049C2"/>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55">
    <w:name w:val="xl55"/>
    <w:basedOn w:val="Normal"/>
    <w:rsid w:val="009049C2"/>
    <w:pPr>
      <w:pBdr>
        <w:top w:val="single" w:sz="8" w:space="0" w:color="auto"/>
      </w:pBdr>
      <w:spacing w:before="100" w:beforeAutospacing="1" w:after="100" w:afterAutospacing="1"/>
    </w:pPr>
    <w:rPr>
      <w:rFonts w:eastAsia="Arial Unicode MS" w:cs="Angsana New"/>
      <w:szCs w:val="22"/>
    </w:rPr>
  </w:style>
  <w:style w:type="paragraph" w:customStyle="1" w:styleId="xl56">
    <w:name w:val="xl56"/>
    <w:basedOn w:val="Normal"/>
    <w:rsid w:val="009049C2"/>
    <w:pPr>
      <w:spacing w:before="100" w:beforeAutospacing="1" w:after="100" w:afterAutospacing="1"/>
    </w:pPr>
    <w:rPr>
      <w:rFonts w:eastAsia="Arial Unicode MS" w:cs="Angsana New"/>
      <w:szCs w:val="22"/>
    </w:rPr>
  </w:style>
  <w:style w:type="paragraph" w:customStyle="1" w:styleId="xl57">
    <w:name w:val="xl57"/>
    <w:basedOn w:val="Normal"/>
    <w:rsid w:val="009049C2"/>
    <w:pPr>
      <w:pBdr>
        <w:bottom w:val="single" w:sz="8" w:space="0" w:color="auto"/>
      </w:pBdr>
      <w:spacing w:before="100" w:beforeAutospacing="1" w:after="100" w:afterAutospacing="1"/>
    </w:pPr>
    <w:rPr>
      <w:rFonts w:eastAsia="Arial Unicode MS" w:cs="Angsana New"/>
      <w:szCs w:val="22"/>
    </w:rPr>
  </w:style>
  <w:style w:type="paragraph" w:customStyle="1" w:styleId="xl58">
    <w:name w:val="xl58"/>
    <w:basedOn w:val="Normal"/>
    <w:rsid w:val="009049C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cs="Angsana New"/>
      <w:b/>
      <w:bCs/>
      <w:szCs w:val="22"/>
    </w:rPr>
  </w:style>
  <w:style w:type="paragraph" w:customStyle="1" w:styleId="xl59">
    <w:name w:val="xl59"/>
    <w:basedOn w:val="Normal"/>
    <w:rsid w:val="009049C2"/>
    <w:pPr>
      <w:pBdr>
        <w:left w:val="single" w:sz="8"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0">
    <w:name w:val="xl60"/>
    <w:basedOn w:val="Normal"/>
    <w:rsid w:val="009049C2"/>
    <w:pPr>
      <w:pBdr>
        <w:left w:val="single" w:sz="8" w:space="0" w:color="auto"/>
        <w:bottom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1">
    <w:name w:val="xl61"/>
    <w:basedOn w:val="Normal"/>
    <w:rsid w:val="009049C2"/>
    <w:pPr>
      <w:pBdr>
        <w:left w:val="single" w:sz="8" w:space="0" w:color="auto"/>
        <w:bottom w:val="single" w:sz="4" w:space="0" w:color="auto"/>
      </w:pBdr>
      <w:spacing w:before="100" w:beforeAutospacing="1" w:after="100" w:afterAutospacing="1"/>
    </w:pPr>
    <w:rPr>
      <w:rFonts w:eastAsia="Arial Unicode MS" w:cs="Angsana New"/>
      <w:szCs w:val="22"/>
    </w:rPr>
  </w:style>
  <w:style w:type="paragraph" w:customStyle="1" w:styleId="xl62">
    <w:name w:val="xl62"/>
    <w:basedOn w:val="Normal"/>
    <w:rsid w:val="009049C2"/>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3">
    <w:name w:val="xl63"/>
    <w:basedOn w:val="Normal"/>
    <w:rsid w:val="009049C2"/>
    <w:pPr>
      <w:pBdr>
        <w:left w:val="single" w:sz="4" w:space="0" w:color="auto"/>
        <w:bottom w:val="single" w:sz="4" w:space="0" w:color="auto"/>
        <w:right w:val="single" w:sz="8" w:space="0" w:color="auto"/>
      </w:pBdr>
      <w:spacing w:before="100" w:beforeAutospacing="1" w:after="100" w:afterAutospacing="1"/>
    </w:pPr>
    <w:rPr>
      <w:rFonts w:eastAsia="Arial Unicode MS" w:cs="Angsana New"/>
      <w:szCs w:val="22"/>
    </w:rPr>
  </w:style>
  <w:style w:type="paragraph" w:customStyle="1" w:styleId="xl64">
    <w:name w:val="xl64"/>
    <w:basedOn w:val="Normal"/>
    <w:rsid w:val="009049C2"/>
    <w:pPr>
      <w:pBdr>
        <w:left w:val="single" w:sz="4" w:space="0" w:color="auto"/>
      </w:pBdr>
      <w:spacing w:before="100" w:beforeAutospacing="1" w:after="100" w:afterAutospacing="1"/>
    </w:pPr>
    <w:rPr>
      <w:rFonts w:eastAsia="Arial Unicode MS" w:cs="Angsana New"/>
      <w:szCs w:val="22"/>
    </w:rPr>
  </w:style>
  <w:style w:type="paragraph" w:customStyle="1" w:styleId="xl65">
    <w:name w:val="xl65"/>
    <w:basedOn w:val="Normal"/>
    <w:rsid w:val="009049C2"/>
    <w:pPr>
      <w:pBdr>
        <w:top w:val="single" w:sz="4" w:space="0" w:color="auto"/>
        <w:left w:val="single" w:sz="8" w:space="0" w:color="auto"/>
        <w:right w:val="single" w:sz="8" w:space="0" w:color="auto"/>
      </w:pBdr>
      <w:spacing w:before="100" w:beforeAutospacing="1" w:after="100" w:afterAutospacing="1"/>
    </w:pPr>
    <w:rPr>
      <w:rFonts w:eastAsia="Arial Unicode MS" w:cs="Angsana New"/>
      <w:szCs w:val="22"/>
    </w:rPr>
  </w:style>
  <w:style w:type="paragraph" w:customStyle="1" w:styleId="xl66">
    <w:name w:val="xl66"/>
    <w:basedOn w:val="Normal"/>
    <w:rsid w:val="009049C2"/>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Cs w:val="22"/>
    </w:rPr>
  </w:style>
  <w:style w:type="paragraph" w:customStyle="1" w:styleId="xl67">
    <w:name w:val="xl67"/>
    <w:basedOn w:val="Normal"/>
    <w:rsid w:val="009049C2"/>
    <w:pPr>
      <w:pBdr>
        <w:left w:val="single" w:sz="4" w:space="0" w:color="auto"/>
        <w:bottom w:val="single" w:sz="8" w:space="0" w:color="auto"/>
      </w:pBdr>
      <w:spacing w:before="100" w:beforeAutospacing="1" w:after="100" w:afterAutospacing="1"/>
    </w:pPr>
    <w:rPr>
      <w:rFonts w:eastAsia="Arial Unicode MS" w:cs="Angsana New"/>
      <w:szCs w:val="22"/>
    </w:rPr>
  </w:style>
  <w:style w:type="paragraph" w:customStyle="1" w:styleId="xl68">
    <w:name w:val="xl68"/>
    <w:basedOn w:val="Normal"/>
    <w:rsid w:val="009049C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Cs w:val="22"/>
    </w:rPr>
  </w:style>
  <w:style w:type="paragraph" w:customStyle="1" w:styleId="Texte">
    <w:name w:val="Texte"/>
    <w:basedOn w:val="Normal"/>
    <w:rsid w:val="009049C2"/>
    <w:pPr>
      <w:widowControl w:val="0"/>
      <w:tabs>
        <w:tab w:val="left" w:pos="720"/>
      </w:tabs>
      <w:spacing w:before="120" w:after="120"/>
    </w:pPr>
    <w:rPr>
      <w:rFonts w:eastAsia="MS Mincho" w:cs="Angsana New"/>
    </w:rPr>
  </w:style>
  <w:style w:type="paragraph" w:customStyle="1" w:styleId="xl22">
    <w:name w:val="xl22"/>
    <w:basedOn w:val="Normal"/>
    <w:rsid w:val="009049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9049C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9049C2"/>
    <w:pPr>
      <w:spacing w:before="100" w:beforeAutospacing="1" w:after="100" w:afterAutospacing="1" w:line="260" w:lineRule="atLeast"/>
    </w:pPr>
    <w:rPr>
      <w:rFonts w:ascii="Arial Unicode MS" w:eastAsia="Arial Unicode MS" w:hAnsi="Arial Unicode MS" w:cs="Arial Unicode MS"/>
      <w:sz w:val="18"/>
      <w:szCs w:val="18"/>
    </w:rPr>
  </w:style>
  <w:style w:type="paragraph" w:styleId="Subtitle">
    <w:name w:val="Subtitle"/>
    <w:basedOn w:val="Normal"/>
    <w:link w:val="SubtitleChar"/>
    <w:qFormat/>
    <w:rsid w:val="009049C2"/>
    <w:rPr>
      <w:rFonts w:eastAsia="MS Mincho" w:cs="Angsana New"/>
      <w:b/>
      <w:bCs/>
    </w:rPr>
  </w:style>
  <w:style w:type="character" w:customStyle="1" w:styleId="SubtitleChar">
    <w:name w:val="Subtitle Char"/>
    <w:basedOn w:val="DefaultParagraphFont"/>
    <w:link w:val="Subtitle"/>
    <w:rsid w:val="009049C2"/>
    <w:rPr>
      <w:rFonts w:eastAsia="MS Mincho" w:cs="Angsana New"/>
      <w:b/>
      <w:bCs/>
      <w:sz w:val="22"/>
      <w:szCs w:val="24"/>
      <w:lang w:val="en-GB"/>
    </w:rPr>
  </w:style>
  <w:style w:type="paragraph" w:customStyle="1" w:styleId="aident">
    <w:name w:val="(a) ident"/>
    <w:basedOn w:val="Normal"/>
    <w:rsid w:val="009049C2"/>
    <w:pPr>
      <w:tabs>
        <w:tab w:val="num" w:pos="1077"/>
      </w:tabs>
      <w:autoSpaceDE w:val="0"/>
      <w:autoSpaceDN w:val="0"/>
      <w:spacing w:before="120" w:after="120"/>
      <w:ind w:left="1077" w:hanging="357"/>
    </w:pPr>
    <w:rPr>
      <w:rFonts w:eastAsia="MS Mincho" w:cs="Angsana New"/>
      <w:snapToGrid w:val="0"/>
      <w:szCs w:val="18"/>
    </w:rPr>
  </w:style>
  <w:style w:type="paragraph" w:customStyle="1" w:styleId="Document1">
    <w:name w:val="Document 1"/>
    <w:basedOn w:val="Normal"/>
    <w:next w:val="Normal"/>
    <w:rsid w:val="009049C2"/>
    <w:pPr>
      <w:suppressAutoHyphens/>
      <w:overflowPunct w:val="0"/>
      <w:autoSpaceDE w:val="0"/>
      <w:autoSpaceDN w:val="0"/>
      <w:adjustRightInd w:val="0"/>
      <w:spacing w:after="120" w:line="240" w:lineRule="exact"/>
      <w:textAlignment w:val="baseline"/>
    </w:pPr>
    <w:rPr>
      <w:rFonts w:ascii="Courier" w:eastAsia="MS Mincho" w:hAnsi="Courier" w:cs="Angsana New"/>
      <w:sz w:val="20"/>
    </w:rPr>
  </w:style>
  <w:style w:type="paragraph" w:customStyle="1" w:styleId="Head2">
    <w:name w:val="Head2"/>
    <w:basedOn w:val="Normal"/>
    <w:rsid w:val="009049C2"/>
    <w:pPr>
      <w:keepNext/>
      <w:overflowPunct w:val="0"/>
      <w:autoSpaceDE w:val="0"/>
      <w:autoSpaceDN w:val="0"/>
      <w:adjustRightInd w:val="0"/>
      <w:spacing w:line="240" w:lineRule="exact"/>
      <w:jc w:val="center"/>
      <w:textAlignment w:val="baseline"/>
    </w:pPr>
    <w:rPr>
      <w:rFonts w:ascii="Courier" w:eastAsia="MS Mincho" w:hAnsi="Courier" w:cs="Angsana New"/>
      <w:sz w:val="20"/>
    </w:rPr>
  </w:style>
  <w:style w:type="paragraph" w:customStyle="1" w:styleId="Masthead">
    <w:name w:val="Masthead"/>
    <w:basedOn w:val="Normal"/>
    <w:next w:val="Normal"/>
    <w:rsid w:val="009049C2"/>
    <w:pPr>
      <w:overflowPunct w:val="0"/>
      <w:autoSpaceDE w:val="0"/>
      <w:autoSpaceDN w:val="0"/>
      <w:adjustRightInd w:val="0"/>
      <w:textAlignment w:val="baseline"/>
    </w:pPr>
    <w:rPr>
      <w:rFonts w:ascii="Courier" w:eastAsia="MS Mincho" w:hAnsi="Courier" w:cs="Angsana New"/>
      <w:sz w:val="20"/>
    </w:rPr>
  </w:style>
  <w:style w:type="paragraph" w:customStyle="1" w:styleId="para1indent">
    <w:name w:val="para1indent"/>
    <w:basedOn w:val="Para1"/>
    <w:rsid w:val="009049C2"/>
    <w:pPr>
      <w:tabs>
        <w:tab w:val="left" w:pos="360"/>
      </w:tabs>
      <w:overflowPunct w:val="0"/>
      <w:autoSpaceDE w:val="0"/>
      <w:autoSpaceDN w:val="0"/>
      <w:adjustRightInd w:val="0"/>
      <w:spacing w:before="0"/>
      <w:textAlignment w:val="baseline"/>
    </w:pPr>
    <w:rPr>
      <w:rFonts w:ascii="Courier" w:eastAsia="MS Mincho" w:hAnsi="Courier" w:cs="Angsana New"/>
      <w:sz w:val="20"/>
      <w:szCs w:val="20"/>
      <w:lang w:val="en-US"/>
    </w:rPr>
  </w:style>
  <w:style w:type="paragraph" w:customStyle="1" w:styleId="Paranumbered">
    <w:name w:val="Paranumbered"/>
    <w:basedOn w:val="Normal"/>
    <w:rsid w:val="009049C2"/>
    <w:pPr>
      <w:tabs>
        <w:tab w:val="left" w:pos="720"/>
      </w:tabs>
      <w:overflowPunct w:val="0"/>
      <w:autoSpaceDE w:val="0"/>
      <w:autoSpaceDN w:val="0"/>
      <w:adjustRightInd w:val="0"/>
      <w:spacing w:before="120" w:after="120" w:line="240" w:lineRule="exact"/>
      <w:textAlignment w:val="baseline"/>
    </w:pPr>
    <w:rPr>
      <w:rFonts w:ascii="Courier" w:eastAsia="MS Mincho" w:hAnsi="Courier" w:cs="Angsana New"/>
      <w:sz w:val="20"/>
    </w:rPr>
  </w:style>
  <w:style w:type="paragraph" w:customStyle="1" w:styleId="p3">
    <w:name w:val="p3"/>
    <w:basedOn w:val="Normal"/>
    <w:rsid w:val="009049C2"/>
    <w:pPr>
      <w:widowControl w:val="0"/>
      <w:tabs>
        <w:tab w:val="left" w:pos="204"/>
      </w:tabs>
      <w:autoSpaceDE w:val="0"/>
      <w:autoSpaceDN w:val="0"/>
      <w:adjustRightInd w:val="0"/>
      <w:spacing w:line="260" w:lineRule="atLeast"/>
    </w:pPr>
    <w:rPr>
      <w:rFonts w:eastAsia="MS Mincho" w:cs="Angsana New"/>
      <w:sz w:val="20"/>
    </w:rPr>
  </w:style>
  <w:style w:type="paragraph" w:styleId="HTMLPreformatted">
    <w:name w:val="HTML Preformatted"/>
    <w:basedOn w:val="Normal"/>
    <w:link w:val="HTMLPreformattedChar"/>
    <w:rsid w:val="00904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rPr>
  </w:style>
  <w:style w:type="character" w:customStyle="1" w:styleId="HTMLPreformattedChar">
    <w:name w:val="HTML Preformatted Char"/>
    <w:basedOn w:val="DefaultParagraphFont"/>
    <w:link w:val="HTMLPreformatted"/>
    <w:rsid w:val="009049C2"/>
    <w:rPr>
      <w:rFonts w:ascii="Courier New" w:eastAsia="MS Mincho" w:hAnsi="Courier New" w:cs="Courier New"/>
      <w:szCs w:val="24"/>
      <w:lang w:val="en-GB"/>
    </w:rPr>
  </w:style>
  <w:style w:type="paragraph" w:customStyle="1" w:styleId="Para1alternative">
    <w:name w:val="Para1 (alternative)"/>
    <w:basedOn w:val="Normal"/>
    <w:rsid w:val="009049C2"/>
    <w:pPr>
      <w:numPr>
        <w:numId w:val="79"/>
      </w:numPr>
      <w:spacing w:before="120" w:after="120"/>
    </w:pPr>
    <w:rPr>
      <w:rFonts w:eastAsia="MS Mincho" w:cs="Angsana New"/>
      <w:snapToGrid w:val="0"/>
      <w:szCs w:val="18"/>
    </w:rPr>
  </w:style>
  <w:style w:type="paragraph" w:customStyle="1" w:styleId="MainParanoChapter">
    <w:name w:val="Main Para no Chapter #"/>
    <w:basedOn w:val="Normal"/>
    <w:rsid w:val="009049C2"/>
    <w:pPr>
      <w:tabs>
        <w:tab w:val="left" w:pos="810"/>
      </w:tabs>
      <w:overflowPunct w:val="0"/>
      <w:autoSpaceDE w:val="0"/>
      <w:autoSpaceDN w:val="0"/>
      <w:adjustRightInd w:val="0"/>
      <w:spacing w:after="240"/>
      <w:textAlignment w:val="baseline"/>
    </w:pPr>
    <w:rPr>
      <w:rFonts w:eastAsia="MS Mincho" w:cs="Angsana New"/>
    </w:rPr>
  </w:style>
  <w:style w:type="character" w:customStyle="1" w:styleId="content1">
    <w:name w:val="content1"/>
    <w:rsid w:val="009049C2"/>
    <w:rPr>
      <w:rFonts w:ascii="Arial" w:hAnsi="Arial" w:cs="Arial" w:hint="default"/>
      <w:b w:val="0"/>
      <w:bCs w:val="0"/>
      <w:color w:val="000000"/>
      <w:sz w:val="24"/>
      <w:szCs w:val="24"/>
    </w:rPr>
  </w:style>
  <w:style w:type="character" w:customStyle="1" w:styleId="BodyText2CharCharChar">
    <w:name w:val="Body Text 2 Char Char Char"/>
    <w:rsid w:val="009049C2"/>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9049C2"/>
    <w:rPr>
      <w:sz w:val="22"/>
      <w:lang w:val="en-US" w:eastAsia="en-US" w:bidi="ar-SA"/>
    </w:rPr>
  </w:style>
  <w:style w:type="character" w:customStyle="1" w:styleId="Heading2Char">
    <w:name w:val="Heading 2 Char"/>
    <w:rsid w:val="009049C2"/>
    <w:rPr>
      <w:b/>
      <w:bCs/>
      <w:i/>
      <w:iCs/>
      <w:sz w:val="22"/>
      <w:szCs w:val="24"/>
      <w:lang w:val="en-GB" w:eastAsia="en-US" w:bidi="ar-SA"/>
    </w:rPr>
  </w:style>
  <w:style w:type="paragraph" w:customStyle="1" w:styleId="subhead">
    <w:name w:val="subhead"/>
    <w:basedOn w:val="Normal"/>
    <w:next w:val="Para1"/>
    <w:rsid w:val="009049C2"/>
    <w:pPr>
      <w:spacing w:before="120" w:after="120"/>
      <w:jc w:val="center"/>
    </w:pPr>
    <w:rPr>
      <w:rFonts w:eastAsia="MS Mincho" w:cs="Angsana New"/>
      <w:i/>
    </w:rPr>
  </w:style>
  <w:style w:type="character" w:customStyle="1" w:styleId="BlockTextChar">
    <w:name w:val="Block Text Char"/>
    <w:rsid w:val="009049C2"/>
    <w:rPr>
      <w:sz w:val="24"/>
      <w:szCs w:val="24"/>
      <w:lang w:val="en-US" w:eastAsia="en-US" w:bidi="ar-SA"/>
    </w:rPr>
  </w:style>
  <w:style w:type="paragraph" w:customStyle="1" w:styleId="bodytext210">
    <w:name w:val="bodytext21"/>
    <w:basedOn w:val="Normal"/>
    <w:rsid w:val="009049C2"/>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9049C2"/>
    <w:rPr>
      <w:sz w:val="22"/>
      <w:lang w:val="en-US" w:eastAsia="en-US" w:bidi="ar-SA"/>
    </w:rPr>
  </w:style>
  <w:style w:type="character" w:customStyle="1" w:styleId="MathieuRgnier">
    <w:name w:val="Mathieu Régnier"/>
    <w:semiHidden/>
    <w:rsid w:val="009049C2"/>
    <w:rPr>
      <w:rFonts w:ascii="Arial" w:hAnsi="Arial" w:cs="Arial"/>
      <w:color w:val="auto"/>
      <w:sz w:val="20"/>
      <w:szCs w:val="20"/>
    </w:rPr>
  </w:style>
  <w:style w:type="paragraph" w:customStyle="1" w:styleId="Para2rev">
    <w:name w:val="Para 2 (rev)"/>
    <w:basedOn w:val="Normal"/>
    <w:rsid w:val="009049C2"/>
    <w:pPr>
      <w:tabs>
        <w:tab w:val="num" w:pos="720"/>
      </w:tabs>
      <w:spacing w:after="120"/>
      <w:ind w:left="720" w:hanging="360"/>
    </w:pPr>
    <w:rPr>
      <w:rFonts w:eastAsia="MS Mincho" w:cs="Angsana New"/>
    </w:rPr>
  </w:style>
  <w:style w:type="numbering" w:styleId="111111">
    <w:name w:val="Outline List 2"/>
    <w:basedOn w:val="NoList"/>
    <w:rsid w:val="009049C2"/>
    <w:pPr>
      <w:numPr>
        <w:numId w:val="80"/>
      </w:numPr>
    </w:pPr>
  </w:style>
  <w:style w:type="character" w:customStyle="1" w:styleId="Heading1longmultilineChar">
    <w:name w:val="Heading 1 (long multiline) Char"/>
    <w:basedOn w:val="Heading1Char"/>
    <w:link w:val="Heading1longmultiline"/>
    <w:rsid w:val="009049C2"/>
    <w:rPr>
      <w:b/>
      <w:caps/>
      <w:sz w:val="22"/>
      <w:szCs w:val="24"/>
      <w:lang w:val="en-GB"/>
    </w:rPr>
  </w:style>
  <w:style w:type="paragraph" w:customStyle="1" w:styleId="ColorfulList-Accent11">
    <w:name w:val="Colorful List - Accent 11"/>
    <w:basedOn w:val="Normal"/>
    <w:uiPriority w:val="34"/>
    <w:qFormat/>
    <w:rsid w:val="009049C2"/>
    <w:pPr>
      <w:ind w:left="720"/>
    </w:pPr>
    <w:rPr>
      <w:rFonts w:eastAsia="MS Mincho" w:cs="Angsana New"/>
    </w:rPr>
  </w:style>
  <w:style w:type="character" w:customStyle="1" w:styleId="apple-style-span">
    <w:name w:val="apple-style-span"/>
    <w:rsid w:val="009049C2"/>
  </w:style>
  <w:style w:type="character" w:customStyle="1" w:styleId="FooterChar">
    <w:name w:val="Footer Char"/>
    <w:link w:val="Footer"/>
    <w:rsid w:val="009049C2"/>
    <w:rPr>
      <w:sz w:val="22"/>
      <w:szCs w:val="24"/>
      <w:lang w:val="en-GB"/>
    </w:rPr>
  </w:style>
  <w:style w:type="paragraph" w:customStyle="1" w:styleId="PlainTable31">
    <w:name w:val="Plain Table 31"/>
    <w:basedOn w:val="Normal"/>
    <w:uiPriority w:val="34"/>
    <w:qFormat/>
    <w:rsid w:val="009049C2"/>
    <w:pPr>
      <w:ind w:left="720"/>
    </w:pPr>
    <w:rPr>
      <w:rFonts w:eastAsia="MS Mincho" w:cs="Angsana New"/>
    </w:rPr>
  </w:style>
  <w:style w:type="paragraph" w:customStyle="1" w:styleId="StyleHeading3TimesNewRomanBoldBoldNotItalicAllcaps">
    <w:name w:val="Style Heading 3 + Times New Roman Bold Bold Not Italic All caps"/>
    <w:basedOn w:val="Heading3"/>
    <w:next w:val="Heading2"/>
    <w:rsid w:val="009049C2"/>
    <w:rPr>
      <w:rFonts w:ascii="Times New Roman Bold" w:eastAsia="MS Mincho" w:hAnsi="Times New Roman Bold" w:cs="Angsana New"/>
      <w:b/>
      <w:bCs/>
      <w:i w:val="0"/>
      <w:iCs w:val="0"/>
      <w:caps/>
    </w:rPr>
  </w:style>
  <w:style w:type="paragraph" w:customStyle="1" w:styleId="Bibliography1">
    <w:name w:val="Bibliography1"/>
    <w:uiPriority w:val="1"/>
    <w:qFormat/>
    <w:rsid w:val="009049C2"/>
    <w:rPr>
      <w:rFonts w:ascii="Calibri" w:eastAsia="MS Mincho" w:hAnsi="Calibri"/>
      <w:sz w:val="22"/>
      <w:szCs w:val="22"/>
      <w:lang w:val="en-US" w:eastAsia="en-US"/>
    </w:rPr>
  </w:style>
  <w:style w:type="paragraph" w:customStyle="1" w:styleId="Paraa">
    <w:name w:val="Para (a)"/>
    <w:basedOn w:val="Normal"/>
    <w:rsid w:val="009049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Cs w:val="20"/>
      <w:lang w:eastAsia="zh-CN"/>
    </w:rPr>
  </w:style>
  <w:style w:type="character" w:customStyle="1" w:styleId="StyleFootnoteReferenceNounderlineSuperscriptKernat10pt">
    <w:name w:val="Style Footnote Reference + No underline Superscript Kern at 10 pt"/>
    <w:rsid w:val="009049C2"/>
    <w:rPr>
      <w:kern w:val="20"/>
      <w:sz w:val="22"/>
      <w:u w:val="none"/>
      <w:vertAlign w:val="superscript"/>
    </w:rPr>
  </w:style>
  <w:style w:type="character" w:customStyle="1" w:styleId="s13">
    <w:name w:val="s13"/>
    <w:rsid w:val="009049C2"/>
  </w:style>
  <w:style w:type="paragraph" w:customStyle="1" w:styleId="PlainTable21">
    <w:name w:val="Plain Table 21"/>
    <w:hidden/>
    <w:uiPriority w:val="99"/>
    <w:semiHidden/>
    <w:rsid w:val="009049C2"/>
    <w:rPr>
      <w:rFonts w:eastAsia="MS Mincho" w:cs="Angsana New"/>
      <w:sz w:val="22"/>
      <w:szCs w:val="24"/>
      <w:lang w:val="en-GB" w:eastAsia="en-US"/>
    </w:rPr>
  </w:style>
  <w:style w:type="paragraph" w:customStyle="1" w:styleId="PlainTable22">
    <w:name w:val="Plain Table 22"/>
    <w:hidden/>
    <w:uiPriority w:val="99"/>
    <w:semiHidden/>
    <w:rsid w:val="009049C2"/>
    <w:rPr>
      <w:rFonts w:eastAsia="MS Mincho" w:cs="Angsana New"/>
      <w:sz w:val="22"/>
      <w:szCs w:val="24"/>
      <w:lang w:val="en-GB" w:eastAsia="en-US"/>
    </w:rPr>
  </w:style>
  <w:style w:type="paragraph" w:customStyle="1" w:styleId="PlainTable32">
    <w:name w:val="Plain Table 32"/>
    <w:basedOn w:val="Normal"/>
    <w:uiPriority w:val="34"/>
    <w:qFormat/>
    <w:rsid w:val="009049C2"/>
    <w:pPr>
      <w:ind w:left="720"/>
    </w:pPr>
    <w:rPr>
      <w:rFonts w:eastAsia="MS Mincho" w:cs="Angsana New"/>
    </w:rPr>
  </w:style>
  <w:style w:type="character" w:customStyle="1" w:styleId="EndnoteTextChar">
    <w:name w:val="Endnote Text Char"/>
    <w:link w:val="EndnoteText"/>
    <w:uiPriority w:val="99"/>
    <w:rsid w:val="009049C2"/>
    <w:rPr>
      <w:rFonts w:ascii="Courier New" w:hAnsi="Courier New"/>
      <w:sz w:val="22"/>
      <w:szCs w:val="24"/>
      <w:lang w:val="en-GB"/>
    </w:rPr>
  </w:style>
  <w:style w:type="character" w:customStyle="1" w:styleId="UnresolvedMention">
    <w:name w:val="Unresolved Mention"/>
    <w:basedOn w:val="DefaultParagraphFont"/>
    <w:uiPriority w:val="99"/>
    <w:semiHidden/>
    <w:unhideWhenUsed/>
    <w:rsid w:val="00E31E6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1-ar.pdf" TargetMode="External"/><Relationship Id="rId18" Type="http://schemas.openxmlformats.org/officeDocument/2006/relationships/hyperlink" Target="https://www.cbd.int/doc/decisions/cop-12/cop-12-dec-02-a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cbd.int/doc/decisions/cop-09/cop-09-dec-09-ar.pdf" TargetMode="External"/><Relationship Id="rId17" Type="http://schemas.openxmlformats.org/officeDocument/2006/relationships/hyperlink" Target="https://www.cbd.int/doc/decisions/cop-11/cop-11-dec-03-ar.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bd.int/doc/recommendations/sbi-01/sbi-01-rec-01-ar.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0/cop-10-dec-10-ar.pdf"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cbd.int/doc/decisions/cop-10/cop-10-dec-02-ar.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cbd.int/doc/decisions/cop-11/cop-11-dec-02-ar.pdf"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targets/default.shtml" TargetMode="External"/><Relationship Id="rId2" Type="http://schemas.openxmlformats.org/officeDocument/2006/relationships/hyperlink" Target="https://www.cbd.int/doc/meetings/cop/cop-13/official/cop-13-08-add2-rev1-ar.pdf" TargetMode="External"/><Relationship Id="rId1" Type="http://schemas.openxmlformats.org/officeDocument/2006/relationships/hyperlink" Target="https://www.cbd.int/doc/c/a50d/c7ff/1d1d28a5752ca452e132a059/sbi-02-01-ar.pdf" TargetMode="External"/><Relationship Id="rId5" Type="http://schemas.openxmlformats.org/officeDocument/2006/relationships/hyperlink" Target="https://www.cbd.int/doc/meetings/cop/cop-13/official/cop-13-08-add2-rev1-ar.pdf" TargetMode="External"/><Relationship Id="rId4" Type="http://schemas.openxmlformats.org/officeDocument/2006/relationships/hyperlink" Target="https://www.cbd.int/doc/meetings/sbi/sbi-01/official/sbi-01-02-add2-a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16F1-A1B4-4D73-A2B8-EBEC047D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63</TotalTime>
  <Pages>14</Pages>
  <Words>7332</Words>
  <Characters>41796</Characters>
  <Application>Microsoft Office Word</Application>
  <DocSecurity>0</DocSecurity>
  <Lines>348</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Analysis of the contribution of targets established by Parties and progress towards the Aichi Biodiversity Targets</vt:lpstr>
      <vt:lpstr>Analysis of the contribution of targets established by Parties and progress towards the Aichi Biodiversity Targets</vt:lpstr>
    </vt:vector>
  </TitlesOfParts>
  <Company>Biodiversity</Company>
  <LinksUpToDate>false</LinksUpToDate>
  <CharactersWithSpaces>49030</CharactersWithSpaces>
  <SharedDoc>false</SharedDoc>
  <HyperlinkBase/>
  <HLinks>
    <vt:vector size="48" baseType="variant">
      <vt:variant>
        <vt:i4>720972</vt:i4>
      </vt:variant>
      <vt:variant>
        <vt:i4>15</vt:i4>
      </vt:variant>
      <vt:variant>
        <vt:i4>0</vt:i4>
      </vt:variant>
      <vt:variant>
        <vt:i4>5</vt:i4>
      </vt:variant>
      <vt:variant>
        <vt:lpwstr>https://www.cbd.int/doc/decisions/cop-12/cop-12-dec-02-en.pdf</vt:lpwstr>
      </vt:variant>
      <vt:variant>
        <vt:lpwstr/>
      </vt:variant>
      <vt:variant>
        <vt:i4>589903</vt:i4>
      </vt:variant>
      <vt:variant>
        <vt:i4>12</vt:i4>
      </vt:variant>
      <vt:variant>
        <vt:i4>0</vt:i4>
      </vt:variant>
      <vt:variant>
        <vt:i4>5</vt:i4>
      </vt:variant>
      <vt:variant>
        <vt:lpwstr>https://www.cbd.int/doc/decisions/cop-11/cop-11-dec-03-en.pdf</vt:lpwstr>
      </vt:variant>
      <vt:variant>
        <vt:lpwstr/>
      </vt:variant>
      <vt:variant>
        <vt:i4>7209021</vt:i4>
      </vt:variant>
      <vt:variant>
        <vt:i4>9</vt:i4>
      </vt:variant>
      <vt:variant>
        <vt:i4>0</vt:i4>
      </vt:variant>
      <vt:variant>
        <vt:i4>5</vt:i4>
      </vt:variant>
      <vt:variant>
        <vt:lpwstr>https://www.cbd.int/doc/recommendations/sbi-01/sbi-01-rec-01-ar.pdf</vt:lpwstr>
      </vt:variant>
      <vt:variant>
        <vt:lpwstr/>
      </vt:variant>
      <vt:variant>
        <vt:i4>983123</vt:i4>
      </vt:variant>
      <vt:variant>
        <vt:i4>6</vt:i4>
      </vt:variant>
      <vt:variant>
        <vt:i4>0</vt:i4>
      </vt:variant>
      <vt:variant>
        <vt:i4>5</vt:i4>
      </vt:variant>
      <vt:variant>
        <vt:lpwstr>https://www.cbd.int/doc/decisions/cop-10/cop-10-dec-10-ar.pdf</vt:lpwstr>
      </vt:variant>
      <vt:variant>
        <vt:lpwstr/>
      </vt:variant>
      <vt:variant>
        <vt:i4>786515</vt:i4>
      </vt:variant>
      <vt:variant>
        <vt:i4>3</vt:i4>
      </vt:variant>
      <vt:variant>
        <vt:i4>0</vt:i4>
      </vt:variant>
      <vt:variant>
        <vt:i4>5</vt:i4>
      </vt:variant>
      <vt:variant>
        <vt:lpwstr>https://www.cbd.int/doc/decisions/cop-11/cop-11-dec-02-ar.pdf</vt:lpwstr>
      </vt:variant>
      <vt:variant>
        <vt:lpwstr/>
      </vt:variant>
      <vt:variant>
        <vt:i4>3342436</vt:i4>
      </vt:variant>
      <vt:variant>
        <vt:i4>0</vt:i4>
      </vt:variant>
      <vt:variant>
        <vt:i4>0</vt:i4>
      </vt:variant>
      <vt:variant>
        <vt:i4>5</vt:i4>
      </vt:variant>
      <vt:variant>
        <vt:lpwstr>https://www.cbd.int/doc/decisions/cop-09/cop-09-dec-09arpdf</vt:lpwstr>
      </vt:variant>
      <vt:variant>
        <vt:lpwstr/>
      </vt:variant>
      <vt:variant>
        <vt:i4>7798819</vt:i4>
      </vt:variant>
      <vt:variant>
        <vt:i4>3</vt:i4>
      </vt:variant>
      <vt:variant>
        <vt:i4>0</vt:i4>
      </vt:variant>
      <vt:variant>
        <vt:i4>5</vt:i4>
      </vt:variant>
      <vt:variant>
        <vt:lpwstr>https://www.cbd.int/nbsap/targets/default.shtml</vt:lpwstr>
      </vt:variant>
      <vt:variant>
        <vt:lpwstr/>
      </vt:variant>
      <vt:variant>
        <vt:i4>8192112</vt:i4>
      </vt:variant>
      <vt:variant>
        <vt:i4>0</vt:i4>
      </vt:variant>
      <vt:variant>
        <vt:i4>0</vt:i4>
      </vt:variant>
      <vt:variant>
        <vt:i4>5</vt:i4>
      </vt:variant>
      <vt:variant>
        <vt:lpwstr>https://www.cbd.int/doc/meetings/cop/cop-13/official/cop-13-08-add2-rev1-ar.pdf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contribution of targets established by Parties and progress towards the Aichi Biodiversity Targets</dc:title>
  <dc:subject>CBD/SBI/2/2/Add.2</dc:subject>
  <dc:creator>SCBD</dc:creator>
  <cp:lastModifiedBy>Mohamed El Sehemawi</cp:lastModifiedBy>
  <cp:revision>10</cp:revision>
  <cp:lastPrinted>2018-03-28T19:21:00Z</cp:lastPrinted>
  <dcterms:created xsi:type="dcterms:W3CDTF">2018-03-27T22:17:00Z</dcterms:created>
  <dcterms:modified xsi:type="dcterms:W3CDTF">2018-03-28T19:21:00Z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CBD.*.*...Distr..GENERAL..CBD/SBI/2/2/Add.2.13 March 2018..ARABIC.ORIGINAL: ENGLISH .*..الهيئة الفرعية المعنية بالتنفيذ.الاجتماع الثاني.مونتريال، كندا، 9-13 يوليه/تموز 2018.البند 3 من جدول الأعمال المؤقت*..</vt:lpwstr>
  </property>
</Properties>
</file>