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45409E" w14:paraId="7DAAC700" w14:textId="77777777" w:rsidTr="009C2DE6">
        <w:trPr>
          <w:trHeight w:val="851"/>
        </w:trPr>
        <w:tc>
          <w:tcPr>
            <w:tcW w:w="976" w:type="dxa"/>
            <w:tcBorders>
              <w:bottom w:val="single" w:sz="12" w:space="0" w:color="auto"/>
            </w:tcBorders>
          </w:tcPr>
          <w:p w14:paraId="7DAAC6FD" w14:textId="77777777" w:rsidR="00C9161D" w:rsidRPr="0045409E" w:rsidRDefault="00C9161D" w:rsidP="00B00053">
            <w:pPr>
              <w:suppressLineNumbers/>
              <w:suppressAutoHyphens/>
              <w:kinsoku w:val="0"/>
              <w:overflowPunct w:val="0"/>
              <w:autoSpaceDE w:val="0"/>
              <w:autoSpaceDN w:val="0"/>
              <w:adjustRightInd w:val="0"/>
              <w:snapToGrid w:val="0"/>
              <w:rPr>
                <w:snapToGrid w:val="0"/>
                <w:kern w:val="22"/>
              </w:rPr>
            </w:pPr>
            <w:r w:rsidRPr="0045409E">
              <w:rPr>
                <w:noProof/>
                <w:snapToGrid w:val="0"/>
                <w:lang w:val="es-ES_tradnl" w:eastAsia="es-ES_tradnl"/>
              </w:rPr>
              <w:drawing>
                <wp:inline distT="0" distB="0" distL="0" distR="0" wp14:anchorId="7DAAC7EB" wp14:editId="7DAAC7E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7DAAC6FE" w14:textId="77777777" w:rsidR="00FA663B" w:rsidRPr="0045409E" w:rsidRDefault="00823011" w:rsidP="00B00053">
            <w:pPr>
              <w:suppressLineNumbers/>
              <w:suppressAutoHyphens/>
              <w:kinsoku w:val="0"/>
              <w:overflowPunct w:val="0"/>
              <w:autoSpaceDE w:val="0"/>
              <w:autoSpaceDN w:val="0"/>
              <w:adjustRightInd w:val="0"/>
              <w:snapToGrid w:val="0"/>
              <w:rPr>
                <w:snapToGrid w:val="0"/>
                <w:kern w:val="22"/>
              </w:rPr>
            </w:pPr>
            <w:r w:rsidRPr="0045409E">
              <w:rPr>
                <w:noProof/>
                <w:snapToGrid w:val="0"/>
                <w:lang w:val="es-ES_tradnl" w:eastAsia="es-ES_tradnl"/>
              </w:rPr>
              <w:drawing>
                <wp:inline distT="0" distB="0" distL="0" distR="0" wp14:anchorId="7DAAC7ED" wp14:editId="7DAAC7EE">
                  <wp:extent cx="866775" cy="371475"/>
                  <wp:effectExtent l="0" t="0" r="9525" b="9525"/>
                  <wp:docPr id="3"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14:paraId="7DAAC6FF" w14:textId="77777777" w:rsidR="00247810" w:rsidRPr="0045409E" w:rsidRDefault="00C9161D" w:rsidP="00302CD2">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45409E">
              <w:rPr>
                <w:rFonts w:ascii="Arial" w:hAnsi="Arial"/>
                <w:b/>
                <w:snapToGrid w:val="0"/>
                <w:sz w:val="32"/>
                <w:szCs w:val="32"/>
              </w:rPr>
              <w:t>CBD</w:t>
            </w:r>
          </w:p>
        </w:tc>
      </w:tr>
      <w:tr w:rsidR="00C9161D" w:rsidRPr="003C0741" w14:paraId="7DAAC70B" w14:textId="77777777" w:rsidTr="00CF1848">
        <w:tc>
          <w:tcPr>
            <w:tcW w:w="6117" w:type="dxa"/>
            <w:gridSpan w:val="2"/>
            <w:tcBorders>
              <w:top w:val="single" w:sz="12" w:space="0" w:color="auto"/>
              <w:bottom w:val="single" w:sz="36" w:space="0" w:color="auto"/>
            </w:tcBorders>
            <w:vAlign w:val="center"/>
          </w:tcPr>
          <w:p w14:paraId="7DAAC701" w14:textId="77777777" w:rsidR="00C9161D" w:rsidRPr="0045409E" w:rsidRDefault="00823011" w:rsidP="00B00053">
            <w:pPr>
              <w:suppressLineNumbers/>
              <w:suppressAutoHyphens/>
              <w:kinsoku w:val="0"/>
              <w:overflowPunct w:val="0"/>
              <w:autoSpaceDE w:val="0"/>
              <w:autoSpaceDN w:val="0"/>
              <w:adjustRightInd w:val="0"/>
              <w:snapToGrid w:val="0"/>
              <w:rPr>
                <w:snapToGrid w:val="0"/>
                <w:kern w:val="22"/>
              </w:rPr>
            </w:pPr>
            <w:r w:rsidRPr="0045409E">
              <w:rPr>
                <w:noProof/>
                <w:snapToGrid w:val="0"/>
                <w:lang w:val="es-ES_tradnl" w:eastAsia="es-ES_tradnl"/>
              </w:rPr>
              <w:drawing>
                <wp:inline distT="0" distB="0" distL="0" distR="0" wp14:anchorId="7DAAC7EF" wp14:editId="7DAAC7F0">
                  <wp:extent cx="2619375" cy="1085850"/>
                  <wp:effectExtent l="0" t="0" r="9525"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DAAC702" w14:textId="77777777" w:rsidR="00C9161D" w:rsidRPr="003C0741" w:rsidRDefault="00C9161D" w:rsidP="00B00053">
            <w:pPr>
              <w:suppressLineNumbers/>
              <w:suppressAutoHyphens/>
              <w:kinsoku w:val="0"/>
              <w:overflowPunct w:val="0"/>
              <w:autoSpaceDE w:val="0"/>
              <w:autoSpaceDN w:val="0"/>
              <w:adjustRightInd w:val="0"/>
              <w:snapToGrid w:val="0"/>
              <w:ind w:left="1215"/>
              <w:rPr>
                <w:snapToGrid w:val="0"/>
                <w:kern w:val="22"/>
                <w:szCs w:val="22"/>
                <w:lang w:val="en-US"/>
              </w:rPr>
            </w:pPr>
            <w:r w:rsidRPr="003C0741">
              <w:rPr>
                <w:snapToGrid w:val="0"/>
                <w:szCs w:val="22"/>
                <w:lang w:val="en-US"/>
              </w:rPr>
              <w:t>Distr.</w:t>
            </w:r>
          </w:p>
          <w:p w14:paraId="7DAAC703" w14:textId="77777777" w:rsidR="00C9161D" w:rsidRPr="003C0741" w:rsidRDefault="00733FC4" w:rsidP="00B00053">
            <w:pPr>
              <w:suppressLineNumbers/>
              <w:suppressAutoHyphens/>
              <w:kinsoku w:val="0"/>
              <w:overflowPunct w:val="0"/>
              <w:autoSpaceDE w:val="0"/>
              <w:autoSpaceDN w:val="0"/>
              <w:adjustRightInd w:val="0"/>
              <w:snapToGrid w:val="0"/>
              <w:ind w:left="1215"/>
              <w:rPr>
                <w:snapToGrid w:val="0"/>
                <w:kern w:val="22"/>
                <w:szCs w:val="22"/>
                <w:lang w:val="en-US"/>
              </w:rPr>
            </w:pPr>
            <w:r w:rsidRPr="003C0741">
              <w:rPr>
                <w:caps/>
                <w:snapToGrid w:val="0"/>
                <w:szCs w:val="22"/>
                <w:lang w:val="en-US"/>
              </w:rPr>
              <w:t>GENERAL</w:t>
            </w:r>
          </w:p>
          <w:p w14:paraId="7DAAC704" w14:textId="77777777" w:rsidR="00C9161D" w:rsidRPr="003C0741" w:rsidRDefault="00C9161D" w:rsidP="00B00053">
            <w:pPr>
              <w:suppressLineNumbers/>
              <w:suppressAutoHyphens/>
              <w:kinsoku w:val="0"/>
              <w:overflowPunct w:val="0"/>
              <w:autoSpaceDE w:val="0"/>
              <w:autoSpaceDN w:val="0"/>
              <w:adjustRightInd w:val="0"/>
              <w:snapToGrid w:val="0"/>
              <w:ind w:left="1215"/>
              <w:rPr>
                <w:snapToGrid w:val="0"/>
                <w:kern w:val="22"/>
                <w:szCs w:val="22"/>
                <w:lang w:val="en-US"/>
              </w:rPr>
            </w:pPr>
          </w:p>
          <w:p w14:paraId="7DAAC705" w14:textId="77777777" w:rsidR="00C9161D" w:rsidRPr="003C0741" w:rsidRDefault="0064443E" w:rsidP="00B00053">
            <w:pPr>
              <w:suppressLineNumbers/>
              <w:suppressAutoHyphens/>
              <w:kinsoku w:val="0"/>
              <w:overflowPunct w:val="0"/>
              <w:autoSpaceDE w:val="0"/>
              <w:autoSpaceDN w:val="0"/>
              <w:adjustRightInd w:val="0"/>
              <w:snapToGrid w:val="0"/>
              <w:ind w:left="1215"/>
              <w:rPr>
                <w:snapToGrid w:val="0"/>
                <w:kern w:val="22"/>
                <w:szCs w:val="22"/>
                <w:lang w:val="en-US"/>
              </w:rPr>
            </w:pPr>
            <w:sdt>
              <w:sdtPr>
                <w:rPr>
                  <w:rFonts w:asciiTheme="majorBidi" w:hAnsiTheme="majorBidi" w:cstheme="majorBidi"/>
                  <w:szCs w:val="22"/>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C0741" w:rsidRPr="003C0741">
                  <w:rPr>
                    <w:rFonts w:asciiTheme="majorBidi" w:hAnsiTheme="majorBidi" w:cstheme="majorBidi"/>
                    <w:szCs w:val="22"/>
                    <w:lang w:val="en-US"/>
                  </w:rPr>
                  <w:t>CBD/COP/15/1</w:t>
                </w:r>
                <w:r w:rsidR="003C0741">
                  <w:rPr>
                    <w:rFonts w:asciiTheme="majorBidi" w:hAnsiTheme="majorBidi" w:cstheme="majorBidi"/>
                    <w:szCs w:val="22"/>
                    <w:lang w:val="en-US"/>
                  </w:rPr>
                  <w:t>3</w:t>
                </w:r>
              </w:sdtContent>
            </w:sdt>
          </w:p>
          <w:p w14:paraId="7DAAC706" w14:textId="77777777" w:rsidR="00C9161D" w:rsidRPr="003C0741" w:rsidRDefault="003C0741" w:rsidP="00B00053">
            <w:pPr>
              <w:suppressLineNumbers/>
              <w:suppressAutoHyphens/>
              <w:kinsoku w:val="0"/>
              <w:overflowPunct w:val="0"/>
              <w:autoSpaceDE w:val="0"/>
              <w:autoSpaceDN w:val="0"/>
              <w:adjustRightInd w:val="0"/>
              <w:snapToGrid w:val="0"/>
              <w:ind w:left="1215"/>
              <w:rPr>
                <w:snapToGrid w:val="0"/>
                <w:kern w:val="22"/>
                <w:szCs w:val="22"/>
                <w:lang w:val="en-US"/>
              </w:rPr>
            </w:pPr>
            <w:r w:rsidRPr="00D25A1C">
              <w:rPr>
                <w:rFonts w:asciiTheme="majorBidi" w:hAnsiTheme="majorBidi" w:cstheme="majorBidi"/>
                <w:szCs w:val="22"/>
                <w:lang w:val="en-US"/>
              </w:rPr>
              <w:t xml:space="preserve">1 November </w:t>
            </w:r>
            <w:r w:rsidR="00F30A1E" w:rsidRPr="003C0741">
              <w:rPr>
                <w:snapToGrid w:val="0"/>
                <w:szCs w:val="22"/>
                <w:lang w:val="en-US"/>
              </w:rPr>
              <w:t>2022</w:t>
            </w:r>
          </w:p>
          <w:p w14:paraId="7DAAC707" w14:textId="77777777" w:rsidR="00C9161D" w:rsidRPr="003C0741" w:rsidRDefault="00C9161D" w:rsidP="00B00053">
            <w:pPr>
              <w:suppressLineNumbers/>
              <w:suppressAutoHyphens/>
              <w:kinsoku w:val="0"/>
              <w:overflowPunct w:val="0"/>
              <w:autoSpaceDE w:val="0"/>
              <w:autoSpaceDN w:val="0"/>
              <w:adjustRightInd w:val="0"/>
              <w:snapToGrid w:val="0"/>
              <w:ind w:left="1215"/>
              <w:rPr>
                <w:snapToGrid w:val="0"/>
                <w:kern w:val="22"/>
                <w:szCs w:val="22"/>
                <w:lang w:val="en-US"/>
              </w:rPr>
            </w:pPr>
          </w:p>
          <w:p w14:paraId="7DAAC708" w14:textId="77777777" w:rsidR="00823011" w:rsidRPr="003C0741" w:rsidRDefault="00823011" w:rsidP="00B00053">
            <w:pPr>
              <w:suppressLineNumbers/>
              <w:suppressAutoHyphens/>
              <w:kinsoku w:val="0"/>
              <w:overflowPunct w:val="0"/>
              <w:autoSpaceDE w:val="0"/>
              <w:autoSpaceDN w:val="0"/>
              <w:adjustRightInd w:val="0"/>
              <w:snapToGrid w:val="0"/>
              <w:ind w:left="1215"/>
              <w:rPr>
                <w:snapToGrid w:val="0"/>
                <w:kern w:val="22"/>
                <w:szCs w:val="22"/>
                <w:lang w:val="en-US"/>
              </w:rPr>
            </w:pPr>
            <w:r w:rsidRPr="003C0741">
              <w:rPr>
                <w:snapToGrid w:val="0"/>
                <w:szCs w:val="22"/>
                <w:lang w:val="en-US"/>
              </w:rPr>
              <w:t>RUSSIAN</w:t>
            </w:r>
          </w:p>
          <w:p w14:paraId="7DAAC709" w14:textId="77777777" w:rsidR="00C9161D" w:rsidRPr="003C0741" w:rsidRDefault="006B2290" w:rsidP="00B00053">
            <w:pPr>
              <w:suppressLineNumbers/>
              <w:suppressAutoHyphens/>
              <w:kinsoku w:val="0"/>
              <w:overflowPunct w:val="0"/>
              <w:autoSpaceDE w:val="0"/>
              <w:autoSpaceDN w:val="0"/>
              <w:adjustRightInd w:val="0"/>
              <w:snapToGrid w:val="0"/>
              <w:ind w:left="1215"/>
              <w:rPr>
                <w:snapToGrid w:val="0"/>
                <w:kern w:val="22"/>
                <w:szCs w:val="22"/>
                <w:lang w:val="en-US"/>
              </w:rPr>
            </w:pPr>
            <w:r w:rsidRPr="003C0741">
              <w:rPr>
                <w:snapToGrid w:val="0"/>
                <w:szCs w:val="22"/>
                <w:lang w:val="en-US"/>
              </w:rPr>
              <w:t>ORIGINAL: ENGLISH</w:t>
            </w:r>
          </w:p>
          <w:p w14:paraId="7DAAC70A" w14:textId="77777777" w:rsidR="00C9161D" w:rsidRPr="003C0741" w:rsidRDefault="00C9161D" w:rsidP="00B00053">
            <w:pPr>
              <w:suppressLineNumbers/>
              <w:suppressAutoHyphens/>
              <w:kinsoku w:val="0"/>
              <w:overflowPunct w:val="0"/>
              <w:autoSpaceDE w:val="0"/>
              <w:autoSpaceDN w:val="0"/>
              <w:adjustRightInd w:val="0"/>
              <w:snapToGrid w:val="0"/>
              <w:rPr>
                <w:snapToGrid w:val="0"/>
                <w:kern w:val="22"/>
                <w:lang w:val="en-US"/>
              </w:rPr>
            </w:pPr>
          </w:p>
        </w:tc>
      </w:tr>
    </w:tbl>
    <w:p w14:paraId="7DAAC70C" w14:textId="77777777" w:rsidR="003B44F9" w:rsidRPr="0045409E" w:rsidRDefault="003B44F9" w:rsidP="00B00053">
      <w:pPr>
        <w:pStyle w:val="Cornernotation"/>
        <w:suppressLineNumbers/>
        <w:suppressAutoHyphens/>
        <w:kinsoku w:val="0"/>
        <w:overflowPunct w:val="0"/>
        <w:autoSpaceDE w:val="0"/>
        <w:autoSpaceDN w:val="0"/>
        <w:adjustRightInd w:val="0"/>
        <w:snapToGrid w:val="0"/>
        <w:spacing w:before="60"/>
        <w:ind w:left="180" w:right="4642" w:hanging="180"/>
        <w:rPr>
          <w:snapToGrid w:val="0"/>
          <w:kern w:val="22"/>
        </w:rPr>
      </w:pPr>
      <w:r w:rsidRPr="0045409E">
        <w:rPr>
          <w:snapToGrid w:val="0"/>
        </w:rPr>
        <w:t>КОНФЕРЕНЦИЯ СТОРОН КОНВЕНЦИИ О БИОЛОГИЧЕСКОМ РАЗНООБРАЗИИ</w:t>
      </w:r>
    </w:p>
    <w:p w14:paraId="7DAAC70D" w14:textId="77777777" w:rsidR="003B44F9" w:rsidRPr="0045409E" w:rsidRDefault="003B44F9" w:rsidP="00B00053">
      <w:pPr>
        <w:pStyle w:val="Cornernotation"/>
        <w:suppressLineNumbers/>
        <w:suppressAutoHyphens/>
        <w:kinsoku w:val="0"/>
        <w:overflowPunct w:val="0"/>
        <w:autoSpaceDE w:val="0"/>
        <w:autoSpaceDN w:val="0"/>
        <w:adjustRightInd w:val="0"/>
        <w:snapToGrid w:val="0"/>
        <w:rPr>
          <w:snapToGrid w:val="0"/>
          <w:kern w:val="22"/>
        </w:rPr>
      </w:pPr>
      <w:r w:rsidRPr="0045409E">
        <w:rPr>
          <w:snapToGrid w:val="0"/>
        </w:rPr>
        <w:t>Пятнадцатое совещание, часть II</w:t>
      </w:r>
    </w:p>
    <w:p w14:paraId="7DAAC70E" w14:textId="77777777" w:rsidR="003B44F9" w:rsidRPr="0045409E" w:rsidRDefault="00F40783" w:rsidP="00056FA9">
      <w:pPr>
        <w:pStyle w:val="Cornernotation"/>
        <w:suppressLineNumbers/>
        <w:suppressAutoHyphens/>
        <w:kinsoku w:val="0"/>
        <w:overflowPunct w:val="0"/>
        <w:autoSpaceDE w:val="0"/>
        <w:autoSpaceDN w:val="0"/>
        <w:adjustRightInd w:val="0"/>
        <w:snapToGrid w:val="0"/>
        <w:ind w:right="4116"/>
        <w:rPr>
          <w:snapToGrid w:val="0"/>
          <w:kern w:val="22"/>
        </w:rPr>
      </w:pPr>
      <w:bookmarkStart w:id="0" w:name="OLE_LINK1"/>
      <w:bookmarkEnd w:id="0"/>
      <w:r w:rsidRPr="0045409E">
        <w:t>Монреаль, Канада, 7-19 декабря 2022 года</w:t>
      </w:r>
      <w:r w:rsidRPr="0045409E">
        <w:rPr>
          <w:snapToGrid w:val="0"/>
        </w:rPr>
        <w:t xml:space="preserve"> </w:t>
      </w:r>
    </w:p>
    <w:p w14:paraId="7DAAC70F" w14:textId="77777777" w:rsidR="00C9161D" w:rsidRPr="0045409E" w:rsidRDefault="007C4DFD" w:rsidP="00B00053">
      <w:pPr>
        <w:suppressLineNumbers/>
        <w:suppressAutoHyphens/>
        <w:kinsoku w:val="0"/>
        <w:overflowPunct w:val="0"/>
        <w:autoSpaceDE w:val="0"/>
        <w:autoSpaceDN w:val="0"/>
        <w:adjustRightInd w:val="0"/>
        <w:snapToGrid w:val="0"/>
        <w:rPr>
          <w:snapToGrid w:val="0"/>
          <w:kern w:val="22"/>
        </w:rPr>
      </w:pPr>
      <w:r w:rsidRPr="0045409E">
        <w:rPr>
          <w:snapToGrid w:val="0"/>
          <w:szCs w:val="22"/>
        </w:rPr>
        <w:t xml:space="preserve">Пункт </w:t>
      </w:r>
      <w:r w:rsidR="003C0741" w:rsidRPr="00237F29">
        <w:rPr>
          <w:snapToGrid w:val="0"/>
          <w:szCs w:val="22"/>
        </w:rPr>
        <w:t>15</w:t>
      </w:r>
      <w:r w:rsidRPr="0045409E">
        <w:rPr>
          <w:snapToGrid w:val="0"/>
          <w:szCs w:val="22"/>
        </w:rPr>
        <w:t xml:space="preserve"> повестки дня </w:t>
      </w:r>
    </w:p>
    <w:p w14:paraId="7DAAC710" w14:textId="77777777" w:rsidR="00C9161D" w:rsidRPr="00237F29" w:rsidRDefault="00237F29" w:rsidP="00B00053">
      <w:pPr>
        <w:suppressLineNumbers/>
        <w:suppressAutoHyphens/>
        <w:kinsoku w:val="0"/>
        <w:overflowPunct w:val="0"/>
        <w:autoSpaceDE w:val="0"/>
        <w:autoSpaceDN w:val="0"/>
        <w:adjustRightInd w:val="0"/>
        <w:snapToGrid w:val="0"/>
        <w:spacing w:before="240" w:after="120"/>
        <w:jc w:val="center"/>
        <w:rPr>
          <w:rFonts w:asciiTheme="minorHAnsi" w:hAnsiTheme="minorHAnsi" w:cs="Times New Roman Bold"/>
          <w:b/>
          <w:caps/>
          <w:snapToGrid w:val="0"/>
          <w:kern w:val="22"/>
        </w:rPr>
      </w:pPr>
      <w:r w:rsidRPr="00237F29">
        <w:rPr>
          <w:b/>
          <w:bCs/>
          <w:caps/>
          <w:snapToGrid w:val="0"/>
          <w:kern w:val="22"/>
        </w:rPr>
        <w:t>ОБНОВЛЕННАЯ ИНФОРМАЦИЯ О РАБОТЕ МЕЖПРАВИТЕЛЬСТВЕННОЙ НАУЧНО-ПОЛИТИЧЕСКОЙ ПЛАТФОРМЫ ПО БИОРАЗНООБРАЗИЮ И СИСТЕМНЫМ УСЛУГАМ</w:t>
      </w:r>
    </w:p>
    <w:p w14:paraId="7DAAC711" w14:textId="77777777" w:rsidR="00D77560" w:rsidRPr="00237F29" w:rsidRDefault="00237F29" w:rsidP="00942CC3">
      <w:pPr>
        <w:keepNext/>
        <w:suppressLineNumbers/>
        <w:suppressAutoHyphens/>
        <w:kinsoku w:val="0"/>
        <w:overflowPunct w:val="0"/>
        <w:autoSpaceDE w:val="0"/>
        <w:autoSpaceDN w:val="0"/>
        <w:adjustRightInd w:val="0"/>
        <w:snapToGrid w:val="0"/>
        <w:spacing w:before="240" w:after="120"/>
        <w:jc w:val="center"/>
        <w:outlineLvl w:val="0"/>
        <w:rPr>
          <w:rFonts w:asciiTheme="minorHAnsi" w:hAnsiTheme="minorHAnsi" w:cs="Times New Roman Bold"/>
          <w:b/>
          <w:snapToGrid w:val="0"/>
          <w:kern w:val="22"/>
          <w:szCs w:val="22"/>
        </w:rPr>
      </w:pPr>
      <w:r>
        <w:rPr>
          <w:rFonts w:asciiTheme="minorHAnsi" w:hAnsiTheme="minorHAnsi"/>
          <w:b/>
          <w:snapToGrid w:val="0"/>
          <w:szCs w:val="22"/>
          <w:lang w:val="es-ES"/>
        </w:rPr>
        <w:t xml:space="preserve">I. </w:t>
      </w:r>
      <w:r>
        <w:rPr>
          <w:rFonts w:asciiTheme="minorHAnsi" w:hAnsiTheme="minorHAnsi"/>
          <w:b/>
          <w:snapToGrid w:val="0"/>
          <w:szCs w:val="22"/>
        </w:rPr>
        <w:t>СПРАВОЧНАЯ ИНФОРМАЦИЯ</w:t>
      </w:r>
    </w:p>
    <w:p w14:paraId="7DAAC712" w14:textId="77777777" w:rsidR="00B8378D" w:rsidRPr="00EB10B6" w:rsidRDefault="00B8378D" w:rsidP="00B8378D">
      <w:pPr>
        <w:pStyle w:val="ListParagraph"/>
        <w:numPr>
          <w:ilvl w:val="0"/>
          <w:numId w:val="22"/>
        </w:numPr>
        <w:tabs>
          <w:tab w:val="clear" w:pos="360"/>
        </w:tabs>
        <w:spacing w:before="120" w:after="120"/>
        <w:rPr>
          <w:rFonts w:eastAsia="MS Mincho"/>
          <w:kern w:val="22"/>
          <w:szCs w:val="22"/>
        </w:rPr>
      </w:pPr>
      <w:r>
        <w:t xml:space="preserve">В пункте 9 решения </w:t>
      </w:r>
      <w:hyperlink r:id="rId15" w:history="1">
        <w:r>
          <w:rPr>
            <w:rStyle w:val="Hyperlink"/>
          </w:rPr>
          <w:t>14/36</w:t>
        </w:r>
      </w:hyperlink>
      <w:r>
        <w:t xml:space="preserve"> Конференция Сторон поручила Исполнительному секретарю подготовить для рассмотрения Вспомогательным органом по научным, техническим и технологическим консультациям и для последующего рассмотрения Конференцией Сторон на ее 15-м совещании предложения, которые должны быть рассмотрены для включения в программу работы на период до 2030 года Межправительственной научно-политической платформы по биоразнообразию и экосистемным услугам (далее Платформа) в целях содействия реализации глобальной рамочной программы в области биоразнообразия на период после 2020 года.</w:t>
      </w:r>
    </w:p>
    <w:p w14:paraId="7DAAC713" w14:textId="77777777" w:rsidR="00B8378D" w:rsidRDefault="00B8378D" w:rsidP="00B8378D">
      <w:pPr>
        <w:numPr>
          <w:ilvl w:val="0"/>
          <w:numId w:val="22"/>
        </w:numPr>
        <w:tabs>
          <w:tab w:val="clear" w:pos="360"/>
        </w:tabs>
        <w:spacing w:after="120"/>
        <w:rPr>
          <w:rFonts w:eastAsia="MS Mincho"/>
          <w:kern w:val="22"/>
          <w:szCs w:val="22"/>
        </w:rPr>
      </w:pPr>
      <w:r>
        <w:t xml:space="preserve">В пункте 10 того же решения Конференция Сторон также поручила Исполнительному секретарю в соответствии с решением </w:t>
      </w:r>
      <w:hyperlink r:id="rId16" w:history="1">
        <w:r>
          <w:rPr>
            <w:rStyle w:val="Hyperlink"/>
          </w:rPr>
          <w:t>XII/25</w:t>
        </w:r>
      </w:hyperlink>
      <w:r>
        <w:t xml:space="preserve"> разработать механизмы систематического рассмотрения всех результатов работы Платформы, принимая во внимание выводы, сделанные по итогам обзора Платформы</w:t>
      </w:r>
      <w:r>
        <w:rPr>
          <w:rFonts w:eastAsia="MS Mincho"/>
          <w:kern w:val="22"/>
          <w:szCs w:val="22"/>
          <w:vertAlign w:val="superscript"/>
          <w:lang w:val="en-CA"/>
        </w:rPr>
        <w:footnoteReference w:id="2"/>
      </w:r>
      <w:r>
        <w:t>, с целью оптимизации использования этих результатов в поддержку осуществления Конвенции.</w:t>
      </w:r>
    </w:p>
    <w:p w14:paraId="7DAAC714" w14:textId="77777777" w:rsidR="00B8378D" w:rsidRDefault="00B8378D" w:rsidP="00B8378D">
      <w:pPr>
        <w:numPr>
          <w:ilvl w:val="0"/>
          <w:numId w:val="22"/>
        </w:numPr>
        <w:tabs>
          <w:tab w:val="clear" w:pos="360"/>
        </w:tabs>
        <w:spacing w:after="120"/>
        <w:rPr>
          <w:rFonts w:eastAsia="MS Mincho"/>
          <w:kern w:val="22"/>
          <w:szCs w:val="22"/>
        </w:rPr>
      </w:pPr>
      <w:r>
        <w:t>На своем 24-м совещании Вспомогательный орган по научным, техническим и технологическим консультациям рассмотрел обзор результатов деятельности Платформы на сегодняшний день и то, как они рассматривались в рамках Конвенции, в ответ на просьбу разработать условия для систематического рассмотрения всех результатов.  Вспомогательному органу по научным, техническим и технологическим консультациям была представлена обновленная информация о програ</w:t>
      </w:r>
      <w:r w:rsidR="00233A53">
        <w:t xml:space="preserve">мме работы Платформы (документ </w:t>
      </w:r>
      <w:r>
        <w:t>CBD/SBSTTA/24/8</w:t>
      </w:r>
      <w:r>
        <w:rPr>
          <w:rStyle w:val="FootnoteReference"/>
          <w:rFonts w:eastAsia="MS Mincho"/>
          <w:szCs w:val="22"/>
        </w:rPr>
        <w:footnoteReference w:id="3"/>
      </w:r>
      <w:r>
        <w:t xml:space="preserve">), включая новые элементы на период до 2030 года, согласованные Пленумом Платформы на его 7-м совещании, и о ходе ее осуществления Вспомогательный орган также рассмотрел предлагаемые </w:t>
      </w:r>
      <w:r>
        <w:lastRenderedPageBreak/>
        <w:t xml:space="preserve">элементы предложения по дополнительной заявке Конвенции для рассмотрения на предмет включения в программу работы.  По этому вопросу Вспомогательный орган подготовил рекомендацию 24/3.  При этом Вспомогательный орган в первую очередь рассмотрел документ зала заседаний по этому вопросу, подготовленный в ходе первой части 24-го совещания Вспомогательного органа по научным, техническим и технологическим консультациям, проводившейся онлайн с 3 мая по 9 июня 2021 года, и утвердил его в качестве документа категории L. Рекомендация была принята Вспомогательным органом в ходе второй части его совещания, которое прошло в Женеве с 14 по 27 марта 2022 года. Тем не менее, принимая во внимание повестку дня совещания Вспомогательного органа и подход, в соответствии с которым для экономии времени документы категории L не обсуждались, это было сделано без возможности обновления рекомендации с учетом последних изменений в рамках Платформы. </w:t>
      </w:r>
    </w:p>
    <w:p w14:paraId="7DAAC715" w14:textId="77777777" w:rsidR="00B8378D" w:rsidRPr="003D057D" w:rsidRDefault="00B8378D" w:rsidP="00B8378D">
      <w:pPr>
        <w:numPr>
          <w:ilvl w:val="0"/>
          <w:numId w:val="22"/>
        </w:numPr>
        <w:tabs>
          <w:tab w:val="clear" w:pos="360"/>
        </w:tabs>
        <w:spacing w:after="120"/>
        <w:rPr>
          <w:snapToGrid w:val="0"/>
          <w:kern w:val="22"/>
          <w:szCs w:val="22"/>
        </w:rPr>
      </w:pPr>
      <w:r>
        <w:t xml:space="preserve">С момента подготовки этой рекомендации о работе Платформы Платформа провела две сессии своего Пленума. В разделе II настоящей записки представлена дальнейшая информация о соответствующих итогах работы этих совещаний (позднее она будет дополнена информационным документом, подготовленным секретариатом МПБЭУ). В разделе III рассматривается вопрос о том, каким образом предшествующие, недавние и будущие оценки учитываются или могут учитываться в рамках Конвенции. В разделе IV содержатся предложения по вопросам, которые Конференция Сторон может порекомендовать Платформе учесть в ее обновленном плане работы. В разделе V сформулированы предложения по внесению изменений в проект решения, подготовленный Вспомогательным органом по научным, техническим и технологическим консультациям. Конференции Сторон предлагается при подготовке своего решения по этому вопросу рассмотреть информацию, представленную в настоящей записке. </w:t>
      </w:r>
    </w:p>
    <w:p w14:paraId="7DAAC716" w14:textId="77777777" w:rsidR="00B8378D" w:rsidRDefault="00B8378D" w:rsidP="00B8378D">
      <w:pPr>
        <w:keepNext/>
        <w:tabs>
          <w:tab w:val="left" w:pos="426"/>
        </w:tabs>
        <w:spacing w:before="240" w:after="120"/>
        <w:jc w:val="center"/>
        <w:outlineLvl w:val="0"/>
        <w:rPr>
          <w:b/>
          <w:bCs/>
          <w:caps/>
          <w:szCs w:val="22"/>
        </w:rPr>
      </w:pPr>
      <w:r>
        <w:rPr>
          <w:b/>
          <w:caps/>
        </w:rPr>
        <w:t xml:space="preserve">II. </w:t>
      </w:r>
      <w:r>
        <w:rPr>
          <w:b/>
          <w:caps/>
        </w:rPr>
        <w:tab/>
        <w:t>Обновленная информация о работе платформы после ее седьмого совещания</w:t>
      </w:r>
    </w:p>
    <w:p w14:paraId="7DAAC717" w14:textId="77777777" w:rsidR="00B8378D" w:rsidRDefault="00B8378D" w:rsidP="00B8378D">
      <w:pPr>
        <w:numPr>
          <w:ilvl w:val="0"/>
          <w:numId w:val="22"/>
        </w:numPr>
        <w:tabs>
          <w:tab w:val="clear" w:pos="360"/>
        </w:tabs>
        <w:spacing w:after="120"/>
        <w:rPr>
          <w:rFonts w:eastAsia="MS Mincho"/>
          <w:szCs w:val="22"/>
        </w:rPr>
      </w:pPr>
      <w:r>
        <w:t xml:space="preserve">Восьмая сессия Пленума Межправительственной научно-политической платформы по биоразнообразию и экосистемным услугам (МПБЭУ-8) состоялась в июне 2021 года, а девятая сессия Пленума (МПБЭУ-9) состоялась в июле 2022 года. Как отмечалось выше, оба эти совещания проводились после предметного рассмотрения этого вопроса Вспомогательным органом по </w:t>
      </w:r>
      <w:proofErr w:type="spellStart"/>
      <w:r>
        <w:t>по</w:t>
      </w:r>
      <w:proofErr w:type="spellEnd"/>
      <w:r>
        <w:t xml:space="preserve"> научным, техническим и технологическим консультациям. </w:t>
      </w:r>
    </w:p>
    <w:p w14:paraId="7DAAC718" w14:textId="77777777" w:rsidR="00B8378D" w:rsidRPr="001D7DAF" w:rsidRDefault="00B8378D" w:rsidP="00B8378D">
      <w:pPr>
        <w:pStyle w:val="ListParagraph"/>
        <w:numPr>
          <w:ilvl w:val="0"/>
          <w:numId w:val="43"/>
        </w:numPr>
        <w:tabs>
          <w:tab w:val="left" w:pos="360"/>
        </w:tabs>
        <w:spacing w:after="120"/>
        <w:jc w:val="center"/>
        <w:rPr>
          <w:rFonts w:eastAsia="MS Mincho"/>
          <w:b/>
          <w:bCs/>
          <w:szCs w:val="22"/>
        </w:rPr>
      </w:pPr>
      <w:r>
        <w:rPr>
          <w:b/>
        </w:rPr>
        <w:t>Одобрение докладов об оценке</w:t>
      </w:r>
    </w:p>
    <w:p w14:paraId="7DAAC719" w14:textId="77777777" w:rsidR="00B8378D" w:rsidRDefault="00B8378D" w:rsidP="00B8378D">
      <w:pPr>
        <w:numPr>
          <w:ilvl w:val="0"/>
          <w:numId w:val="22"/>
        </w:numPr>
        <w:tabs>
          <w:tab w:val="clear" w:pos="360"/>
        </w:tabs>
        <w:spacing w:after="120"/>
        <w:rPr>
          <w:rFonts w:eastAsia="MS Mincho"/>
          <w:szCs w:val="22"/>
        </w:rPr>
      </w:pPr>
      <w:r>
        <w:t>На своей девятой сессии Пленум Платформы утвердил резюме двух докладов об оценке для директивных органов и принял главы докладов об оценке, включая их рабочие резюме:</w:t>
      </w:r>
    </w:p>
    <w:p w14:paraId="7DAAC71A" w14:textId="77777777" w:rsidR="00B8378D" w:rsidRDefault="00B8378D" w:rsidP="00B8378D">
      <w:pPr>
        <w:numPr>
          <w:ilvl w:val="1"/>
          <w:numId w:val="22"/>
        </w:numPr>
        <w:spacing w:after="120"/>
        <w:rPr>
          <w:rFonts w:eastAsia="MS Mincho"/>
          <w:szCs w:val="22"/>
        </w:rPr>
      </w:pPr>
      <w:r>
        <w:t>тематическая оценка устойчивого использования диких видов</w:t>
      </w:r>
      <w:r>
        <w:rPr>
          <w:rStyle w:val="FootnoteReference"/>
          <w:rFonts w:eastAsia="MS Mincho"/>
          <w:szCs w:val="22"/>
          <w:lang w:val="en-CA"/>
        </w:rPr>
        <w:footnoteReference w:id="4"/>
      </w:r>
      <w:r>
        <w:t xml:space="preserve">; </w:t>
      </w:r>
    </w:p>
    <w:p w14:paraId="7DAAC71B" w14:textId="77777777" w:rsidR="00B8378D" w:rsidRDefault="00B8378D" w:rsidP="00B8378D">
      <w:pPr>
        <w:numPr>
          <w:ilvl w:val="1"/>
          <w:numId w:val="22"/>
        </w:numPr>
        <w:spacing w:after="120"/>
        <w:rPr>
          <w:rFonts w:eastAsia="MS Mincho"/>
          <w:szCs w:val="22"/>
        </w:rPr>
      </w:pPr>
      <w:r>
        <w:t>методологическая оценка разнообразных ценностей и оценка природы</w:t>
      </w:r>
      <w:r>
        <w:rPr>
          <w:rStyle w:val="FootnoteReference"/>
          <w:rFonts w:eastAsia="MS Mincho"/>
          <w:szCs w:val="22"/>
          <w:lang w:val="en-CA"/>
        </w:rPr>
        <w:footnoteReference w:id="5"/>
      </w:r>
      <w:r>
        <w:t>.</w:t>
      </w:r>
    </w:p>
    <w:p w14:paraId="7DAAC71C" w14:textId="77777777" w:rsidR="00B8378D" w:rsidRDefault="00B8378D" w:rsidP="00B8378D">
      <w:pPr>
        <w:numPr>
          <w:ilvl w:val="0"/>
          <w:numId w:val="22"/>
        </w:numPr>
        <w:tabs>
          <w:tab w:val="clear" w:pos="360"/>
        </w:tabs>
        <w:spacing w:after="120"/>
        <w:rPr>
          <w:rFonts w:eastAsia="MS Mincho"/>
          <w:szCs w:val="22"/>
        </w:rPr>
      </w:pPr>
      <w:r>
        <w:t xml:space="preserve">Предполагается, что Пленум рассмотрит тематическую оценку инвазивных чужеродных видов на своей десятой сессии в 2023 году. </w:t>
      </w:r>
    </w:p>
    <w:p w14:paraId="7DAAC71D" w14:textId="77777777" w:rsidR="00B8378D" w:rsidRPr="001D7DAF" w:rsidRDefault="00B8378D" w:rsidP="00B8378D">
      <w:pPr>
        <w:pStyle w:val="ListParagraph"/>
        <w:numPr>
          <w:ilvl w:val="0"/>
          <w:numId w:val="43"/>
        </w:numPr>
        <w:tabs>
          <w:tab w:val="left" w:pos="360"/>
          <w:tab w:val="left" w:pos="1481"/>
        </w:tabs>
        <w:spacing w:after="120"/>
        <w:jc w:val="center"/>
        <w:rPr>
          <w:rFonts w:eastAsia="MS Mincho"/>
          <w:b/>
          <w:bCs/>
          <w:szCs w:val="22"/>
        </w:rPr>
      </w:pPr>
      <w:r>
        <w:rPr>
          <w:b/>
        </w:rPr>
        <w:t>Проведение новых оценок</w:t>
      </w:r>
    </w:p>
    <w:p w14:paraId="7DAAC71E" w14:textId="77777777" w:rsidR="00B8378D" w:rsidRDefault="00B8378D" w:rsidP="00B8378D">
      <w:pPr>
        <w:numPr>
          <w:ilvl w:val="0"/>
          <w:numId w:val="22"/>
        </w:numPr>
        <w:tabs>
          <w:tab w:val="clear" w:pos="360"/>
        </w:tabs>
        <w:spacing w:after="120"/>
        <w:rPr>
          <w:rFonts w:eastAsia="MS Mincho"/>
          <w:szCs w:val="22"/>
        </w:rPr>
      </w:pPr>
      <w:r>
        <w:t>В ходе МПБЭУ-8 Пленум одобрил проведение двух оценок, описанных в соответствующих докладах об аналитических исследованиях:</w:t>
      </w:r>
    </w:p>
    <w:p w14:paraId="7DAAC71F" w14:textId="77777777" w:rsidR="00B8378D" w:rsidRPr="00E2681D" w:rsidRDefault="00B8378D" w:rsidP="00B8378D">
      <w:pPr>
        <w:numPr>
          <w:ilvl w:val="1"/>
          <w:numId w:val="22"/>
        </w:numPr>
        <w:spacing w:after="120"/>
        <w:rPr>
          <w:rFonts w:eastAsia="MS Mincho"/>
          <w:szCs w:val="22"/>
        </w:rPr>
      </w:pPr>
      <w:r>
        <w:t>тематическая оценка взаимосвязей между биоразнообразием, водными ресурсами, продовольствием и здоровьем («оценка взаимосвязей»);</w:t>
      </w:r>
    </w:p>
    <w:p w14:paraId="7DAAC720" w14:textId="77777777" w:rsidR="00B8378D" w:rsidRPr="008B4B8E" w:rsidRDefault="00B8378D" w:rsidP="00B8378D">
      <w:pPr>
        <w:numPr>
          <w:ilvl w:val="1"/>
          <w:numId w:val="22"/>
        </w:numPr>
        <w:spacing w:after="120"/>
        <w:rPr>
          <w:rFonts w:eastAsia="MS Mincho"/>
          <w:szCs w:val="22"/>
        </w:rPr>
      </w:pPr>
      <w:r>
        <w:lastRenderedPageBreak/>
        <w:t>тематическая оценка коренных причин утраты биоразнообразия и определяющих факторов преобразовательных изменений и вариантов реализации Концепции в области биоразнообразия на период до 2050 года («оценка преобразовательных изменений»);</w:t>
      </w:r>
    </w:p>
    <w:p w14:paraId="7DAAC721" w14:textId="77777777" w:rsidR="00B8378D" w:rsidRPr="00E2681D" w:rsidRDefault="00B8378D" w:rsidP="00B8378D">
      <w:pPr>
        <w:tabs>
          <w:tab w:val="left" w:pos="360"/>
          <w:tab w:val="left" w:pos="1481"/>
        </w:tabs>
        <w:spacing w:after="120"/>
        <w:ind w:left="41"/>
        <w:rPr>
          <w:rFonts w:eastAsia="MS Mincho"/>
          <w:szCs w:val="22"/>
        </w:rPr>
      </w:pPr>
      <w:r>
        <w:t>Окончательные оценки будет рассматриваться Пленумом на его 11-й сессии.</w:t>
      </w:r>
    </w:p>
    <w:p w14:paraId="7DAAC722" w14:textId="77777777" w:rsidR="00B8378D" w:rsidRDefault="00B8378D" w:rsidP="00B8378D">
      <w:pPr>
        <w:numPr>
          <w:ilvl w:val="0"/>
          <w:numId w:val="22"/>
        </w:numPr>
        <w:tabs>
          <w:tab w:val="clear" w:pos="360"/>
        </w:tabs>
        <w:spacing w:after="120"/>
        <w:rPr>
          <w:rFonts w:eastAsia="MS Mincho"/>
          <w:szCs w:val="22"/>
        </w:rPr>
      </w:pPr>
      <w:r>
        <w:t>В ходе МПБЭУ-9 Пленум одобрил проведение дальнейшей оценки, описанной в соответствующем докладе об аналитических исследованиях:</w:t>
      </w:r>
    </w:p>
    <w:p w14:paraId="7DAAC723" w14:textId="77777777" w:rsidR="00B8378D" w:rsidRPr="0008655C" w:rsidRDefault="00B8378D" w:rsidP="00B8378D">
      <w:pPr>
        <w:numPr>
          <w:ilvl w:val="1"/>
          <w:numId w:val="22"/>
        </w:numPr>
        <w:spacing w:after="120"/>
      </w:pPr>
      <w:r>
        <w:t>методологическая оценка воздействия хозяйственной деятельности на биоразнообразие и обеспечиваемый природой вклад на благо человека и ее зависимости от них («оценка хозяйственной деятельности и биоразнообразия»).</w:t>
      </w:r>
    </w:p>
    <w:p w14:paraId="7DAAC724" w14:textId="77777777" w:rsidR="00B8378D" w:rsidRPr="0008655C" w:rsidRDefault="00B8378D" w:rsidP="00B8378D">
      <w:pPr>
        <w:tabs>
          <w:tab w:val="left" w:pos="360"/>
          <w:tab w:val="left" w:pos="1481"/>
        </w:tabs>
        <w:spacing w:after="120"/>
      </w:pPr>
      <w:r>
        <w:t>Окончательная оценка будет рассматриваться Пленумом на его 12-й сессии.</w:t>
      </w:r>
    </w:p>
    <w:p w14:paraId="7DAAC725" w14:textId="77777777" w:rsidR="00B8378D" w:rsidRPr="00CD289F" w:rsidRDefault="00B8378D" w:rsidP="00B8378D">
      <w:pPr>
        <w:numPr>
          <w:ilvl w:val="0"/>
          <w:numId w:val="22"/>
        </w:numPr>
        <w:tabs>
          <w:tab w:val="clear" w:pos="360"/>
        </w:tabs>
        <w:spacing w:after="120"/>
        <w:rPr>
          <w:rFonts w:eastAsia="MS Mincho"/>
          <w:szCs w:val="22"/>
        </w:rPr>
      </w:pPr>
      <w:r>
        <w:t xml:space="preserve">Кроме того, на своей восьмой сессии Пленум поблагодарил организаторов и участников семинара, посвященного биоразнообразию и пандемии, а также организаторов и участников семинара, посвященного биоразнообразию и изменению климата, который был подготовлен Платформой совместно с Межправительственной группой экспертов по изменению климата. Он также призвал экспертов, которые будут осуществлять оценку взаимосвязей и оценку преобразовательных изменений, при проведении этих оценок принять к сведению соответствующие доклады. </w:t>
      </w:r>
    </w:p>
    <w:p w14:paraId="7DAAC726" w14:textId="77777777" w:rsidR="00B8378D" w:rsidRPr="001D7DAF" w:rsidRDefault="00B8378D" w:rsidP="00B8378D">
      <w:pPr>
        <w:pStyle w:val="ListParagraph"/>
        <w:keepNext/>
        <w:numPr>
          <w:ilvl w:val="0"/>
          <w:numId w:val="43"/>
        </w:numPr>
        <w:tabs>
          <w:tab w:val="left" w:pos="360"/>
          <w:tab w:val="left" w:pos="1481"/>
        </w:tabs>
        <w:spacing w:after="120"/>
        <w:jc w:val="center"/>
        <w:rPr>
          <w:rFonts w:eastAsia="MS Mincho"/>
          <w:b/>
          <w:bCs/>
          <w:szCs w:val="22"/>
        </w:rPr>
      </w:pPr>
      <w:r>
        <w:rPr>
          <w:b/>
        </w:rPr>
        <w:t>Другая работа, проведенная Платформой</w:t>
      </w:r>
    </w:p>
    <w:p w14:paraId="7DAAC727" w14:textId="77777777" w:rsidR="00B8378D" w:rsidRDefault="00B8378D" w:rsidP="00B8378D">
      <w:pPr>
        <w:numPr>
          <w:ilvl w:val="0"/>
          <w:numId w:val="22"/>
        </w:numPr>
        <w:tabs>
          <w:tab w:val="clear" w:pos="360"/>
        </w:tabs>
        <w:spacing w:after="120"/>
        <w:rPr>
          <w:rFonts w:eastAsia="MS Mincho"/>
          <w:szCs w:val="22"/>
        </w:rPr>
      </w:pPr>
      <w:r>
        <w:t xml:space="preserve">В ходе обеих сессий МПБЭУ-8 и МПБЭУ-9 Пленум приветствовал доклады различных целевых групп Платформы (а именно целевых групп по созданию потенциала, знаниям и данным, знаниям коренного и местного населения, инструментам поддержки политики и методологиям, а также по сценариям и моделям биоразнообразия и экосистемных услуг) и утвердил планы дальнейшей работы. </w:t>
      </w:r>
    </w:p>
    <w:p w14:paraId="7DAAC728" w14:textId="77777777" w:rsidR="00B8378D" w:rsidRDefault="00B8378D" w:rsidP="00B8378D">
      <w:pPr>
        <w:numPr>
          <w:ilvl w:val="0"/>
          <w:numId w:val="22"/>
        </w:numPr>
        <w:tabs>
          <w:tab w:val="clear" w:pos="360"/>
          <w:tab w:val="left" w:pos="709"/>
        </w:tabs>
        <w:spacing w:after="120"/>
        <w:rPr>
          <w:rFonts w:eastAsia="MS Mincho"/>
          <w:szCs w:val="22"/>
        </w:rPr>
      </w:pPr>
      <w:r>
        <w:t>В частности</w:t>
      </w:r>
      <w:r w:rsidR="00233A53">
        <w:t>,</w:t>
      </w:r>
      <w:r>
        <w:t xml:space="preserve"> Пленум приветствовал прогресс, достигнутый целевой группой по сценариям и моделям биоразнообразия и экосистемных услуг, включая основы сценариев будущего развития природы, которые представляют собой гибкий инструмент в поддержку разработки сценариев и моделей желаемого будущего для людей, природы и Матери-Земли; </w:t>
      </w:r>
    </w:p>
    <w:p w14:paraId="7DAAC729" w14:textId="77777777" w:rsidR="00B8378D" w:rsidRPr="001D7DAF" w:rsidRDefault="00B8378D" w:rsidP="00B8378D">
      <w:pPr>
        <w:tabs>
          <w:tab w:val="left" w:pos="360"/>
          <w:tab w:val="left" w:pos="1481"/>
        </w:tabs>
        <w:spacing w:after="120"/>
        <w:jc w:val="center"/>
        <w:rPr>
          <w:rFonts w:eastAsia="MS Mincho"/>
          <w:b/>
          <w:bCs/>
          <w:szCs w:val="22"/>
        </w:rPr>
      </w:pPr>
      <w:r>
        <w:rPr>
          <w:b/>
        </w:rPr>
        <w:t>D.</w:t>
      </w:r>
      <w:r>
        <w:rPr>
          <w:b/>
        </w:rPr>
        <w:tab/>
        <w:t>Дальнейшая разработка скользящей программы работы</w:t>
      </w:r>
    </w:p>
    <w:p w14:paraId="7DAAC72A" w14:textId="77777777" w:rsidR="00B8378D" w:rsidRDefault="00B8378D" w:rsidP="00B8378D">
      <w:pPr>
        <w:numPr>
          <w:ilvl w:val="0"/>
          <w:numId w:val="22"/>
        </w:numPr>
        <w:tabs>
          <w:tab w:val="clear" w:pos="360"/>
          <w:tab w:val="left" w:pos="851"/>
        </w:tabs>
        <w:spacing w:after="120"/>
        <w:rPr>
          <w:rFonts w:eastAsia="MS Mincho"/>
          <w:szCs w:val="22"/>
        </w:rPr>
      </w:pPr>
      <w:r>
        <w:t>В ходе МПБЭУ-9 Пленум постановил рассмотреть на своей 10-й сессии заявки, материалы и предложения по второй глобальной оценке биоразнообразия и экосистемных услуг и оценке экологической связности на основе первоначального аналитического исследования, а также любые заявки, материалы и предложения, полученные в ответ на объявление о направлении дополнительных заявок, материалов и предложений в отношении программы работы Платформы.</w:t>
      </w:r>
    </w:p>
    <w:p w14:paraId="7DAAC72B" w14:textId="77777777" w:rsidR="00B8378D" w:rsidRPr="00546081" w:rsidRDefault="00B8378D" w:rsidP="00B8378D">
      <w:pPr>
        <w:numPr>
          <w:ilvl w:val="0"/>
          <w:numId w:val="22"/>
        </w:numPr>
        <w:tabs>
          <w:tab w:val="clear" w:pos="360"/>
          <w:tab w:val="left" w:pos="709"/>
        </w:tabs>
        <w:spacing w:after="120"/>
        <w:rPr>
          <w:rFonts w:eastAsia="MS Mincho"/>
          <w:szCs w:val="22"/>
        </w:rPr>
      </w:pPr>
      <w:r>
        <w:t>Далее сессия МПБЭУ-9 призвала научное сообщество и других соответствующих субъектов деятельности ускорить накопление знаний для второй глобальной оценки, включая работу по устранению пробелов, выявленных в первом Докладе о глобальной оценке биоразнообразия и экосистемных услуг и других завершенных докладах об оценке в рамках Платформы, и предложила всем, кто имеет соответствующие возможности, поддержать эти усилия.</w:t>
      </w:r>
    </w:p>
    <w:p w14:paraId="7DAAC72C" w14:textId="77777777" w:rsidR="00B8378D" w:rsidRPr="003D057D" w:rsidRDefault="00B8378D" w:rsidP="00B8378D">
      <w:pPr>
        <w:keepNext/>
        <w:spacing w:before="240" w:after="120"/>
        <w:jc w:val="center"/>
        <w:outlineLvl w:val="0"/>
        <w:rPr>
          <w:b/>
          <w:bCs/>
          <w:caps/>
          <w:szCs w:val="22"/>
        </w:rPr>
      </w:pPr>
      <w:r>
        <w:rPr>
          <w:b/>
          <w:caps/>
        </w:rPr>
        <w:t xml:space="preserve">III. </w:t>
      </w:r>
      <w:r>
        <w:rPr>
          <w:b/>
          <w:caps/>
        </w:rPr>
        <w:tab/>
        <w:t xml:space="preserve">Рассмотрение результатов работы МПБЭУ Конвенцией  </w:t>
      </w:r>
    </w:p>
    <w:p w14:paraId="7DAAC72D" w14:textId="77777777" w:rsidR="00B8378D" w:rsidRPr="008471EC" w:rsidRDefault="00B8378D" w:rsidP="00B8378D">
      <w:pPr>
        <w:numPr>
          <w:ilvl w:val="0"/>
          <w:numId w:val="22"/>
        </w:numPr>
        <w:tabs>
          <w:tab w:val="clear" w:pos="360"/>
        </w:tabs>
        <w:spacing w:after="120"/>
        <w:rPr>
          <w:rFonts w:eastAsia="MS Mincho"/>
          <w:szCs w:val="22"/>
        </w:rPr>
      </w:pPr>
      <w:r>
        <w:t>В документе CBD/SBSTTA/24/8, посвященном программе работы Межправительственной научно-политической платформы по биоразнообразию и экосистемным услугам, Исполнительный секретарь представила обзор результатов работы Платформы по состоянию на декабрь 2020 года и того, каким образом они учитываются Вспомогательным органом по научным, техническим и технологическим консультациям и/или Конференцией Сторон. Для удобства работы эта таблица воспроизводится в настоящем документе (таблица 1).</w:t>
      </w:r>
    </w:p>
    <w:p w14:paraId="7DAAC72E" w14:textId="77777777" w:rsidR="00B8378D" w:rsidRPr="0045216D" w:rsidRDefault="00B8378D" w:rsidP="00B8378D">
      <w:pPr>
        <w:numPr>
          <w:ilvl w:val="0"/>
          <w:numId w:val="22"/>
        </w:numPr>
        <w:tabs>
          <w:tab w:val="clear" w:pos="360"/>
        </w:tabs>
        <w:spacing w:after="120"/>
        <w:rPr>
          <w:rFonts w:eastAsia="MS Mincho"/>
          <w:szCs w:val="22"/>
        </w:rPr>
      </w:pPr>
      <w:r>
        <w:lastRenderedPageBreak/>
        <w:t>Дополнительно приводится информация о результатах рабо</w:t>
      </w:r>
      <w:r w:rsidR="00233A53">
        <w:t>ты, которые были утверждены или</w:t>
      </w:r>
      <w:r>
        <w:t xml:space="preserve"> находятся в процессе разработки в период с 2020 года, а также перспективный график их предполагаемого рассмотрения Вспомогательным органом по научным, техническим и технологическим консультациям и Конференцией Сторон (таблица 2). В отношении этих более поздних оценок также указываются их связи с предложенными элементами проекта глобальной рамочной программы в области биоразнообразия на период после 2020 года. </w:t>
      </w:r>
    </w:p>
    <w:p w14:paraId="7DAAC72F" w14:textId="77777777" w:rsidR="00B8378D" w:rsidRPr="003D057D" w:rsidRDefault="00B8378D" w:rsidP="00B8378D">
      <w:pPr>
        <w:keepNext/>
        <w:tabs>
          <w:tab w:val="left" w:pos="426"/>
        </w:tabs>
        <w:spacing w:before="240" w:after="120"/>
        <w:jc w:val="center"/>
        <w:outlineLvl w:val="0"/>
        <w:rPr>
          <w:b/>
          <w:bCs/>
          <w:caps/>
          <w:szCs w:val="22"/>
        </w:rPr>
      </w:pPr>
      <w:r>
        <w:rPr>
          <w:b/>
          <w:caps/>
        </w:rPr>
        <w:t xml:space="preserve">IV. </w:t>
      </w:r>
      <w:r>
        <w:rPr>
          <w:b/>
          <w:caps/>
        </w:rPr>
        <w:tab/>
        <w:t>Вопросы, имеющие отношение к скользящей программе работы Платформы</w:t>
      </w:r>
    </w:p>
    <w:p w14:paraId="7DAAC730" w14:textId="77777777" w:rsidR="00B8378D" w:rsidRPr="008B4B8E" w:rsidRDefault="00B8378D" w:rsidP="00B8378D">
      <w:pPr>
        <w:numPr>
          <w:ilvl w:val="0"/>
          <w:numId w:val="22"/>
        </w:numPr>
        <w:tabs>
          <w:tab w:val="clear" w:pos="360"/>
        </w:tabs>
        <w:spacing w:after="120"/>
        <w:rPr>
          <w:b/>
          <w:bCs/>
          <w:szCs w:val="22"/>
          <w:u w:val="single"/>
        </w:rPr>
      </w:pPr>
      <w:r>
        <w:t xml:space="preserve">На своем 14-м совещании Конференция Сторон в решении 14/36 предложила Межправительственной научно-политической платформе по биоразнообразию и экосистемным услугам при разработке ее стратегических рамок и скользящей программы работы на период до 2030 года принять к сведению ряд соображений. Это включало в себя ряд общих соображений, в том числе в отношении потенциальной второй глобальной оценки, а также ряд первоначальных заявок для включения в скользящую программу МПБЭУ, с учетом того, что дальнейшее определение сферы охвата и приоритетов потребностей Конвенции будет обусловлено разработкой и осуществлением глобальной рамочной программы в области биоразнообразия на период после 2020 года. В процессе принятия своей скользящей программы на своей седьмой сессии (МПБЭУ-7) Платформа положительно отреагировала на эти заявки. </w:t>
      </w:r>
    </w:p>
    <w:p w14:paraId="7DAAC731" w14:textId="77777777" w:rsidR="00B8378D" w:rsidRPr="00B56487" w:rsidRDefault="00B8378D" w:rsidP="00B8378D">
      <w:pPr>
        <w:numPr>
          <w:ilvl w:val="0"/>
          <w:numId w:val="22"/>
        </w:numPr>
        <w:tabs>
          <w:tab w:val="clear" w:pos="360"/>
          <w:tab w:val="left" w:pos="851"/>
        </w:tabs>
        <w:spacing w:after="120"/>
        <w:rPr>
          <w:rFonts w:eastAsia="MS Mincho"/>
          <w:szCs w:val="22"/>
        </w:rPr>
      </w:pPr>
      <w:r>
        <w:t>Предполагалось, что программа работы Платформы, принятая в ходе МПБЭУ-7, будет представлять собой скользящую программу, которая будет обновляться на будущих сессиях пленума. В этом контексте Пленум постановил пересмотреть в ходе МПБЭУ-9 заявки, материалы и предложения в отношении второй глобальной оценки биоразнообразия и экосистемных услуг и оценки экологической связности, а также распространить объявление о направлении дополнительных заявок, материалов и предложений для рассмотрения МПБЭУ-10. Резюме заявок, полученных в отношении второй глобальной оценки, и в отношении оценки экологической связности, приводится в документе, подготовленном секретариатом МПБЭУ на 9-й сессии его Пленума</w:t>
      </w:r>
      <w:r>
        <w:rPr>
          <w:rStyle w:val="FootnoteReference"/>
          <w:rFonts w:eastAsia="MS Mincho"/>
          <w:szCs w:val="22"/>
          <w:lang w:val="en-CA"/>
        </w:rPr>
        <w:footnoteReference w:id="6"/>
      </w:r>
      <w:r>
        <w:t>.</w:t>
      </w:r>
    </w:p>
    <w:p w14:paraId="7DAAC732" w14:textId="77777777" w:rsidR="00B8378D" w:rsidRPr="00716C4E" w:rsidRDefault="00B8378D" w:rsidP="00B8378D">
      <w:pPr>
        <w:numPr>
          <w:ilvl w:val="0"/>
          <w:numId w:val="22"/>
        </w:numPr>
        <w:tabs>
          <w:tab w:val="clear" w:pos="360"/>
        </w:tabs>
        <w:spacing w:after="120"/>
        <w:rPr>
          <w:szCs w:val="22"/>
        </w:rPr>
      </w:pPr>
      <w:r>
        <w:t>Далее скользящая программа работы Платформы на период до 2030 года будет рассматриваться на 10-й сессии ее Пленума с учетом полученных материалов. Проведение МПБЭУ-10 запланировано на середину 2023 года, а запросы, материалы и предложения по скользящей программе работы должны быть получены в январе 2023 года</w:t>
      </w:r>
      <w:r>
        <w:rPr>
          <w:rStyle w:val="FootnoteReference"/>
        </w:rPr>
        <w:footnoteReference w:id="7"/>
      </w:r>
      <w:r>
        <w:t xml:space="preserve">. </w:t>
      </w:r>
    </w:p>
    <w:p w14:paraId="7DAAC733" w14:textId="77777777" w:rsidR="00B8378D" w:rsidRPr="00F86E73" w:rsidRDefault="00B8378D" w:rsidP="00B8378D">
      <w:pPr>
        <w:numPr>
          <w:ilvl w:val="0"/>
          <w:numId w:val="22"/>
        </w:numPr>
        <w:tabs>
          <w:tab w:val="clear" w:pos="360"/>
        </w:tabs>
        <w:spacing w:after="120"/>
        <w:rPr>
          <w:szCs w:val="22"/>
        </w:rPr>
      </w:pPr>
      <w:r>
        <w:t>Следовательно, в соответствии с решением 14/36 и по предложению Платформы Конференции Сторон предлагается направить в адрес Платформы дополнительные заявки. Хотя предыдущие заявки, представленные в решении 14/36, были подготовлены в консультации с Вспомогательным органом по научным, техническим и технологическим консультациям с учетом материалов, представленных Сторонами, в данном случае это будет невозможно с учетом временных рамок. Тем не менее заявки могут быть подготовлены с учетом общих соображений, сформулированных в решении 14/36, и элементов, предложенных в рекомендации 24/3 ВОНТТК, а также запросов, материалов и предложений, которые уже были направлены членами МПБЭУ</w:t>
      </w:r>
      <w:r>
        <w:rPr>
          <w:rStyle w:val="FootnoteReference"/>
          <w:rFonts w:eastAsia="MS Mincho"/>
          <w:szCs w:val="22"/>
          <w:lang w:val="en-CA"/>
        </w:rPr>
        <w:footnoteReference w:id="8"/>
      </w:r>
      <w:r>
        <w:t>.</w:t>
      </w:r>
    </w:p>
    <w:p w14:paraId="7DAAC734" w14:textId="77777777" w:rsidR="00B8378D" w:rsidRPr="001D7DAF" w:rsidRDefault="00B8378D" w:rsidP="00B8378D">
      <w:pPr>
        <w:pStyle w:val="ListParagraph"/>
        <w:numPr>
          <w:ilvl w:val="0"/>
          <w:numId w:val="44"/>
        </w:numPr>
        <w:tabs>
          <w:tab w:val="left" w:pos="360"/>
        </w:tabs>
        <w:spacing w:after="120"/>
        <w:jc w:val="center"/>
        <w:rPr>
          <w:b/>
          <w:bCs/>
          <w:szCs w:val="22"/>
        </w:rPr>
      </w:pPr>
      <w:r>
        <w:rPr>
          <w:b/>
        </w:rPr>
        <w:t>Вторая глобальная оценка биоразнообразия и экосистемных услуг</w:t>
      </w:r>
    </w:p>
    <w:p w14:paraId="7DAAC735" w14:textId="77777777" w:rsidR="00B8378D" w:rsidRPr="00210F83" w:rsidRDefault="00B8378D" w:rsidP="00B8378D">
      <w:pPr>
        <w:numPr>
          <w:ilvl w:val="0"/>
          <w:numId w:val="22"/>
        </w:numPr>
        <w:tabs>
          <w:tab w:val="clear" w:pos="360"/>
        </w:tabs>
        <w:spacing w:after="120"/>
        <w:rPr>
          <w:szCs w:val="22"/>
        </w:rPr>
      </w:pPr>
      <w:r>
        <w:t xml:space="preserve">В своей предыдущей заявке в адрес Платформы (содержащейся в решении 14/36) Конференция Сторон предложила МПБЭУ принять к сведению, что масштаб и сроки второй глобальной оценки, включая рассмотрение вопроса о возможности проведения единой оценки, объединяющей региональные и глобальные компоненты, должны быть тщательно рассмотрены для </w:t>
      </w:r>
      <w:r>
        <w:lastRenderedPageBreak/>
        <w:t>обеспечения</w:t>
      </w:r>
      <w:r>
        <w:cr/>
      </w:r>
      <w:r>
        <w:br/>
        <w:t>потребностей в проведении оценки, проистекающих из глобально</w:t>
      </w:r>
      <w:r w:rsidR="00830248">
        <w:t>й рамочной программы в области</w:t>
      </w:r>
      <w:r w:rsidR="00830248">
        <w:cr/>
      </w:r>
      <w:r>
        <w:t xml:space="preserve">биоразнообразия на период после 2020 года, а также Повестки дня </w:t>
      </w:r>
      <w:r w:rsidR="00830248">
        <w:t>в области устойчивого развития</w:t>
      </w:r>
      <w:r w:rsidR="00830248">
        <w:cr/>
      </w:r>
      <w:r>
        <w:t xml:space="preserve">на период до 2030 года. Среди прочих общих соображений Конференция Сторон отметила необходимость учета гендерной проблематики, непрерывной работы над сценариями и моделями и преодоления выявленных пробелов в знаниях и данных. Ряд членов МПБЭУ также представили заявки относительно проведения второй глобальной оценки, а некоторые из них предложили завершить ее к 2028 году и не позднее первой половины 2029 года, с тем чтобы способствовать обзору глобальной рамочной программы в области биоразнообразия. Некоторые из них также призвали включить региональные компоненты или по возможности компоненты еще более мелкого масштаба. </w:t>
      </w:r>
    </w:p>
    <w:p w14:paraId="7DAAC736" w14:textId="77777777" w:rsidR="00B8378D" w:rsidRDefault="00B8378D" w:rsidP="00B8378D">
      <w:pPr>
        <w:numPr>
          <w:ilvl w:val="0"/>
          <w:numId w:val="22"/>
        </w:numPr>
        <w:tabs>
          <w:tab w:val="clear" w:pos="360"/>
        </w:tabs>
        <w:spacing w:after="120"/>
        <w:rPr>
          <w:szCs w:val="22"/>
        </w:rPr>
      </w:pPr>
      <w:r>
        <w:t xml:space="preserve">С учетом этих уже поступивших материалов секретариат подготовил проект заявки, содержащийся в приложении к настоящему документу. Он включает в себя информацию для сопровождения заявки в соответствии с требованием Платформы. </w:t>
      </w:r>
    </w:p>
    <w:p w14:paraId="7DAAC737" w14:textId="77777777" w:rsidR="00B8378D" w:rsidRPr="001D7DAF" w:rsidRDefault="00B8378D" w:rsidP="00B8378D">
      <w:pPr>
        <w:pStyle w:val="ListParagraph"/>
        <w:numPr>
          <w:ilvl w:val="0"/>
          <w:numId w:val="44"/>
        </w:numPr>
        <w:tabs>
          <w:tab w:val="left" w:pos="360"/>
        </w:tabs>
        <w:spacing w:after="120"/>
        <w:jc w:val="center"/>
        <w:rPr>
          <w:b/>
          <w:bCs/>
          <w:szCs w:val="22"/>
        </w:rPr>
      </w:pPr>
      <w:r>
        <w:rPr>
          <w:b/>
        </w:rPr>
        <w:t>Потенциальные дополнительные методологические и тематические оценки</w:t>
      </w:r>
    </w:p>
    <w:p w14:paraId="7DAAC738" w14:textId="77777777" w:rsidR="00B8378D" w:rsidRPr="009E0D23" w:rsidRDefault="00B8378D" w:rsidP="00B8378D">
      <w:pPr>
        <w:numPr>
          <w:ilvl w:val="0"/>
          <w:numId w:val="22"/>
        </w:numPr>
        <w:tabs>
          <w:tab w:val="clear" w:pos="360"/>
          <w:tab w:val="left" w:pos="709"/>
        </w:tabs>
        <w:spacing w:after="120"/>
        <w:rPr>
          <w:szCs w:val="22"/>
        </w:rPr>
      </w:pPr>
      <w:r>
        <w:t xml:space="preserve">В своей предыдущей заявке в адрес Платформы (приведена в решении 14/36) Конференция Сторон отметила, что дальнейшее определение сферы охвата и приоритетов потребностей Конвенции будет обусловлено разработкой и осуществлением глобальной рамочной программы в области биоразнообразия на период после 2020 года. Ряд государств-членов МПБЭУ направил заявки по тематическим вопросам, включая экологическую связность. </w:t>
      </w:r>
    </w:p>
    <w:p w14:paraId="7DAAC739" w14:textId="77777777" w:rsidR="00B8378D" w:rsidRPr="00210F83" w:rsidRDefault="00B8378D" w:rsidP="00B8378D">
      <w:pPr>
        <w:numPr>
          <w:ilvl w:val="0"/>
          <w:numId w:val="22"/>
        </w:numPr>
        <w:tabs>
          <w:tab w:val="clear" w:pos="360"/>
          <w:tab w:val="left" w:pos="709"/>
        </w:tabs>
        <w:spacing w:after="120"/>
        <w:rPr>
          <w:szCs w:val="22"/>
        </w:rPr>
      </w:pPr>
      <w:r>
        <w:t xml:space="preserve">В таблице 2 показано, что большинство предполагаемых задач в рамках глобальной рамочной программы в области биоразнообразия на период после 2020 года опираются на имеющиеся или запланированные оценки. Тем не менее наблюдаются некоторые пробелы, в том числе в отношении задач, связанных с изменениями характера землепользования (задачи 1, 2 и 3) и загрязнением (задача 7). Кроме того, в процессе подготовки глобальной рамочной программы в области биоразнообразия на период после 2020 года были выявлены пробелы, касающиеся потенциала стран в отношении мониторинга биоразнообразия и хода выполнения предлагаемых задач программы.  </w:t>
      </w:r>
    </w:p>
    <w:p w14:paraId="7DAAC73A" w14:textId="77777777" w:rsidR="00B8378D" w:rsidRDefault="00B8378D" w:rsidP="00B8378D">
      <w:pPr>
        <w:numPr>
          <w:ilvl w:val="0"/>
          <w:numId w:val="22"/>
        </w:numPr>
        <w:tabs>
          <w:tab w:val="clear" w:pos="360"/>
          <w:tab w:val="left" w:pos="709"/>
        </w:tabs>
        <w:spacing w:after="120"/>
        <w:rPr>
          <w:szCs w:val="22"/>
        </w:rPr>
      </w:pPr>
      <w:r>
        <w:t>Соответственно, Конференции Сторон предлагается рассмотреть заявки на проведение оперативных методологических оц</w:t>
      </w:r>
      <w:r w:rsidR="008D081E">
        <w:t>енок в отношении этих вопросов.</w:t>
      </w:r>
      <w:r>
        <w:t xml:space="preserve"> В этом контексте можно отметить, что секретариат МПБЭУ выявил возможность проведения трех дополнительных оперативных тематических или методологических оценок в период до 2030 года</w:t>
      </w:r>
      <w:r>
        <w:rPr>
          <w:rStyle w:val="FootnoteReference"/>
          <w:rFonts w:eastAsia="MS Mincho"/>
          <w:szCs w:val="22"/>
          <w:lang w:val="en-CA"/>
        </w:rPr>
        <w:footnoteReference w:id="9"/>
      </w:r>
      <w:r>
        <w:t xml:space="preserve">. </w:t>
      </w:r>
    </w:p>
    <w:p w14:paraId="7DAAC73B" w14:textId="77777777" w:rsidR="00B8378D" w:rsidRPr="008B4B8E" w:rsidRDefault="00B8378D" w:rsidP="00B8378D">
      <w:pPr>
        <w:numPr>
          <w:ilvl w:val="0"/>
          <w:numId w:val="22"/>
        </w:numPr>
        <w:tabs>
          <w:tab w:val="clear" w:pos="360"/>
        </w:tabs>
        <w:spacing w:after="120"/>
        <w:rPr>
          <w:szCs w:val="22"/>
        </w:rPr>
      </w:pPr>
      <w:r>
        <w:t>В этой связи секретариат подготовил проекты заявок на проведение:</w:t>
      </w:r>
    </w:p>
    <w:p w14:paraId="7DAAC73C" w14:textId="77777777" w:rsidR="00B8378D" w:rsidRDefault="00B8378D" w:rsidP="00B8378D">
      <w:pPr>
        <w:numPr>
          <w:ilvl w:val="1"/>
          <w:numId w:val="22"/>
        </w:numPr>
        <w:tabs>
          <w:tab w:val="left" w:pos="360"/>
        </w:tabs>
        <w:spacing w:after="120"/>
        <w:rPr>
          <w:szCs w:val="22"/>
        </w:rPr>
      </w:pPr>
      <w:r>
        <w:t xml:space="preserve">оперативной методологической оценки комплексного пространственного планирования в интересах биоразнообразия для решения вопросов использования и изменения использования наземных и морских районов (в поддержку выполнения задач 1, 2 и 3 глобальной рамочной программы в области биоразнообразия на период после 2020 года); </w:t>
      </w:r>
    </w:p>
    <w:p w14:paraId="7DAAC73D" w14:textId="77777777" w:rsidR="00B8378D" w:rsidRDefault="00B8378D" w:rsidP="00B8378D">
      <w:pPr>
        <w:numPr>
          <w:ilvl w:val="1"/>
          <w:numId w:val="22"/>
        </w:numPr>
        <w:tabs>
          <w:tab w:val="left" w:pos="360"/>
        </w:tabs>
        <w:spacing w:after="120"/>
        <w:rPr>
          <w:szCs w:val="22"/>
        </w:rPr>
      </w:pPr>
      <w:r>
        <w:t xml:space="preserve">оперативной оценки потенциала в области мониторинга (методологическая оценка потенциала для проведения мониторинга биоразнообразия и экосистемных услуг и отслеживания прогресса в достижении целей и выполнении задач глобальной рамочной программы в области биоразнообразия на период после 2020 года (в поддержку мониторинга хода достижения всех целей и выполнения всех задач глобальной рамочной программы в области биоразнообразия на период после 2020 года)); и </w:t>
      </w:r>
    </w:p>
    <w:p w14:paraId="7DAAC73E" w14:textId="77777777" w:rsidR="00B8378D" w:rsidRPr="008B4B8E" w:rsidRDefault="00B8378D" w:rsidP="00B8378D">
      <w:pPr>
        <w:numPr>
          <w:ilvl w:val="1"/>
          <w:numId w:val="22"/>
        </w:numPr>
        <w:tabs>
          <w:tab w:val="left" w:pos="360"/>
        </w:tabs>
        <w:spacing w:after="120"/>
        <w:rPr>
          <w:szCs w:val="22"/>
        </w:rPr>
      </w:pPr>
      <w:r>
        <w:t xml:space="preserve">оперативной тематической или методологической оценки загрязнения, его последствий для биоразнообразия и подходов по предотвращению, сокращению или смягчению </w:t>
      </w:r>
      <w:r>
        <w:lastRenderedPageBreak/>
        <w:t>таких последствий (в поддержку выполнения задачи 6 глобальной рамочной программы в области биоразнообразия на период после 2020 года).</w:t>
      </w:r>
    </w:p>
    <w:p w14:paraId="7DAAC73F" w14:textId="77777777" w:rsidR="00B8378D" w:rsidRPr="008B4B8E" w:rsidRDefault="00B8378D" w:rsidP="00B8378D">
      <w:pPr>
        <w:tabs>
          <w:tab w:val="left" w:pos="360"/>
        </w:tabs>
        <w:spacing w:after="120"/>
        <w:rPr>
          <w:szCs w:val="22"/>
        </w:rPr>
      </w:pPr>
      <w:r>
        <w:t xml:space="preserve">Эти заявки приведены в приложении к настоящему документу. Информация, сопровождающая эту заявку в соответствии с требованием Платформы, приводится в документе CBD/COP/15/INF/7. </w:t>
      </w:r>
    </w:p>
    <w:p w14:paraId="7DAAC740" w14:textId="77777777" w:rsidR="00B8378D" w:rsidRPr="0015565A" w:rsidRDefault="00B8378D" w:rsidP="00B8378D">
      <w:pPr>
        <w:pStyle w:val="ListParagraph"/>
        <w:keepNext/>
        <w:tabs>
          <w:tab w:val="left" w:pos="426"/>
        </w:tabs>
        <w:spacing w:before="240" w:after="120"/>
        <w:ind w:left="0"/>
        <w:contextualSpacing w:val="0"/>
        <w:jc w:val="center"/>
        <w:outlineLvl w:val="0"/>
        <w:rPr>
          <w:b/>
          <w:bCs/>
          <w:caps/>
          <w:szCs w:val="22"/>
        </w:rPr>
      </w:pPr>
      <w:r>
        <w:rPr>
          <w:b/>
          <w:caps/>
        </w:rPr>
        <w:t>V.</w:t>
      </w:r>
      <w:r>
        <w:rPr>
          <w:b/>
          <w:caps/>
        </w:rPr>
        <w:tab/>
        <w:t>Предлагаемые изменения в проекте решения</w:t>
      </w:r>
    </w:p>
    <w:p w14:paraId="7DAAC741" w14:textId="77777777" w:rsidR="00B8378D" w:rsidRDefault="00B8378D" w:rsidP="00B8378D">
      <w:pPr>
        <w:pStyle w:val="ListParagraph"/>
        <w:numPr>
          <w:ilvl w:val="0"/>
          <w:numId w:val="22"/>
        </w:numPr>
        <w:tabs>
          <w:tab w:val="clear" w:pos="360"/>
        </w:tabs>
        <w:spacing w:before="120" w:after="120"/>
        <w:contextualSpacing w:val="0"/>
        <w:rPr>
          <w:szCs w:val="22"/>
        </w:rPr>
      </w:pPr>
      <w:r>
        <w:t xml:space="preserve">Как было указано в разделе I выше, Вспомогательный орган по научным, техническим и технологическим консультациям в своей рекомендации 24/3 подготовил проект решения для Конференции Сторон, однако с тех пор Платформа провела две сессии своего Пленума. Конференции Сторон предлагается принять к сведению новую информацию, связанную с сессиями МПБЭУ-8 и МПБЭУ-9 (см. раздел II). В частности, в соответствии с предложением МПБЭУ-9 (см. разделы II и IV выше) Конференции Сторон предлагается направить МПБЭУ дополнительные заявки, касающиеся скользящей программы работы Платформы. </w:t>
      </w:r>
    </w:p>
    <w:p w14:paraId="7DAAC742" w14:textId="77777777" w:rsidR="00B8378D" w:rsidRDefault="00B8378D" w:rsidP="00B8378D">
      <w:pPr>
        <w:pStyle w:val="ListParagraph"/>
        <w:numPr>
          <w:ilvl w:val="0"/>
          <w:numId w:val="22"/>
        </w:numPr>
        <w:tabs>
          <w:tab w:val="clear" w:pos="360"/>
        </w:tabs>
        <w:spacing w:before="120" w:after="120"/>
        <w:contextualSpacing w:val="0"/>
        <w:rPr>
          <w:szCs w:val="22"/>
        </w:rPr>
      </w:pPr>
      <w:r>
        <w:t xml:space="preserve">Соответственно, Исполнительный секретарь подготовила ряд изменений для внесения в проект решения, подготовленный Вспомогательным органом, в частности касающиеся следующего: </w:t>
      </w:r>
    </w:p>
    <w:p w14:paraId="7DAAC743" w14:textId="77777777" w:rsidR="00B8378D" w:rsidRDefault="00B8378D" w:rsidP="00B8378D">
      <w:pPr>
        <w:pStyle w:val="ListParagraph"/>
        <w:numPr>
          <w:ilvl w:val="1"/>
          <w:numId w:val="22"/>
        </w:numPr>
        <w:spacing w:before="120" w:after="120"/>
        <w:contextualSpacing w:val="0"/>
        <w:rPr>
          <w:szCs w:val="22"/>
        </w:rPr>
      </w:pPr>
      <w:r>
        <w:t>обновление некоторых пунктов в свете последних решений Пленума МПБЭУ в отношении разных видов оценки;</w:t>
      </w:r>
    </w:p>
    <w:p w14:paraId="7DAAC744" w14:textId="77777777" w:rsidR="00B8378D" w:rsidRDefault="00B8378D" w:rsidP="00B8378D">
      <w:pPr>
        <w:pStyle w:val="ListParagraph"/>
        <w:numPr>
          <w:ilvl w:val="1"/>
          <w:numId w:val="22"/>
        </w:numPr>
        <w:spacing w:before="120" w:after="120"/>
        <w:contextualSpacing w:val="0"/>
        <w:rPr>
          <w:szCs w:val="22"/>
        </w:rPr>
      </w:pPr>
      <w:r>
        <w:t>включение заявки в отношении проведения предлагаемой второй глобальной оценки и дополнительных потенциальных оценок.</w:t>
      </w:r>
    </w:p>
    <w:p w14:paraId="7DAAC745" w14:textId="77777777" w:rsidR="00B8378D" w:rsidRPr="0015565A" w:rsidRDefault="00B8378D" w:rsidP="00B8378D">
      <w:pPr>
        <w:pStyle w:val="ListParagraph"/>
        <w:tabs>
          <w:tab w:val="left" w:pos="360"/>
        </w:tabs>
        <w:spacing w:before="120" w:after="120"/>
        <w:ind w:left="0"/>
        <w:contextualSpacing w:val="0"/>
        <w:rPr>
          <w:szCs w:val="22"/>
        </w:rPr>
      </w:pPr>
      <w:r>
        <w:t xml:space="preserve">Обновленный проект решения приводится в сборнике проектов решений (CBD/COP/15/2). </w:t>
      </w:r>
    </w:p>
    <w:p w14:paraId="7DAAC746" w14:textId="77777777" w:rsidR="002C4EF9" w:rsidRPr="00B8378D" w:rsidRDefault="002C4EF9" w:rsidP="002C4EF9">
      <w:pPr>
        <w:tabs>
          <w:tab w:val="left" w:pos="360"/>
        </w:tabs>
        <w:spacing w:after="120"/>
        <w:rPr>
          <w:szCs w:val="22"/>
        </w:rPr>
      </w:pPr>
    </w:p>
    <w:p w14:paraId="7DAAC747" w14:textId="77777777" w:rsidR="002C4EF9" w:rsidRPr="00B8378D" w:rsidRDefault="002C4EF9" w:rsidP="002C4EF9">
      <w:pPr>
        <w:keepNext/>
        <w:spacing w:before="140" w:after="140"/>
        <w:ind w:left="720" w:hanging="720"/>
        <w:rPr>
          <w:i/>
          <w:iCs/>
          <w:szCs w:val="22"/>
        </w:rPr>
      </w:pPr>
    </w:p>
    <w:p w14:paraId="7DAAC748" w14:textId="77777777" w:rsidR="002C4EF9" w:rsidRPr="00B8378D" w:rsidRDefault="002C4EF9" w:rsidP="002C4EF9">
      <w:pPr>
        <w:jc w:val="left"/>
        <w:rPr>
          <w:i/>
          <w:iCs/>
          <w:szCs w:val="22"/>
        </w:rPr>
        <w:sectPr w:rsidR="002C4EF9" w:rsidRPr="00B8378D" w:rsidSect="00D25A1C">
          <w:headerReference w:type="even" r:id="rId17"/>
          <w:headerReference w:type="default" r:id="rId18"/>
          <w:pgSz w:w="12240" w:h="15840"/>
          <w:pgMar w:top="1134" w:right="1440" w:bottom="1134" w:left="1440" w:header="454" w:footer="720" w:gutter="0"/>
          <w:cols w:space="720"/>
          <w:titlePg/>
          <w:docGrid w:linePitch="299"/>
        </w:sectPr>
      </w:pPr>
    </w:p>
    <w:p w14:paraId="7DAAC749" w14:textId="77777777" w:rsidR="002C4EF9" w:rsidRPr="008D081E" w:rsidRDefault="008D081E" w:rsidP="002C4EF9">
      <w:pPr>
        <w:keepNext/>
        <w:spacing w:before="140" w:after="140"/>
        <w:ind w:left="720" w:hanging="720"/>
        <w:rPr>
          <w:b/>
          <w:bCs/>
          <w:szCs w:val="22"/>
        </w:rPr>
      </w:pPr>
      <w:r>
        <w:rPr>
          <w:b/>
        </w:rPr>
        <w:lastRenderedPageBreak/>
        <w:t>Таблица 1 Обзор результатов работы МПБЭУ, их рассмотрение ВОНТТК и КС и итоги этого рассмотрения</w:t>
      </w:r>
    </w:p>
    <w:tbl>
      <w:tblPr>
        <w:tblStyle w:val="TableGrid"/>
        <w:tblW w:w="0" w:type="auto"/>
        <w:jc w:val="center"/>
        <w:tblLook w:val="04A0" w:firstRow="1" w:lastRow="0" w:firstColumn="1" w:lastColumn="0" w:noHBand="0" w:noVBand="1"/>
      </w:tblPr>
      <w:tblGrid>
        <w:gridCol w:w="4815"/>
        <w:gridCol w:w="3402"/>
        <w:gridCol w:w="5953"/>
      </w:tblGrid>
      <w:tr w:rsidR="00C16A5D" w:rsidRPr="00C16A5D" w14:paraId="7DAAC74D" w14:textId="77777777" w:rsidTr="0064443E">
        <w:trPr>
          <w:tblHeader/>
          <w:jc w:val="center"/>
        </w:trPr>
        <w:tc>
          <w:tcPr>
            <w:tcW w:w="4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AAC74A" w14:textId="77777777" w:rsidR="00C16A5D" w:rsidRPr="001D7DAF" w:rsidRDefault="00C16A5D" w:rsidP="00C16A5D">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snapToGrid w:val="0"/>
                <w:kern w:val="22"/>
                <w:sz w:val="20"/>
                <w:szCs w:val="20"/>
              </w:rPr>
            </w:pPr>
            <w:r>
              <w:rPr>
                <w:rFonts w:asciiTheme="majorBidi" w:hAnsiTheme="majorBidi"/>
                <w:b/>
                <w:snapToGrid w:val="0"/>
                <w:sz w:val="20"/>
              </w:rPr>
              <w:t>Результат работы МПБЭУ</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AAC74B" w14:textId="77777777" w:rsidR="00C16A5D" w:rsidRPr="001D7DAF" w:rsidRDefault="00C16A5D" w:rsidP="00C16A5D">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snapToGrid w:val="0"/>
                <w:kern w:val="22"/>
                <w:sz w:val="20"/>
                <w:szCs w:val="20"/>
              </w:rPr>
            </w:pPr>
            <w:r>
              <w:rPr>
                <w:rFonts w:asciiTheme="majorBidi" w:hAnsiTheme="majorBidi"/>
                <w:b/>
                <w:snapToGrid w:val="0"/>
                <w:sz w:val="20"/>
              </w:rPr>
              <w:t>Рассмотрение ВОНТТК и КС</w:t>
            </w:r>
          </w:p>
        </w:tc>
        <w:tc>
          <w:tcPr>
            <w:tcW w:w="595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AAC74C" w14:textId="77777777" w:rsidR="00C16A5D" w:rsidRPr="001D7DAF" w:rsidRDefault="00C16A5D" w:rsidP="00C16A5D">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snapToGrid w:val="0"/>
                <w:kern w:val="22"/>
                <w:sz w:val="20"/>
                <w:szCs w:val="20"/>
              </w:rPr>
            </w:pPr>
            <w:r>
              <w:rPr>
                <w:rFonts w:asciiTheme="majorBidi" w:hAnsiTheme="majorBidi"/>
                <w:b/>
                <w:snapToGrid w:val="0"/>
                <w:sz w:val="20"/>
              </w:rPr>
              <w:t>Итоговые указания ВОНТТК и КС</w:t>
            </w:r>
          </w:p>
        </w:tc>
      </w:tr>
      <w:tr w:rsidR="00C16A5D" w:rsidRPr="00C16A5D" w14:paraId="7DAAC755" w14:textId="77777777" w:rsidTr="0064443E">
        <w:trPr>
          <w:jc w:val="center"/>
        </w:trPr>
        <w:tc>
          <w:tcPr>
            <w:tcW w:w="4815" w:type="dxa"/>
            <w:vMerge w:val="restart"/>
            <w:tcBorders>
              <w:top w:val="single" w:sz="4" w:space="0" w:color="auto"/>
              <w:left w:val="single" w:sz="4" w:space="0" w:color="auto"/>
              <w:bottom w:val="single" w:sz="4" w:space="0" w:color="auto"/>
              <w:right w:val="single" w:sz="4" w:space="0" w:color="auto"/>
            </w:tcBorders>
            <w:hideMark/>
          </w:tcPr>
          <w:p w14:paraId="7DAAC74E"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Pr>
                <w:rFonts w:asciiTheme="majorBidi" w:hAnsiTheme="majorBidi"/>
                <w:b/>
                <w:snapToGrid w:val="0"/>
                <w:sz w:val="20"/>
              </w:rPr>
              <w:t>Доклад об оценке опылителей, опыления и производства продуктов питания</w:t>
            </w:r>
          </w:p>
          <w:p w14:paraId="7DAAC74F"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Утвержден на МПБЭУ-4 (2016 г.)</w:t>
            </w:r>
          </w:p>
          <w:p w14:paraId="7DAAC750"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color w:val="0000FF"/>
                <w:kern w:val="22"/>
                <w:sz w:val="20"/>
                <w:szCs w:val="20"/>
                <w:u w:val="single"/>
              </w:rPr>
            </w:pPr>
            <w:r w:rsidRPr="000B6B0F">
              <w:rPr>
                <w:rStyle w:val="Hyperlink"/>
                <w:rFonts w:asciiTheme="majorBidi" w:hAnsiTheme="majorBidi"/>
                <w:snapToGrid w:val="0"/>
                <w:sz w:val="20"/>
              </w:rPr>
              <w:t>https://ipbes.net/assessment-reports/pollinators</w:t>
            </w:r>
          </w:p>
        </w:tc>
        <w:tc>
          <w:tcPr>
            <w:tcW w:w="3402" w:type="dxa"/>
            <w:tcBorders>
              <w:top w:val="single" w:sz="4" w:space="0" w:color="auto"/>
              <w:left w:val="single" w:sz="4" w:space="0" w:color="auto"/>
              <w:bottom w:val="single" w:sz="4" w:space="0" w:color="auto"/>
              <w:right w:val="single" w:sz="4" w:space="0" w:color="auto"/>
            </w:tcBorders>
            <w:hideMark/>
          </w:tcPr>
          <w:p w14:paraId="7DAAC751"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Рек. ВОНТТК XX/9</w:t>
            </w:r>
          </w:p>
          <w:p w14:paraId="7DAAC752"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Решение XIII/15 КС</w:t>
            </w:r>
          </w:p>
        </w:tc>
        <w:tc>
          <w:tcPr>
            <w:tcW w:w="5953" w:type="dxa"/>
            <w:tcBorders>
              <w:top w:val="single" w:sz="4" w:space="0" w:color="auto"/>
              <w:left w:val="single" w:sz="4" w:space="0" w:color="auto"/>
              <w:bottom w:val="single" w:sz="4" w:space="0" w:color="auto"/>
              <w:right w:val="single" w:sz="4" w:space="0" w:color="auto"/>
            </w:tcBorders>
            <w:hideMark/>
          </w:tcPr>
          <w:p w14:paraId="7DAAC753"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КС приветствовала резюме для директивных органов (РДО) и полную версию доклада об оценке, одобрила его основные положения и призвала Стороны и других участников использовать эту оценку;</w:t>
            </w:r>
          </w:p>
          <w:p w14:paraId="7DAAC754"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КС приняла рекомендации политического характера для правительств, представителей деловых кругов и других лиц по улучшению сохранения опылителей и управлению ими, устранению факторов, вызывающих сокращение популяции опылителей, и работе над созданием устойчивых систем производства продуктов питания и сельского хозяйства.</w:t>
            </w:r>
          </w:p>
        </w:tc>
      </w:tr>
      <w:tr w:rsidR="00C16A5D" w:rsidRPr="00C16A5D" w14:paraId="7DAAC759" w14:textId="77777777" w:rsidTr="0064443E">
        <w:trPr>
          <w:jc w:val="center"/>
        </w:trPr>
        <w:tc>
          <w:tcPr>
            <w:tcW w:w="0" w:type="auto"/>
            <w:vMerge/>
            <w:tcBorders>
              <w:top w:val="single" w:sz="4" w:space="0" w:color="auto"/>
              <w:left w:val="single" w:sz="4" w:space="0" w:color="auto"/>
              <w:bottom w:val="single" w:sz="4" w:space="0" w:color="auto"/>
              <w:right w:val="single" w:sz="4" w:space="0" w:color="auto"/>
            </w:tcBorders>
            <w:hideMark/>
          </w:tcPr>
          <w:p w14:paraId="7DAAC756" w14:textId="77777777" w:rsidR="00C16A5D" w:rsidRPr="00C16A5D" w:rsidRDefault="00C16A5D" w:rsidP="00C16A5D">
            <w:pPr>
              <w:jc w:val="left"/>
              <w:rPr>
                <w:rFonts w:asciiTheme="majorBidi" w:eastAsiaTheme="minorEastAsia" w:hAnsiTheme="majorBidi" w:cstheme="majorBidi"/>
                <w:snapToGrid w:val="0"/>
                <w:color w:val="0000FF"/>
                <w:kern w:val="22"/>
                <w:sz w:val="20"/>
                <w:szCs w:val="20"/>
                <w:u w:val="single"/>
              </w:rPr>
            </w:pPr>
          </w:p>
        </w:tc>
        <w:tc>
          <w:tcPr>
            <w:tcW w:w="3402" w:type="dxa"/>
            <w:tcBorders>
              <w:top w:val="single" w:sz="4" w:space="0" w:color="auto"/>
              <w:left w:val="single" w:sz="4" w:space="0" w:color="auto"/>
              <w:bottom w:val="single" w:sz="4" w:space="0" w:color="auto"/>
              <w:right w:val="single" w:sz="4" w:space="0" w:color="auto"/>
            </w:tcBorders>
            <w:hideMark/>
          </w:tcPr>
          <w:p w14:paraId="7DAAC757" w14:textId="77777777" w:rsidR="00C16A5D" w:rsidRPr="00C16A5D"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Дальнейшее рассмотрение на ВОНТТК и КС-14 (в соответствии с решением XIII/15)</w:t>
            </w:r>
          </w:p>
        </w:tc>
        <w:tc>
          <w:tcPr>
            <w:tcW w:w="5953" w:type="dxa"/>
            <w:tcBorders>
              <w:top w:val="single" w:sz="4" w:space="0" w:color="auto"/>
              <w:left w:val="single" w:sz="4" w:space="0" w:color="auto"/>
              <w:bottom w:val="single" w:sz="4" w:space="0" w:color="auto"/>
              <w:right w:val="single" w:sz="4" w:space="0" w:color="auto"/>
            </w:tcBorders>
            <w:hideMark/>
          </w:tcPr>
          <w:p w14:paraId="7DAAC758" w14:textId="77777777" w:rsidR="00C16A5D" w:rsidRPr="00C16A5D"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Обновление Плана действий Международной инициативы по сохранению и устойчивому использованию опылителей и подготовка проекта обновленного и упорядоченного плана действий, включая вопрос создания потенциала</w:t>
            </w:r>
          </w:p>
        </w:tc>
      </w:tr>
      <w:tr w:rsidR="00C16A5D" w:rsidRPr="00C16A5D" w14:paraId="7DAAC75F" w14:textId="77777777" w:rsidTr="0064443E">
        <w:trPr>
          <w:jc w:val="center"/>
        </w:trPr>
        <w:tc>
          <w:tcPr>
            <w:tcW w:w="4815" w:type="dxa"/>
            <w:vMerge w:val="restart"/>
            <w:tcBorders>
              <w:top w:val="single" w:sz="4" w:space="0" w:color="auto"/>
              <w:left w:val="single" w:sz="4" w:space="0" w:color="auto"/>
              <w:bottom w:val="single" w:sz="4" w:space="0" w:color="auto"/>
              <w:right w:val="single" w:sz="4" w:space="0" w:color="auto"/>
            </w:tcBorders>
            <w:hideMark/>
          </w:tcPr>
          <w:p w14:paraId="7DAAC75A"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b/>
                <w:snapToGrid w:val="0"/>
                <w:sz w:val="20"/>
              </w:rPr>
              <w:t>Доклад о методологической оценке сценариев и моделей биоразнообразия и экосистемных услуг</w:t>
            </w:r>
          </w:p>
          <w:p w14:paraId="7DAAC75B"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Style w:val="Hyperlink"/>
                <w:rFonts w:asciiTheme="majorBidi" w:hAnsiTheme="majorBidi" w:cstheme="majorBidi"/>
                <w:snapToGrid w:val="0"/>
                <w:kern w:val="22"/>
                <w:sz w:val="20"/>
                <w:szCs w:val="20"/>
              </w:rPr>
            </w:pPr>
            <w:r>
              <w:rPr>
                <w:rFonts w:asciiTheme="majorBidi" w:hAnsiTheme="majorBidi"/>
                <w:snapToGrid w:val="0"/>
                <w:sz w:val="20"/>
              </w:rPr>
              <w:t>Утвержден на МПБЭУ-4 (2016 г.)</w:t>
            </w:r>
          </w:p>
          <w:p w14:paraId="7DAAC75C"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0B6B0F">
              <w:rPr>
                <w:rStyle w:val="Hyperlink"/>
                <w:rFonts w:asciiTheme="majorBidi" w:hAnsiTheme="majorBidi"/>
                <w:snapToGrid w:val="0"/>
                <w:sz w:val="20"/>
              </w:rPr>
              <w:t>https://ipbes.net/assessment-reports/scenarios</w:t>
            </w:r>
          </w:p>
        </w:tc>
        <w:tc>
          <w:tcPr>
            <w:tcW w:w="3402" w:type="dxa"/>
            <w:tcBorders>
              <w:top w:val="single" w:sz="4" w:space="0" w:color="auto"/>
              <w:left w:val="single" w:sz="4" w:space="0" w:color="auto"/>
              <w:bottom w:val="single" w:sz="4" w:space="0" w:color="auto"/>
              <w:right w:val="single" w:sz="4" w:space="0" w:color="auto"/>
            </w:tcBorders>
            <w:hideMark/>
          </w:tcPr>
          <w:p w14:paraId="7DAAC75D"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Рассмотрен на ВОНТТК-20 (рек. XX/13) и КС-13 (решение XIII/29)</w:t>
            </w:r>
          </w:p>
        </w:tc>
        <w:tc>
          <w:tcPr>
            <w:tcW w:w="5953" w:type="dxa"/>
            <w:tcBorders>
              <w:top w:val="single" w:sz="4" w:space="0" w:color="auto"/>
              <w:left w:val="single" w:sz="4" w:space="0" w:color="auto"/>
              <w:bottom w:val="single" w:sz="4" w:space="0" w:color="auto"/>
              <w:right w:val="single" w:sz="4" w:space="0" w:color="auto"/>
            </w:tcBorders>
            <w:hideMark/>
          </w:tcPr>
          <w:p w14:paraId="7DAAC75E"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КС приветствовала оценку, признала ее высокую актуальность для работы в рамках Конвенции и, в частности, для пятого издания Глобальной перспективы в области биоразнообразия; призвала Стороны и другие субъекты к дальнейшей разработке и использованию сценариев и моделей для поддержки принятия решений и оценки мер политического характера, а также предложила научному сообществу устранить ключевые пробелы в методах моделирования воздействия факторов и политических мер на биоразнообразие и экосистемные услуги</w:t>
            </w:r>
          </w:p>
        </w:tc>
      </w:tr>
      <w:tr w:rsidR="00C16A5D" w:rsidRPr="00C16A5D" w14:paraId="7DAAC765" w14:textId="77777777" w:rsidTr="0064443E">
        <w:trPr>
          <w:jc w:val="center"/>
        </w:trPr>
        <w:tc>
          <w:tcPr>
            <w:tcW w:w="0" w:type="auto"/>
            <w:vMerge/>
            <w:tcBorders>
              <w:top w:val="single" w:sz="4" w:space="0" w:color="auto"/>
              <w:left w:val="single" w:sz="4" w:space="0" w:color="auto"/>
              <w:bottom w:val="single" w:sz="4" w:space="0" w:color="auto"/>
              <w:right w:val="single" w:sz="4" w:space="0" w:color="auto"/>
            </w:tcBorders>
            <w:hideMark/>
          </w:tcPr>
          <w:p w14:paraId="7DAAC760" w14:textId="77777777" w:rsidR="00C16A5D" w:rsidRPr="00C16A5D" w:rsidRDefault="00C16A5D" w:rsidP="00C16A5D">
            <w:pPr>
              <w:jc w:val="left"/>
              <w:rPr>
                <w:rFonts w:asciiTheme="minorHAnsi" w:eastAsiaTheme="minorEastAsia" w:hAnsiTheme="minorHAnsi" w:cstheme="minorBidi"/>
              </w:rPr>
            </w:pPr>
          </w:p>
        </w:tc>
        <w:tc>
          <w:tcPr>
            <w:tcW w:w="3402" w:type="dxa"/>
            <w:tcBorders>
              <w:top w:val="single" w:sz="4" w:space="0" w:color="auto"/>
              <w:left w:val="single" w:sz="4" w:space="0" w:color="auto"/>
              <w:bottom w:val="single" w:sz="4" w:space="0" w:color="auto"/>
              <w:right w:val="single" w:sz="4" w:space="0" w:color="auto"/>
            </w:tcBorders>
            <w:hideMark/>
          </w:tcPr>
          <w:p w14:paraId="7DAAC761"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ВОНТТК-21 (рек. XXI/1)</w:t>
            </w:r>
          </w:p>
          <w:p w14:paraId="7DAAC762" w14:textId="77777777" w:rsidR="00C16A5D" w:rsidRPr="00C16A5D"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КС-14 (решение 14/1)</w:t>
            </w:r>
          </w:p>
        </w:tc>
        <w:tc>
          <w:tcPr>
            <w:tcW w:w="5953" w:type="dxa"/>
            <w:tcBorders>
              <w:top w:val="single" w:sz="4" w:space="0" w:color="auto"/>
              <w:left w:val="single" w:sz="4" w:space="0" w:color="auto"/>
              <w:bottom w:val="single" w:sz="4" w:space="0" w:color="auto"/>
              <w:right w:val="single" w:sz="4" w:space="0" w:color="auto"/>
            </w:tcBorders>
            <w:hideMark/>
          </w:tcPr>
          <w:p w14:paraId="7DAAC763"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bCs/>
                <w:iCs/>
                <w:snapToGrid w:val="0"/>
                <w:kern w:val="22"/>
                <w:sz w:val="20"/>
                <w:szCs w:val="20"/>
              </w:rPr>
            </w:pPr>
            <w:r>
              <w:rPr>
                <w:rFonts w:asciiTheme="majorBidi" w:hAnsiTheme="majorBidi"/>
                <w:snapToGrid w:val="0"/>
                <w:sz w:val="20"/>
              </w:rPr>
              <w:t>ВОНТТК подготовил выводы по сценариям для Концепции в области биоразнообразия на период до 2050 года</w:t>
            </w:r>
          </w:p>
          <w:p w14:paraId="7DAAC764" w14:textId="77777777" w:rsidR="00C16A5D" w:rsidRPr="00C16A5D"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КС отметила актуальность оценки для обсуждения долгосрочных стратегических направлений в реализации Концепции в области биоразнообразия на период до 2050 года и процесса в разработке глобальной рамочной программы в области биоразнообразия на период после 2020 года</w:t>
            </w:r>
          </w:p>
        </w:tc>
      </w:tr>
      <w:tr w:rsidR="00C16A5D" w:rsidRPr="00C16A5D" w14:paraId="7DAAC76E" w14:textId="77777777" w:rsidTr="0064443E">
        <w:trPr>
          <w:jc w:val="center"/>
        </w:trPr>
        <w:tc>
          <w:tcPr>
            <w:tcW w:w="4815" w:type="dxa"/>
            <w:vMerge w:val="restart"/>
            <w:tcBorders>
              <w:top w:val="single" w:sz="4" w:space="0" w:color="auto"/>
              <w:left w:val="single" w:sz="4" w:space="0" w:color="auto"/>
              <w:bottom w:val="single" w:sz="4" w:space="0" w:color="auto"/>
              <w:right w:val="single" w:sz="4" w:space="0" w:color="auto"/>
            </w:tcBorders>
            <w:hideMark/>
          </w:tcPr>
          <w:p w14:paraId="7DAAC766"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Style w:val="Hyperlink"/>
                <w:rFonts w:asciiTheme="majorBidi" w:hAnsiTheme="majorBidi" w:cstheme="majorBidi"/>
                <w:b/>
                <w:bCs/>
                <w:snapToGrid w:val="0"/>
                <w:kern w:val="22"/>
                <w:sz w:val="20"/>
                <w:szCs w:val="20"/>
              </w:rPr>
            </w:pPr>
            <w:r>
              <w:rPr>
                <w:rFonts w:asciiTheme="majorBidi" w:hAnsiTheme="majorBidi"/>
                <w:b/>
                <w:snapToGrid w:val="0"/>
                <w:sz w:val="20"/>
              </w:rPr>
              <w:t>Доклад об оценке деградации и восстановления земель</w:t>
            </w:r>
          </w:p>
          <w:p w14:paraId="7DAAC767"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Style w:val="Hyperlink"/>
                <w:rFonts w:asciiTheme="majorBidi" w:hAnsiTheme="majorBidi" w:cstheme="majorBidi"/>
                <w:snapToGrid w:val="0"/>
                <w:kern w:val="22"/>
                <w:sz w:val="20"/>
                <w:szCs w:val="20"/>
              </w:rPr>
            </w:pPr>
            <w:r>
              <w:rPr>
                <w:rFonts w:asciiTheme="majorBidi" w:hAnsiTheme="majorBidi"/>
                <w:snapToGrid w:val="0"/>
                <w:sz w:val="20"/>
              </w:rPr>
              <w:t>Утвержден на МПБЭУ-6 (2018 г.)</w:t>
            </w:r>
          </w:p>
          <w:p w14:paraId="7DAAC768"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0B6B0F">
              <w:rPr>
                <w:rStyle w:val="Hyperlink"/>
                <w:rFonts w:asciiTheme="majorBidi" w:hAnsiTheme="majorBidi"/>
                <w:snapToGrid w:val="0"/>
                <w:sz w:val="20"/>
              </w:rPr>
              <w:t>https://ipbes.net/assessment-reports/ldr</w:t>
            </w:r>
          </w:p>
        </w:tc>
        <w:tc>
          <w:tcPr>
            <w:tcW w:w="3402" w:type="dxa"/>
            <w:tcBorders>
              <w:top w:val="single" w:sz="4" w:space="0" w:color="auto"/>
              <w:left w:val="single" w:sz="4" w:space="0" w:color="auto"/>
              <w:bottom w:val="single" w:sz="4" w:space="0" w:color="auto"/>
              <w:right w:val="single" w:sz="4" w:space="0" w:color="auto"/>
            </w:tcBorders>
            <w:hideMark/>
          </w:tcPr>
          <w:p w14:paraId="7DAAC769"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 xml:space="preserve">Рек. ВОНТТК 22/4 </w:t>
            </w:r>
          </w:p>
          <w:p w14:paraId="7DAAC76A"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КС-14 (решение 14/1)</w:t>
            </w:r>
          </w:p>
        </w:tc>
        <w:tc>
          <w:tcPr>
            <w:tcW w:w="5953" w:type="dxa"/>
            <w:tcBorders>
              <w:top w:val="single" w:sz="4" w:space="0" w:color="auto"/>
              <w:left w:val="single" w:sz="4" w:space="0" w:color="auto"/>
              <w:bottom w:val="single" w:sz="4" w:space="0" w:color="auto"/>
              <w:right w:val="single" w:sz="4" w:space="0" w:color="auto"/>
            </w:tcBorders>
          </w:tcPr>
          <w:p w14:paraId="7DAAC76B"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 xml:space="preserve">ВОНТТК приветствовал оценку. </w:t>
            </w:r>
          </w:p>
          <w:p w14:paraId="7DAAC76C"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КС приветствовала оценку, призвала Стороны и предложила другим правительствам использовать ее.</w:t>
            </w:r>
          </w:p>
          <w:p w14:paraId="7DAAC76D" w14:textId="77777777" w:rsidR="00C16A5D" w:rsidRPr="001D7DAF" w:rsidRDefault="00C16A5D" w:rsidP="00C16A5D">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p>
        </w:tc>
      </w:tr>
      <w:tr w:rsidR="000B6B0F" w:rsidRPr="000B6B0F" w14:paraId="7DAAC772" w14:textId="77777777" w:rsidTr="0064443E">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AAC76F" w14:textId="77777777" w:rsidR="000B6B0F" w:rsidRPr="00C16A5D" w:rsidRDefault="000B6B0F" w:rsidP="000B6B0F">
            <w:pPr>
              <w:jc w:val="left"/>
              <w:rPr>
                <w:rFonts w:asciiTheme="minorHAnsi" w:eastAsiaTheme="minorEastAsia" w:hAnsiTheme="minorHAnsi" w:cstheme="minorBidi"/>
              </w:rPr>
            </w:pPr>
          </w:p>
        </w:tc>
        <w:tc>
          <w:tcPr>
            <w:tcW w:w="3402" w:type="dxa"/>
            <w:tcBorders>
              <w:top w:val="single" w:sz="4" w:space="0" w:color="auto"/>
              <w:left w:val="single" w:sz="4" w:space="0" w:color="auto"/>
              <w:bottom w:val="single" w:sz="4" w:space="0" w:color="auto"/>
              <w:right w:val="single" w:sz="4" w:space="0" w:color="auto"/>
            </w:tcBorders>
            <w:hideMark/>
          </w:tcPr>
          <w:p w14:paraId="7DAAC770" w14:textId="77777777" w:rsidR="000B6B0F" w:rsidRPr="001D7DAF" w:rsidRDefault="000B6B0F" w:rsidP="000B6B0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Решение 14/5 КС</w:t>
            </w:r>
          </w:p>
        </w:tc>
        <w:tc>
          <w:tcPr>
            <w:tcW w:w="5953" w:type="dxa"/>
            <w:tcBorders>
              <w:top w:val="single" w:sz="4" w:space="0" w:color="auto"/>
              <w:left w:val="single" w:sz="4" w:space="0" w:color="auto"/>
              <w:bottom w:val="single" w:sz="4" w:space="0" w:color="auto"/>
              <w:right w:val="single" w:sz="4" w:space="0" w:color="auto"/>
            </w:tcBorders>
            <w:hideMark/>
          </w:tcPr>
          <w:p w14:paraId="7DAAC771" w14:textId="77777777" w:rsidR="000B6B0F" w:rsidRPr="001D7DAF" w:rsidRDefault="000B6B0F" w:rsidP="000B6B0F">
            <w:pPr>
              <w:suppressLineNumbers/>
              <w:suppressAutoHyphens/>
              <w:kinsoku w:val="0"/>
              <w:overflowPunct w:val="0"/>
              <w:autoSpaceDE w:val="0"/>
              <w:autoSpaceDN w:val="0"/>
              <w:adjustRightInd w:val="0"/>
              <w:snapToGrid w:val="0"/>
              <w:spacing w:before="60" w:after="60"/>
              <w:jc w:val="left"/>
              <w:rPr>
                <w:rFonts w:asciiTheme="majorBidi" w:hAnsiTheme="majorBidi" w:cstheme="majorBidi"/>
                <w:iCs/>
                <w:snapToGrid w:val="0"/>
                <w:kern w:val="22"/>
                <w:sz w:val="20"/>
                <w:szCs w:val="20"/>
              </w:rPr>
            </w:pPr>
            <w:r>
              <w:rPr>
                <w:rFonts w:asciiTheme="majorBidi" w:hAnsiTheme="majorBidi"/>
                <w:snapToGrid w:val="0"/>
                <w:sz w:val="20"/>
              </w:rPr>
              <w:t>КС приветствовала оценку, одобрила ключевые идеи, содействующие достижению целей в области устойчивого развития путем использования экосистемных подходов к адаптации к изменению климата и смягчению его последствий, снижению риска бедствий и борьбе с деградацией земель</w:t>
            </w:r>
          </w:p>
        </w:tc>
      </w:tr>
      <w:tr w:rsidR="000B6B0F" w:rsidRPr="000B6B0F" w14:paraId="7DAAC77A" w14:textId="77777777" w:rsidTr="0064443E">
        <w:trPr>
          <w:jc w:val="center"/>
        </w:trPr>
        <w:tc>
          <w:tcPr>
            <w:tcW w:w="4815" w:type="dxa"/>
            <w:tcBorders>
              <w:top w:val="single" w:sz="4" w:space="0" w:color="auto"/>
              <w:left w:val="single" w:sz="4" w:space="0" w:color="auto"/>
              <w:bottom w:val="single" w:sz="4" w:space="0" w:color="auto"/>
              <w:right w:val="single" w:sz="4" w:space="0" w:color="auto"/>
            </w:tcBorders>
            <w:hideMark/>
          </w:tcPr>
          <w:p w14:paraId="7DAAC773" w14:textId="77777777" w:rsidR="000B6B0F" w:rsidRPr="001D7DAF" w:rsidRDefault="000B6B0F" w:rsidP="000B6B0F">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Pr>
                <w:rFonts w:asciiTheme="majorBidi" w:hAnsiTheme="majorBidi"/>
                <w:b/>
                <w:snapToGrid w:val="0"/>
                <w:sz w:val="20"/>
              </w:rPr>
              <w:t>Региональные доклады об оценке биоразнообразия и экосистемных услуг для Северной и Южной Америки, Африки, Азиатско-Тихоокеанского региона, Европы и Центральной Азии</w:t>
            </w:r>
          </w:p>
          <w:p w14:paraId="7DAAC774" w14:textId="77777777" w:rsidR="000B6B0F" w:rsidRPr="001D7DAF" w:rsidRDefault="000B6B0F" w:rsidP="000B6B0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Утверждены на МПБЭУ-6 (2018 г.)</w:t>
            </w:r>
          </w:p>
          <w:p w14:paraId="7DAAC775" w14:textId="77777777" w:rsidR="000B6B0F" w:rsidRPr="001D7DAF" w:rsidRDefault="000B6B0F" w:rsidP="000B6B0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0B6B0F">
              <w:rPr>
                <w:rStyle w:val="Hyperlink"/>
                <w:rFonts w:asciiTheme="majorBidi" w:hAnsiTheme="majorBidi"/>
                <w:snapToGrid w:val="0"/>
                <w:sz w:val="20"/>
              </w:rPr>
              <w:t>https://ipbes.net/regional-assessments</w:t>
            </w:r>
          </w:p>
        </w:tc>
        <w:tc>
          <w:tcPr>
            <w:tcW w:w="3402" w:type="dxa"/>
            <w:tcBorders>
              <w:top w:val="single" w:sz="4" w:space="0" w:color="auto"/>
              <w:left w:val="single" w:sz="4" w:space="0" w:color="auto"/>
              <w:bottom w:val="single" w:sz="4" w:space="0" w:color="auto"/>
              <w:right w:val="single" w:sz="4" w:space="0" w:color="auto"/>
            </w:tcBorders>
            <w:hideMark/>
          </w:tcPr>
          <w:p w14:paraId="7DAAC776" w14:textId="77777777" w:rsidR="000B6B0F" w:rsidRPr="001D7DAF" w:rsidRDefault="000B6B0F" w:rsidP="000B6B0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Рек. ВОНТТК 22/4</w:t>
            </w:r>
          </w:p>
          <w:p w14:paraId="7DAAC777" w14:textId="77777777" w:rsidR="000B6B0F" w:rsidRPr="001D7DAF" w:rsidRDefault="000B6B0F" w:rsidP="000B6B0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Решения 14/1 и 14/34 КС</w:t>
            </w:r>
          </w:p>
          <w:p w14:paraId="7DAAC778" w14:textId="77777777" w:rsidR="000B6B0F" w:rsidRPr="001D7DAF" w:rsidRDefault="000B6B0F" w:rsidP="000B6B0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Рек. ВОНТТК 23/1</w:t>
            </w:r>
          </w:p>
        </w:tc>
        <w:tc>
          <w:tcPr>
            <w:tcW w:w="5953" w:type="dxa"/>
            <w:tcBorders>
              <w:top w:val="single" w:sz="4" w:space="0" w:color="auto"/>
              <w:left w:val="single" w:sz="4" w:space="0" w:color="auto"/>
              <w:bottom w:val="single" w:sz="4" w:space="0" w:color="auto"/>
              <w:right w:val="single" w:sz="4" w:space="0" w:color="auto"/>
            </w:tcBorders>
            <w:hideMark/>
          </w:tcPr>
          <w:p w14:paraId="7DAAC779" w14:textId="77777777" w:rsidR="000B6B0F" w:rsidRPr="001D7DAF" w:rsidRDefault="000B6B0F" w:rsidP="000B6B0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КС приветствовала оценки и призвала использовать их при подготовке глобальной рамочной программы в области биоразнообразия на период после 2020 года</w:t>
            </w:r>
          </w:p>
        </w:tc>
      </w:tr>
      <w:tr w:rsidR="000B6B0F" w:rsidRPr="000B6B0F" w14:paraId="7DAAC780" w14:textId="77777777" w:rsidTr="0064443E">
        <w:trPr>
          <w:jc w:val="center"/>
        </w:trPr>
        <w:tc>
          <w:tcPr>
            <w:tcW w:w="4815" w:type="dxa"/>
            <w:tcBorders>
              <w:top w:val="single" w:sz="4" w:space="0" w:color="auto"/>
              <w:left w:val="single" w:sz="4" w:space="0" w:color="auto"/>
              <w:bottom w:val="single" w:sz="4" w:space="0" w:color="auto"/>
              <w:right w:val="single" w:sz="4" w:space="0" w:color="auto"/>
            </w:tcBorders>
            <w:hideMark/>
          </w:tcPr>
          <w:p w14:paraId="7DAAC77B" w14:textId="77777777" w:rsidR="000B6B0F" w:rsidRPr="001D7DAF" w:rsidRDefault="000B6B0F" w:rsidP="000B6B0F">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Pr>
                <w:rFonts w:asciiTheme="majorBidi" w:hAnsiTheme="majorBidi"/>
                <w:b/>
                <w:snapToGrid w:val="0"/>
                <w:sz w:val="20"/>
              </w:rPr>
              <w:t>Доклад о глобальной оценке биоразнообразия и экосистемных услуг</w:t>
            </w:r>
          </w:p>
          <w:p w14:paraId="7DAAC77C" w14:textId="77777777" w:rsidR="000B6B0F" w:rsidRPr="001D7DAF" w:rsidRDefault="000B6B0F" w:rsidP="000B6B0F">
            <w:pPr>
              <w:suppressLineNumbers/>
              <w:suppressAutoHyphens/>
              <w:kinsoku w:val="0"/>
              <w:overflowPunct w:val="0"/>
              <w:autoSpaceDE w:val="0"/>
              <w:autoSpaceDN w:val="0"/>
              <w:adjustRightInd w:val="0"/>
              <w:snapToGrid w:val="0"/>
              <w:spacing w:before="60" w:after="60"/>
              <w:jc w:val="left"/>
              <w:rPr>
                <w:rStyle w:val="Hyperlink"/>
                <w:rFonts w:asciiTheme="majorBidi" w:hAnsiTheme="majorBidi" w:cstheme="majorBidi"/>
                <w:snapToGrid w:val="0"/>
                <w:kern w:val="22"/>
                <w:sz w:val="20"/>
                <w:szCs w:val="20"/>
              </w:rPr>
            </w:pPr>
            <w:r>
              <w:rPr>
                <w:rFonts w:asciiTheme="majorBidi" w:hAnsiTheme="majorBidi"/>
                <w:snapToGrid w:val="0"/>
                <w:sz w:val="20"/>
              </w:rPr>
              <w:t>Утвержден на МПБЭУ-7 (2019 г.)</w:t>
            </w:r>
          </w:p>
          <w:p w14:paraId="7DAAC77D" w14:textId="77777777" w:rsidR="000B6B0F" w:rsidRPr="001D7DAF" w:rsidRDefault="000B6B0F" w:rsidP="000B6B0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0B6B0F">
              <w:rPr>
                <w:rStyle w:val="Hyperlink"/>
                <w:rFonts w:asciiTheme="majorBidi" w:hAnsiTheme="majorBidi"/>
                <w:snapToGrid w:val="0"/>
                <w:sz w:val="20"/>
              </w:rPr>
              <w:t>https://ipbes.net/global-assessment</w:t>
            </w:r>
          </w:p>
        </w:tc>
        <w:tc>
          <w:tcPr>
            <w:tcW w:w="3402" w:type="dxa"/>
            <w:tcBorders>
              <w:top w:val="single" w:sz="4" w:space="0" w:color="auto"/>
              <w:left w:val="single" w:sz="4" w:space="0" w:color="auto"/>
              <w:bottom w:val="single" w:sz="4" w:space="0" w:color="auto"/>
              <w:right w:val="single" w:sz="4" w:space="0" w:color="auto"/>
            </w:tcBorders>
            <w:hideMark/>
          </w:tcPr>
          <w:p w14:paraId="7DAAC77E" w14:textId="77777777" w:rsidR="000B6B0F" w:rsidRPr="001D7DAF" w:rsidRDefault="000B6B0F" w:rsidP="000B6B0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Рек. ВОНТТК 23/1</w:t>
            </w:r>
          </w:p>
        </w:tc>
        <w:tc>
          <w:tcPr>
            <w:tcW w:w="5953" w:type="dxa"/>
            <w:tcBorders>
              <w:top w:val="single" w:sz="4" w:space="0" w:color="auto"/>
              <w:left w:val="single" w:sz="4" w:space="0" w:color="auto"/>
              <w:bottom w:val="single" w:sz="4" w:space="0" w:color="auto"/>
              <w:right w:val="single" w:sz="4" w:space="0" w:color="auto"/>
            </w:tcBorders>
            <w:hideMark/>
          </w:tcPr>
          <w:p w14:paraId="7DAAC77F" w14:textId="77777777" w:rsidR="000B6B0F" w:rsidRPr="001D7DAF" w:rsidRDefault="000B6B0F" w:rsidP="000B6B0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ВОНТТК приветствовал доклад о глобальной оценке и принял к сведению информацию, представленную в записке Исполнительного секретаря, которая включала обзор выводов по итогам глобальной оценки и последствий для работы Конвенции, подготовленный Исполнительным секретарем; поручил сопредседателям Рабочей группы открытого состава по глобальной рамочной программе в области биоразнообразия на период после 2020 года учесть выводы, содержащиеся в глобальной оценке, при подготовке документации для второго совещания Рабочей группы; и предложил Рабочей группе открытого состава по глобальной рамочной программе в области биоразнообразия на период после 2020 года в ходе своих обсуждений рассмотреть содержащиеся в глобальной оценке выводы.</w:t>
            </w:r>
          </w:p>
        </w:tc>
      </w:tr>
    </w:tbl>
    <w:p w14:paraId="7DAAC781" w14:textId="77777777" w:rsidR="002C4EF9" w:rsidRPr="00C16A5D" w:rsidRDefault="002C4EF9" w:rsidP="002C4EF9">
      <w:pPr>
        <w:jc w:val="left"/>
        <w:rPr>
          <w:b/>
          <w:bCs/>
          <w:szCs w:val="22"/>
        </w:rPr>
      </w:pPr>
    </w:p>
    <w:p w14:paraId="7DAAC782" w14:textId="77777777" w:rsidR="002C4EF9" w:rsidRPr="00C16A5D" w:rsidRDefault="002C4EF9" w:rsidP="002C4EF9">
      <w:pPr>
        <w:jc w:val="left"/>
        <w:rPr>
          <w:b/>
          <w:bCs/>
          <w:szCs w:val="22"/>
        </w:rPr>
      </w:pPr>
      <w:r w:rsidRPr="00C16A5D">
        <w:rPr>
          <w:b/>
          <w:bCs/>
          <w:szCs w:val="22"/>
        </w:rPr>
        <w:br w:type="page"/>
      </w:r>
    </w:p>
    <w:p w14:paraId="7DAAC783" w14:textId="77777777" w:rsidR="002C4EF9" w:rsidRPr="00BC4786" w:rsidRDefault="00BC4786" w:rsidP="002C4EF9">
      <w:pPr>
        <w:keepNext/>
        <w:spacing w:before="140" w:after="140"/>
        <w:ind w:left="720" w:hanging="720"/>
        <w:rPr>
          <w:b/>
          <w:bCs/>
          <w:szCs w:val="22"/>
        </w:rPr>
      </w:pPr>
      <w:r>
        <w:rPr>
          <w:b/>
        </w:rPr>
        <w:lastRenderedPageBreak/>
        <w:t>Таблица 2 – Соответствующие планируемые или предстоящие результаты работы МПБЭУ и их связи с глобальной рамочной программой в области биоразнообразия на период после 2020 года</w:t>
      </w:r>
    </w:p>
    <w:tbl>
      <w:tblPr>
        <w:tblStyle w:val="TableGrid"/>
        <w:tblW w:w="14406" w:type="dxa"/>
        <w:tblLook w:val="04A0" w:firstRow="1" w:lastRow="0" w:firstColumn="1" w:lastColumn="0" w:noHBand="0" w:noVBand="1"/>
      </w:tblPr>
      <w:tblGrid>
        <w:gridCol w:w="5193"/>
        <w:gridCol w:w="3260"/>
        <w:gridCol w:w="5953"/>
      </w:tblGrid>
      <w:tr w:rsidR="00BC4786" w:rsidRPr="00BC4786" w14:paraId="7DAAC787" w14:textId="77777777" w:rsidTr="0064443E">
        <w:trPr>
          <w:tblHeader/>
        </w:trPr>
        <w:tc>
          <w:tcPr>
            <w:tcW w:w="51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AAC784" w14:textId="77777777" w:rsidR="00BC4786" w:rsidRPr="001D7DAF" w:rsidRDefault="00BC4786" w:rsidP="00BC4786">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snapToGrid w:val="0"/>
                <w:kern w:val="22"/>
                <w:sz w:val="20"/>
                <w:szCs w:val="20"/>
              </w:rPr>
            </w:pPr>
            <w:r>
              <w:rPr>
                <w:rFonts w:asciiTheme="majorBidi" w:hAnsiTheme="majorBidi"/>
                <w:b/>
                <w:snapToGrid w:val="0"/>
                <w:sz w:val="20"/>
              </w:rPr>
              <w:t>Планируемые или предстоящие оценки и другие результаты работы</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AAC785" w14:textId="77777777" w:rsidR="00BC4786" w:rsidRPr="001D7DAF" w:rsidRDefault="00BC4786" w:rsidP="00BC4786">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snapToGrid w:val="0"/>
                <w:kern w:val="22"/>
                <w:sz w:val="20"/>
                <w:szCs w:val="20"/>
              </w:rPr>
            </w:pPr>
            <w:r>
              <w:rPr>
                <w:rFonts w:asciiTheme="majorBidi" w:hAnsiTheme="majorBidi"/>
                <w:b/>
                <w:snapToGrid w:val="0"/>
                <w:sz w:val="20"/>
              </w:rPr>
              <w:t>Предлагаемые сроки для подробного рассмотрения ВОНТТК и КС</w:t>
            </w:r>
          </w:p>
        </w:tc>
        <w:tc>
          <w:tcPr>
            <w:tcW w:w="595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AAC786" w14:textId="77777777" w:rsidR="00BC4786" w:rsidRPr="001D7DAF" w:rsidRDefault="00BC4786" w:rsidP="00BC4786">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snapToGrid w:val="0"/>
                <w:kern w:val="22"/>
                <w:sz w:val="20"/>
                <w:szCs w:val="20"/>
              </w:rPr>
            </w:pPr>
            <w:r>
              <w:rPr>
                <w:rFonts w:asciiTheme="majorBidi" w:hAnsiTheme="majorBidi"/>
                <w:b/>
                <w:snapToGrid w:val="0"/>
                <w:sz w:val="20"/>
              </w:rPr>
              <w:t xml:space="preserve">Связи с Конвенцией, в частности с глобальной рамочной программой в области биоразнообразия на период после 2020 года </w:t>
            </w:r>
          </w:p>
        </w:tc>
      </w:tr>
      <w:tr w:rsidR="002C4EF9" w14:paraId="7DAAC789" w14:textId="77777777" w:rsidTr="0064443E">
        <w:tc>
          <w:tcPr>
            <w:tcW w:w="1440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AAC788" w14:textId="77777777" w:rsidR="002C4EF9" w:rsidRDefault="00BC4786">
            <w:pPr>
              <w:suppressLineNumbers/>
              <w:suppressAutoHyphens/>
              <w:kinsoku w:val="0"/>
              <w:overflowPunct w:val="0"/>
              <w:autoSpaceDE w:val="0"/>
              <w:autoSpaceDN w:val="0"/>
              <w:adjustRightInd w:val="0"/>
              <w:snapToGrid w:val="0"/>
              <w:spacing w:before="60" w:after="60"/>
              <w:rPr>
                <w:rFonts w:asciiTheme="majorBidi" w:hAnsiTheme="majorBidi" w:cstheme="majorBidi"/>
                <w:i/>
                <w:iCs/>
                <w:snapToGrid w:val="0"/>
                <w:kern w:val="22"/>
                <w:sz w:val="20"/>
                <w:szCs w:val="20"/>
              </w:rPr>
            </w:pPr>
            <w:r>
              <w:rPr>
                <w:rFonts w:asciiTheme="majorBidi" w:hAnsiTheme="majorBidi"/>
                <w:i/>
                <w:snapToGrid w:val="0"/>
                <w:sz w:val="20"/>
              </w:rPr>
              <w:t>Доклады об оценках</w:t>
            </w:r>
          </w:p>
        </w:tc>
      </w:tr>
      <w:tr w:rsidR="00BC4786" w:rsidRPr="00EE6EFC" w14:paraId="7DAAC791" w14:textId="77777777" w:rsidTr="0064443E">
        <w:tc>
          <w:tcPr>
            <w:tcW w:w="5193" w:type="dxa"/>
            <w:tcBorders>
              <w:top w:val="single" w:sz="4" w:space="0" w:color="auto"/>
              <w:left w:val="single" w:sz="4" w:space="0" w:color="auto"/>
              <w:bottom w:val="single" w:sz="4" w:space="0" w:color="auto"/>
              <w:right w:val="single" w:sz="4" w:space="0" w:color="auto"/>
            </w:tcBorders>
            <w:hideMark/>
          </w:tcPr>
          <w:p w14:paraId="7DAAC78A"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Pr>
                <w:rFonts w:asciiTheme="majorBidi" w:hAnsiTheme="majorBidi"/>
                <w:b/>
                <w:snapToGrid w:val="0"/>
                <w:sz w:val="20"/>
              </w:rPr>
              <w:t>Методологическ</w:t>
            </w:r>
            <w:r w:rsidR="00D91BFD">
              <w:rPr>
                <w:rFonts w:asciiTheme="majorBidi" w:hAnsiTheme="majorBidi"/>
                <w:b/>
                <w:snapToGrid w:val="0"/>
                <w:sz w:val="20"/>
              </w:rPr>
              <w:t>ая</w:t>
            </w:r>
            <w:r>
              <w:rPr>
                <w:rFonts w:asciiTheme="majorBidi" w:hAnsiTheme="majorBidi"/>
                <w:b/>
                <w:snapToGrid w:val="0"/>
                <w:sz w:val="20"/>
              </w:rPr>
              <w:t xml:space="preserve"> оценк</w:t>
            </w:r>
            <w:r w:rsidR="00D91BFD">
              <w:rPr>
                <w:rFonts w:asciiTheme="majorBidi" w:hAnsiTheme="majorBidi"/>
                <w:b/>
                <w:snapToGrid w:val="0"/>
                <w:sz w:val="20"/>
              </w:rPr>
              <w:t>а</w:t>
            </w:r>
            <w:r>
              <w:rPr>
                <w:rFonts w:asciiTheme="majorBidi" w:hAnsiTheme="majorBidi"/>
                <w:b/>
                <w:snapToGrid w:val="0"/>
                <w:sz w:val="20"/>
              </w:rPr>
              <w:t xml:space="preserve"> в отношении различной концептуализации разнообразных ценностей природы и ее благ, включая биоразнообразие и экосистемные функции и услуги</w:t>
            </w:r>
          </w:p>
          <w:p w14:paraId="7DAAC78B"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Утвержден</w:t>
            </w:r>
            <w:r w:rsidR="00EE6EFC">
              <w:rPr>
                <w:rFonts w:asciiTheme="majorBidi" w:hAnsiTheme="majorBidi"/>
                <w:snapToGrid w:val="0"/>
                <w:sz w:val="20"/>
              </w:rPr>
              <w:t>а</w:t>
            </w:r>
            <w:r>
              <w:rPr>
                <w:rFonts w:asciiTheme="majorBidi" w:hAnsiTheme="majorBidi"/>
                <w:snapToGrid w:val="0"/>
                <w:sz w:val="20"/>
              </w:rPr>
              <w:t xml:space="preserve"> на МПБЭУ-9 (2022 г.)</w:t>
            </w:r>
          </w:p>
          <w:p w14:paraId="7DAAC78C"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Pr>
                <w:rStyle w:val="Hyperlink"/>
                <w:rFonts w:asciiTheme="majorBidi" w:hAnsiTheme="majorBidi"/>
                <w:sz w:val="20"/>
              </w:rPr>
              <w:t>https://ipbes.net/the-values-assessment</w:t>
            </w:r>
          </w:p>
        </w:tc>
        <w:tc>
          <w:tcPr>
            <w:tcW w:w="3260" w:type="dxa"/>
            <w:vMerge w:val="restart"/>
            <w:tcBorders>
              <w:top w:val="single" w:sz="4" w:space="0" w:color="auto"/>
              <w:left w:val="single" w:sz="4" w:space="0" w:color="auto"/>
              <w:bottom w:val="single" w:sz="4" w:space="0" w:color="auto"/>
              <w:right w:val="single" w:sz="4" w:space="0" w:color="auto"/>
            </w:tcBorders>
            <w:hideMark/>
          </w:tcPr>
          <w:p w14:paraId="7DAAC78D"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Будет рассматриваться на:</w:t>
            </w:r>
          </w:p>
          <w:p w14:paraId="7DAAC78E"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 xml:space="preserve">ВОНТТК-25 (октябрь 2023 г., </w:t>
            </w:r>
            <w:proofErr w:type="spellStart"/>
            <w:r>
              <w:rPr>
                <w:rFonts w:asciiTheme="majorBidi" w:hAnsiTheme="majorBidi"/>
                <w:snapToGrid w:val="0"/>
                <w:sz w:val="20"/>
              </w:rPr>
              <w:t>предв</w:t>
            </w:r>
            <w:proofErr w:type="spellEnd"/>
            <w:r>
              <w:rPr>
                <w:rFonts w:asciiTheme="majorBidi" w:hAnsiTheme="majorBidi"/>
                <w:snapToGrid w:val="0"/>
                <w:sz w:val="20"/>
              </w:rPr>
              <w:t xml:space="preserve">.) и КС-16 (октябрь 2024 г., </w:t>
            </w:r>
            <w:proofErr w:type="spellStart"/>
            <w:r>
              <w:rPr>
                <w:rFonts w:asciiTheme="majorBidi" w:hAnsiTheme="majorBidi"/>
                <w:snapToGrid w:val="0"/>
                <w:sz w:val="20"/>
              </w:rPr>
              <w:t>предв</w:t>
            </w:r>
            <w:proofErr w:type="spellEnd"/>
            <w:r>
              <w:rPr>
                <w:rFonts w:asciiTheme="majorBidi" w:hAnsiTheme="majorBidi"/>
                <w:snapToGrid w:val="0"/>
                <w:sz w:val="20"/>
              </w:rPr>
              <w:t>.)</w:t>
            </w:r>
          </w:p>
        </w:tc>
        <w:tc>
          <w:tcPr>
            <w:tcW w:w="5953" w:type="dxa"/>
            <w:tcBorders>
              <w:top w:val="single" w:sz="4" w:space="0" w:color="auto"/>
              <w:left w:val="single" w:sz="4" w:space="0" w:color="auto"/>
              <w:bottom w:val="single" w:sz="4" w:space="0" w:color="auto"/>
              <w:right w:val="single" w:sz="4" w:space="0" w:color="auto"/>
            </w:tcBorders>
            <w:hideMark/>
          </w:tcPr>
          <w:p w14:paraId="7DAAC78F"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 xml:space="preserve">Сквозной вопрос, </w:t>
            </w:r>
          </w:p>
          <w:p w14:paraId="7DAAC790" w14:textId="77777777" w:rsidR="00BC4786" w:rsidRPr="001D7DAF" w:rsidRDefault="00BC4786" w:rsidP="00EE6EFC">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 xml:space="preserve">непосредственно </w:t>
            </w:r>
            <w:r w:rsidR="00EE6EFC">
              <w:rPr>
                <w:rFonts w:asciiTheme="majorBidi" w:hAnsiTheme="majorBidi"/>
                <w:snapToGrid w:val="0"/>
                <w:sz w:val="20"/>
              </w:rPr>
              <w:t>способствует выполнению</w:t>
            </w:r>
            <w:r>
              <w:rPr>
                <w:rFonts w:asciiTheme="majorBidi" w:hAnsiTheme="majorBidi"/>
                <w:snapToGrid w:val="0"/>
                <w:sz w:val="20"/>
              </w:rPr>
              <w:t xml:space="preserve"> задач</w:t>
            </w:r>
            <w:r w:rsidR="00EE6EFC">
              <w:rPr>
                <w:rFonts w:asciiTheme="majorBidi" w:hAnsiTheme="majorBidi"/>
                <w:snapToGrid w:val="0"/>
                <w:sz w:val="20"/>
              </w:rPr>
              <w:t>и</w:t>
            </w:r>
            <w:r>
              <w:rPr>
                <w:rFonts w:asciiTheme="majorBidi" w:hAnsiTheme="majorBidi"/>
                <w:snapToGrid w:val="0"/>
                <w:sz w:val="20"/>
              </w:rPr>
              <w:t xml:space="preserve"> 14 и </w:t>
            </w:r>
            <w:r w:rsidR="00EE6EFC">
              <w:rPr>
                <w:rFonts w:asciiTheme="majorBidi" w:hAnsiTheme="majorBidi"/>
                <w:snapToGrid w:val="0"/>
                <w:sz w:val="20"/>
              </w:rPr>
              <w:t>достижению цели</w:t>
            </w:r>
            <w:r>
              <w:rPr>
                <w:rFonts w:asciiTheme="majorBidi" w:hAnsiTheme="majorBidi"/>
                <w:snapToGrid w:val="0"/>
                <w:sz w:val="20"/>
              </w:rPr>
              <w:t xml:space="preserve"> B ГПБ</w:t>
            </w:r>
          </w:p>
        </w:tc>
      </w:tr>
      <w:tr w:rsidR="00BC4786" w:rsidRPr="00EE6EFC" w14:paraId="7DAAC799" w14:textId="77777777" w:rsidTr="0064443E">
        <w:tc>
          <w:tcPr>
            <w:tcW w:w="5193" w:type="dxa"/>
            <w:tcBorders>
              <w:top w:val="single" w:sz="4" w:space="0" w:color="auto"/>
              <w:left w:val="single" w:sz="4" w:space="0" w:color="auto"/>
              <w:bottom w:val="single" w:sz="4" w:space="0" w:color="auto"/>
              <w:right w:val="single" w:sz="4" w:space="0" w:color="auto"/>
            </w:tcBorders>
            <w:hideMark/>
          </w:tcPr>
          <w:p w14:paraId="7DAAC792"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Pr>
                <w:rFonts w:asciiTheme="majorBidi" w:hAnsiTheme="majorBidi"/>
                <w:b/>
                <w:snapToGrid w:val="0"/>
                <w:sz w:val="20"/>
              </w:rPr>
              <w:t>Доклад об оценке устойчивого использования диких видов</w:t>
            </w:r>
          </w:p>
          <w:p w14:paraId="7DAAC793"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Утвержден на МПБЭУ-9 (2022 г.)</w:t>
            </w:r>
          </w:p>
          <w:p w14:paraId="7DAAC794" w14:textId="77777777" w:rsidR="00BC4786" w:rsidRPr="00BC4786"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EE6EFC">
              <w:rPr>
                <w:rStyle w:val="Hyperlink"/>
                <w:rFonts w:asciiTheme="majorBidi" w:hAnsiTheme="majorBidi"/>
                <w:snapToGrid w:val="0"/>
                <w:sz w:val="20"/>
              </w:rPr>
              <w:t>https://ipbes.net/sustainable-use-assessment</w:t>
            </w:r>
            <w:r>
              <w:rPr>
                <w:rFonts w:asciiTheme="majorBidi" w:hAnsiTheme="majorBidi"/>
                <w:snapToGrid w:val="0"/>
                <w:sz w:val="20"/>
              </w:rPr>
              <w:t xml:space="preserve"> </w:t>
            </w:r>
          </w:p>
        </w:tc>
        <w:tc>
          <w:tcPr>
            <w:tcW w:w="0" w:type="auto"/>
            <w:vMerge/>
            <w:tcBorders>
              <w:top w:val="single" w:sz="4" w:space="0" w:color="auto"/>
              <w:left w:val="single" w:sz="4" w:space="0" w:color="auto"/>
              <w:bottom w:val="single" w:sz="4" w:space="0" w:color="auto"/>
              <w:right w:val="single" w:sz="4" w:space="0" w:color="auto"/>
            </w:tcBorders>
            <w:hideMark/>
          </w:tcPr>
          <w:p w14:paraId="7DAAC795" w14:textId="77777777" w:rsidR="00BC4786" w:rsidRPr="00BC4786" w:rsidRDefault="00BC4786" w:rsidP="00BC4786">
            <w:pPr>
              <w:jc w:val="left"/>
              <w:rPr>
                <w:rFonts w:asciiTheme="majorBidi" w:eastAsiaTheme="minorEastAsia" w:hAnsiTheme="majorBidi" w:cstheme="majorBidi"/>
                <w:snapToGrid w:val="0"/>
                <w:kern w:val="22"/>
                <w:sz w:val="20"/>
                <w:szCs w:val="20"/>
              </w:rPr>
            </w:pPr>
          </w:p>
        </w:tc>
        <w:tc>
          <w:tcPr>
            <w:tcW w:w="5953" w:type="dxa"/>
            <w:tcBorders>
              <w:top w:val="single" w:sz="4" w:space="0" w:color="auto"/>
              <w:left w:val="single" w:sz="4" w:space="0" w:color="auto"/>
              <w:bottom w:val="single" w:sz="4" w:space="0" w:color="auto"/>
              <w:right w:val="single" w:sz="4" w:space="0" w:color="auto"/>
            </w:tcBorders>
          </w:tcPr>
          <w:p w14:paraId="7DAAC796" w14:textId="77777777" w:rsidR="00EE6EFC" w:rsidRDefault="00EE6EFC" w:rsidP="00BC4786">
            <w:pPr>
              <w:suppressLineNumbers/>
              <w:suppressAutoHyphens/>
              <w:kinsoku w:val="0"/>
              <w:overflowPunct w:val="0"/>
              <w:autoSpaceDE w:val="0"/>
              <w:autoSpaceDN w:val="0"/>
              <w:adjustRightInd w:val="0"/>
              <w:snapToGrid w:val="0"/>
              <w:spacing w:before="60" w:after="60"/>
              <w:jc w:val="left"/>
              <w:rPr>
                <w:rFonts w:asciiTheme="majorBidi" w:hAnsiTheme="majorBidi"/>
                <w:snapToGrid w:val="0"/>
                <w:sz w:val="20"/>
              </w:rPr>
            </w:pPr>
            <w:r>
              <w:rPr>
                <w:rFonts w:asciiTheme="majorBidi" w:hAnsiTheme="majorBidi"/>
                <w:snapToGrid w:val="0"/>
                <w:sz w:val="20"/>
              </w:rPr>
              <w:t>Касается</w:t>
            </w:r>
            <w:r w:rsidR="00BC4786">
              <w:rPr>
                <w:rFonts w:asciiTheme="majorBidi" w:hAnsiTheme="majorBidi"/>
                <w:snapToGrid w:val="0"/>
                <w:sz w:val="20"/>
              </w:rPr>
              <w:t xml:space="preserve"> прямо</w:t>
            </w:r>
            <w:r>
              <w:rPr>
                <w:rFonts w:asciiTheme="majorBidi" w:hAnsiTheme="majorBidi"/>
                <w:snapToGrid w:val="0"/>
                <w:sz w:val="20"/>
              </w:rPr>
              <w:t>го</w:t>
            </w:r>
            <w:r w:rsidR="00BC4786">
              <w:rPr>
                <w:rFonts w:asciiTheme="majorBidi" w:hAnsiTheme="majorBidi"/>
                <w:snapToGrid w:val="0"/>
                <w:sz w:val="20"/>
              </w:rPr>
              <w:t xml:space="preserve"> фактор</w:t>
            </w:r>
            <w:r>
              <w:rPr>
                <w:rFonts w:asciiTheme="majorBidi" w:hAnsiTheme="majorBidi"/>
                <w:snapToGrid w:val="0"/>
                <w:sz w:val="20"/>
              </w:rPr>
              <w:t>а</w:t>
            </w:r>
            <w:r w:rsidR="00BC4786">
              <w:rPr>
                <w:rFonts w:asciiTheme="majorBidi" w:hAnsiTheme="majorBidi"/>
                <w:snapToGrid w:val="0"/>
                <w:sz w:val="20"/>
              </w:rPr>
              <w:t xml:space="preserve"> утраты биоразнообразия (чрезмерн</w:t>
            </w:r>
            <w:r>
              <w:rPr>
                <w:rFonts w:asciiTheme="majorBidi" w:hAnsiTheme="majorBidi"/>
                <w:snapToGrid w:val="0"/>
                <w:sz w:val="20"/>
              </w:rPr>
              <w:t>ой эксплуатации</w:t>
            </w:r>
            <w:r w:rsidR="00BC4786">
              <w:rPr>
                <w:rFonts w:asciiTheme="majorBidi" w:hAnsiTheme="majorBidi"/>
                <w:snapToGrid w:val="0"/>
                <w:sz w:val="20"/>
              </w:rPr>
              <w:t xml:space="preserve">) </w:t>
            </w:r>
          </w:p>
          <w:p w14:paraId="7DAAC797"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 xml:space="preserve">Непосредственно </w:t>
            </w:r>
            <w:r w:rsidR="00EE6EFC">
              <w:rPr>
                <w:rFonts w:asciiTheme="majorBidi" w:hAnsiTheme="majorBidi"/>
                <w:snapToGrid w:val="0"/>
                <w:sz w:val="20"/>
              </w:rPr>
              <w:t xml:space="preserve">способствует выполнению задач </w:t>
            </w:r>
            <w:r>
              <w:rPr>
                <w:rFonts w:asciiTheme="majorBidi" w:hAnsiTheme="majorBidi"/>
                <w:snapToGrid w:val="0"/>
                <w:sz w:val="20"/>
              </w:rPr>
              <w:t xml:space="preserve">5 и 9 и </w:t>
            </w:r>
            <w:r w:rsidR="00EE6EFC">
              <w:rPr>
                <w:rFonts w:asciiTheme="majorBidi" w:hAnsiTheme="majorBidi"/>
                <w:snapToGrid w:val="0"/>
                <w:sz w:val="20"/>
              </w:rPr>
              <w:t xml:space="preserve">достижению </w:t>
            </w:r>
            <w:r>
              <w:rPr>
                <w:rFonts w:asciiTheme="majorBidi" w:hAnsiTheme="majorBidi"/>
                <w:snapToGrid w:val="0"/>
                <w:sz w:val="20"/>
              </w:rPr>
              <w:t>цел</w:t>
            </w:r>
            <w:r w:rsidR="00EE6EFC">
              <w:rPr>
                <w:rFonts w:asciiTheme="majorBidi" w:hAnsiTheme="majorBidi"/>
                <w:snapToGrid w:val="0"/>
                <w:sz w:val="20"/>
              </w:rPr>
              <w:t>и</w:t>
            </w:r>
            <w:r>
              <w:rPr>
                <w:rFonts w:asciiTheme="majorBidi" w:hAnsiTheme="majorBidi"/>
                <w:snapToGrid w:val="0"/>
                <w:sz w:val="20"/>
              </w:rPr>
              <w:t xml:space="preserve"> B ГПБ </w:t>
            </w:r>
          </w:p>
          <w:p w14:paraId="7DAAC798" w14:textId="77777777" w:rsidR="00BC4786" w:rsidRPr="00EE6EFC"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p>
        </w:tc>
      </w:tr>
      <w:tr w:rsidR="00BC4786" w:rsidRPr="00BC4786" w14:paraId="7DAAC7A0" w14:textId="77777777" w:rsidTr="0064443E">
        <w:tc>
          <w:tcPr>
            <w:tcW w:w="5193" w:type="dxa"/>
            <w:tcBorders>
              <w:top w:val="single" w:sz="4" w:space="0" w:color="auto"/>
              <w:left w:val="single" w:sz="4" w:space="0" w:color="auto"/>
              <w:bottom w:val="single" w:sz="4" w:space="0" w:color="auto"/>
              <w:right w:val="single" w:sz="4" w:space="0" w:color="auto"/>
            </w:tcBorders>
            <w:hideMark/>
          </w:tcPr>
          <w:p w14:paraId="7DAAC79A"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Pr>
                <w:rFonts w:asciiTheme="majorBidi" w:hAnsiTheme="majorBidi"/>
                <w:b/>
                <w:snapToGrid w:val="0"/>
                <w:sz w:val="20"/>
              </w:rPr>
              <w:t>Инвазивные чужеродные виды</w:t>
            </w:r>
          </w:p>
          <w:p w14:paraId="7DAAC79B"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Будет рассматриваться на МПБЭУ-10 (2023 г.)</w:t>
            </w:r>
          </w:p>
          <w:p w14:paraId="7DAAC79C" w14:textId="77777777" w:rsidR="00BC4786" w:rsidRPr="00BC4786"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EE6EFC">
              <w:rPr>
                <w:rStyle w:val="Hyperlink"/>
                <w:rFonts w:asciiTheme="majorBidi" w:hAnsiTheme="majorBidi"/>
                <w:snapToGrid w:val="0"/>
                <w:sz w:val="20"/>
              </w:rPr>
              <w:t>https://ipbes.net/invasive-alien-species-assessment</w:t>
            </w:r>
            <w:r>
              <w:rPr>
                <w:rFonts w:asciiTheme="majorBidi" w:hAnsiTheme="majorBidi"/>
                <w:snapToGrid w:val="0"/>
                <w:sz w:val="20"/>
              </w:rPr>
              <w:t xml:space="preserve"> </w:t>
            </w:r>
          </w:p>
        </w:tc>
        <w:tc>
          <w:tcPr>
            <w:tcW w:w="0" w:type="auto"/>
            <w:vMerge/>
            <w:tcBorders>
              <w:top w:val="single" w:sz="4" w:space="0" w:color="auto"/>
              <w:left w:val="single" w:sz="4" w:space="0" w:color="auto"/>
              <w:bottom w:val="single" w:sz="4" w:space="0" w:color="auto"/>
              <w:right w:val="single" w:sz="4" w:space="0" w:color="auto"/>
            </w:tcBorders>
            <w:hideMark/>
          </w:tcPr>
          <w:p w14:paraId="7DAAC79D" w14:textId="77777777" w:rsidR="00BC4786" w:rsidRPr="00BC4786" w:rsidRDefault="00BC4786" w:rsidP="00BC4786">
            <w:pPr>
              <w:jc w:val="left"/>
              <w:rPr>
                <w:rFonts w:asciiTheme="majorBidi" w:eastAsiaTheme="minorEastAsia" w:hAnsiTheme="majorBidi" w:cstheme="majorBidi"/>
                <w:snapToGrid w:val="0"/>
                <w:kern w:val="22"/>
                <w:sz w:val="20"/>
                <w:szCs w:val="20"/>
              </w:rPr>
            </w:pPr>
          </w:p>
        </w:tc>
        <w:tc>
          <w:tcPr>
            <w:tcW w:w="5953" w:type="dxa"/>
            <w:tcBorders>
              <w:top w:val="single" w:sz="4" w:space="0" w:color="auto"/>
              <w:left w:val="single" w:sz="4" w:space="0" w:color="auto"/>
              <w:bottom w:val="single" w:sz="4" w:space="0" w:color="auto"/>
              <w:right w:val="single" w:sz="4" w:space="0" w:color="auto"/>
            </w:tcBorders>
            <w:hideMark/>
          </w:tcPr>
          <w:p w14:paraId="7DAAC79E" w14:textId="77777777" w:rsidR="00BC4786" w:rsidRPr="001D7DAF" w:rsidRDefault="00EE6EFC"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Касается прямого фактора утраты биоразнообразия</w:t>
            </w:r>
            <w:r w:rsidR="00BC4786">
              <w:rPr>
                <w:rFonts w:asciiTheme="majorBidi" w:hAnsiTheme="majorBidi"/>
                <w:snapToGrid w:val="0"/>
                <w:sz w:val="20"/>
              </w:rPr>
              <w:t xml:space="preserve">, </w:t>
            </w:r>
          </w:p>
          <w:p w14:paraId="7DAAC79F" w14:textId="77777777" w:rsidR="00BC4786" w:rsidRDefault="00EE6EFC"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н</w:t>
            </w:r>
            <w:r w:rsidR="00BC4786">
              <w:rPr>
                <w:rFonts w:asciiTheme="majorBidi" w:hAnsiTheme="majorBidi"/>
                <w:snapToGrid w:val="0"/>
                <w:sz w:val="20"/>
              </w:rPr>
              <w:t xml:space="preserve">епосредственно </w:t>
            </w:r>
            <w:r>
              <w:rPr>
                <w:rFonts w:asciiTheme="majorBidi" w:hAnsiTheme="majorBidi"/>
                <w:snapToGrid w:val="0"/>
                <w:sz w:val="20"/>
              </w:rPr>
              <w:t xml:space="preserve">способствует выполнению задачи </w:t>
            </w:r>
            <w:r w:rsidR="00BC4786">
              <w:rPr>
                <w:rFonts w:asciiTheme="majorBidi" w:hAnsiTheme="majorBidi"/>
                <w:snapToGrid w:val="0"/>
                <w:sz w:val="20"/>
              </w:rPr>
              <w:t xml:space="preserve">6 ГПБ </w:t>
            </w:r>
          </w:p>
        </w:tc>
      </w:tr>
      <w:tr w:rsidR="00BC4786" w:rsidRPr="00BC4786" w14:paraId="7DAAC7A9" w14:textId="77777777" w:rsidTr="0064443E">
        <w:tc>
          <w:tcPr>
            <w:tcW w:w="5193" w:type="dxa"/>
            <w:tcBorders>
              <w:top w:val="single" w:sz="4" w:space="0" w:color="auto"/>
              <w:left w:val="single" w:sz="4" w:space="0" w:color="auto"/>
              <w:bottom w:val="single" w:sz="4" w:space="0" w:color="auto"/>
              <w:right w:val="single" w:sz="4" w:space="0" w:color="auto"/>
            </w:tcBorders>
            <w:hideMark/>
          </w:tcPr>
          <w:p w14:paraId="7DAAC7A1"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Pr>
                <w:rFonts w:asciiTheme="majorBidi" w:hAnsiTheme="majorBidi"/>
                <w:b/>
                <w:snapToGrid w:val="0"/>
                <w:sz w:val="20"/>
              </w:rPr>
              <w:t>Тематическая оценка взаимосвязей между биоразнообразием, водными ресурсами, продовольствием и здоровьем («оценка взаимосвязей»)</w:t>
            </w:r>
          </w:p>
          <w:p w14:paraId="7DAAC7A2"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Доклад об аналитических исследованиях утвержден на МПБЭУ-8 (2021 г.)</w:t>
            </w:r>
          </w:p>
          <w:p w14:paraId="7DAAC7A3"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Оценка будет рассматриваться на МПБЭУ-11 (2024 г.)</w:t>
            </w:r>
          </w:p>
          <w:p w14:paraId="7DAAC7A4"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EE6EFC">
              <w:rPr>
                <w:rStyle w:val="Hyperlink"/>
                <w:rFonts w:asciiTheme="majorBidi" w:hAnsiTheme="majorBidi"/>
                <w:snapToGrid w:val="0"/>
                <w:sz w:val="20"/>
              </w:rPr>
              <w:t>https://ipbes.net/nexus</w:t>
            </w:r>
            <w:r>
              <w:rPr>
                <w:rFonts w:asciiTheme="majorBidi" w:hAnsiTheme="majorBidi"/>
                <w:snapToGrid w:val="0"/>
                <w:sz w:val="20"/>
              </w:rPr>
              <w:t xml:space="preserve"> </w:t>
            </w:r>
          </w:p>
        </w:tc>
        <w:tc>
          <w:tcPr>
            <w:tcW w:w="3260" w:type="dxa"/>
            <w:vMerge w:val="restart"/>
            <w:tcBorders>
              <w:top w:val="single" w:sz="4" w:space="0" w:color="auto"/>
              <w:left w:val="single" w:sz="4" w:space="0" w:color="auto"/>
              <w:bottom w:val="single" w:sz="4" w:space="0" w:color="auto"/>
              <w:right w:val="single" w:sz="4" w:space="0" w:color="auto"/>
            </w:tcBorders>
            <w:hideMark/>
          </w:tcPr>
          <w:p w14:paraId="7DAAC7A5"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Будет рассматриваться на:</w:t>
            </w:r>
          </w:p>
          <w:p w14:paraId="7DAAC7A6"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 xml:space="preserve">ВОНТТК-27 (октябрь 2025 г., </w:t>
            </w:r>
            <w:proofErr w:type="spellStart"/>
            <w:r>
              <w:rPr>
                <w:rFonts w:asciiTheme="majorBidi" w:hAnsiTheme="majorBidi"/>
                <w:snapToGrid w:val="0"/>
                <w:sz w:val="20"/>
              </w:rPr>
              <w:t>предв</w:t>
            </w:r>
            <w:proofErr w:type="spellEnd"/>
            <w:r>
              <w:rPr>
                <w:rFonts w:asciiTheme="majorBidi" w:hAnsiTheme="majorBidi"/>
                <w:snapToGrid w:val="0"/>
                <w:sz w:val="20"/>
              </w:rPr>
              <w:t xml:space="preserve">.) и КС-17 (октябрь 2026 г., </w:t>
            </w:r>
            <w:proofErr w:type="spellStart"/>
            <w:r>
              <w:rPr>
                <w:rFonts w:asciiTheme="majorBidi" w:hAnsiTheme="majorBidi"/>
                <w:snapToGrid w:val="0"/>
                <w:sz w:val="20"/>
              </w:rPr>
              <w:t>предв</w:t>
            </w:r>
            <w:proofErr w:type="spellEnd"/>
            <w:r>
              <w:rPr>
                <w:rFonts w:asciiTheme="majorBidi" w:hAnsiTheme="majorBidi"/>
                <w:snapToGrid w:val="0"/>
                <w:sz w:val="20"/>
              </w:rPr>
              <w:t>.)</w:t>
            </w:r>
          </w:p>
        </w:tc>
        <w:tc>
          <w:tcPr>
            <w:tcW w:w="5953" w:type="dxa"/>
            <w:tcBorders>
              <w:top w:val="single" w:sz="4" w:space="0" w:color="auto"/>
              <w:left w:val="single" w:sz="4" w:space="0" w:color="auto"/>
              <w:bottom w:val="single" w:sz="4" w:space="0" w:color="auto"/>
              <w:right w:val="single" w:sz="4" w:space="0" w:color="auto"/>
            </w:tcBorders>
            <w:hideMark/>
          </w:tcPr>
          <w:p w14:paraId="7DAAC7A7"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 xml:space="preserve">Сквозной вопрос, касающийся взаимодействия биоразнообразия с производственными секторами, </w:t>
            </w:r>
            <w:r w:rsidR="00EE6EFC">
              <w:rPr>
                <w:rFonts w:asciiTheme="majorBidi" w:hAnsiTheme="majorBidi"/>
                <w:snapToGrid w:val="0"/>
                <w:sz w:val="20"/>
              </w:rPr>
              <w:t>которое влияет</w:t>
            </w:r>
            <w:r>
              <w:rPr>
                <w:rFonts w:asciiTheme="majorBidi" w:hAnsiTheme="majorBidi"/>
                <w:snapToGrid w:val="0"/>
                <w:sz w:val="20"/>
              </w:rPr>
              <w:t xml:space="preserve"> на многие прямые и косвенные факторы утраты биоразнообразия.</w:t>
            </w:r>
          </w:p>
          <w:p w14:paraId="7DAAC7A8" w14:textId="77777777" w:rsidR="00BC4786" w:rsidRPr="001D7DAF" w:rsidRDefault="00EE6EFC"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 xml:space="preserve">Способствует выполнению задач </w:t>
            </w:r>
            <w:r w:rsidR="00BC4786">
              <w:rPr>
                <w:rFonts w:asciiTheme="majorBidi" w:hAnsiTheme="majorBidi"/>
                <w:snapToGrid w:val="0"/>
                <w:sz w:val="20"/>
              </w:rPr>
              <w:t>5, 7, 9, 10, 11, 12,</w:t>
            </w:r>
            <w:r>
              <w:rPr>
                <w:rFonts w:asciiTheme="majorBidi" w:hAnsiTheme="majorBidi"/>
                <w:snapToGrid w:val="0"/>
                <w:sz w:val="20"/>
              </w:rPr>
              <w:t xml:space="preserve"> </w:t>
            </w:r>
            <w:r w:rsidR="00BC4786">
              <w:rPr>
                <w:rFonts w:asciiTheme="majorBidi" w:hAnsiTheme="majorBidi"/>
                <w:snapToGrid w:val="0"/>
                <w:sz w:val="20"/>
              </w:rPr>
              <w:t>14, и 16 ГПБ</w:t>
            </w:r>
          </w:p>
        </w:tc>
      </w:tr>
      <w:tr w:rsidR="00BC4786" w14:paraId="7DAAC7B1" w14:textId="77777777" w:rsidTr="0064443E">
        <w:tc>
          <w:tcPr>
            <w:tcW w:w="5193" w:type="dxa"/>
            <w:tcBorders>
              <w:top w:val="single" w:sz="4" w:space="0" w:color="auto"/>
              <w:left w:val="single" w:sz="4" w:space="0" w:color="auto"/>
              <w:bottom w:val="single" w:sz="4" w:space="0" w:color="auto"/>
              <w:right w:val="single" w:sz="4" w:space="0" w:color="auto"/>
            </w:tcBorders>
            <w:hideMark/>
          </w:tcPr>
          <w:p w14:paraId="7DAAC7AA"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Pr>
                <w:rFonts w:asciiTheme="majorBidi" w:hAnsiTheme="majorBidi"/>
                <w:b/>
                <w:snapToGrid w:val="0"/>
                <w:sz w:val="20"/>
              </w:rPr>
              <w:t>Тематическая оценка коренных причин утраты биоразнообразия, определяющих факторов преобразовательных изменений и вариантов реализации Концепции в области биоразнообразия на период до 2050 года («оценка преобразовательных изменений»)</w:t>
            </w:r>
            <w:r>
              <w:rPr>
                <w:rFonts w:asciiTheme="majorBidi" w:hAnsiTheme="majorBidi"/>
                <w:snapToGrid w:val="0"/>
                <w:sz w:val="20"/>
              </w:rPr>
              <w:t xml:space="preserve"> </w:t>
            </w:r>
          </w:p>
          <w:p w14:paraId="7DAAC7AB"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lastRenderedPageBreak/>
              <w:t>Доклад об аналитических исследованиях утвержден на МПБЭУ-8 (2021 г.)</w:t>
            </w:r>
          </w:p>
          <w:p w14:paraId="7DAAC7AC"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Оценка будет рассматриваться на МПБЭУ-11 (2024 г.)</w:t>
            </w:r>
          </w:p>
          <w:p w14:paraId="7DAAC7AD" w14:textId="77777777" w:rsidR="00BC4786" w:rsidRPr="00BC4786"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EE6EFC">
              <w:rPr>
                <w:rStyle w:val="Hyperlink"/>
                <w:rFonts w:asciiTheme="majorBidi" w:hAnsiTheme="majorBidi"/>
                <w:snapToGrid w:val="0"/>
                <w:sz w:val="20"/>
              </w:rPr>
              <w:t>https://ipbes.net/transformative-change</w:t>
            </w:r>
            <w:r>
              <w:rPr>
                <w:rFonts w:asciiTheme="majorBidi" w:hAnsiTheme="majorBidi"/>
                <w:snapToGrid w:val="0"/>
                <w:sz w:val="20"/>
              </w:rPr>
              <w:t xml:space="preserve"> </w:t>
            </w:r>
          </w:p>
        </w:tc>
        <w:tc>
          <w:tcPr>
            <w:tcW w:w="0" w:type="auto"/>
            <w:vMerge/>
            <w:tcBorders>
              <w:top w:val="single" w:sz="4" w:space="0" w:color="auto"/>
              <w:left w:val="single" w:sz="4" w:space="0" w:color="auto"/>
              <w:bottom w:val="single" w:sz="4" w:space="0" w:color="auto"/>
              <w:right w:val="single" w:sz="4" w:space="0" w:color="auto"/>
            </w:tcBorders>
            <w:hideMark/>
          </w:tcPr>
          <w:p w14:paraId="7DAAC7AE" w14:textId="77777777" w:rsidR="00BC4786" w:rsidRPr="00BC4786" w:rsidRDefault="00BC4786" w:rsidP="00BC4786">
            <w:pPr>
              <w:jc w:val="left"/>
              <w:rPr>
                <w:rFonts w:asciiTheme="majorBidi" w:eastAsiaTheme="minorEastAsia" w:hAnsiTheme="majorBidi" w:cstheme="majorBidi"/>
                <w:snapToGrid w:val="0"/>
                <w:kern w:val="22"/>
                <w:sz w:val="20"/>
                <w:szCs w:val="20"/>
              </w:rPr>
            </w:pPr>
          </w:p>
        </w:tc>
        <w:tc>
          <w:tcPr>
            <w:tcW w:w="5953" w:type="dxa"/>
            <w:tcBorders>
              <w:top w:val="single" w:sz="4" w:space="0" w:color="auto"/>
              <w:left w:val="single" w:sz="4" w:space="0" w:color="auto"/>
              <w:bottom w:val="single" w:sz="4" w:space="0" w:color="auto"/>
              <w:right w:val="single" w:sz="4" w:space="0" w:color="auto"/>
            </w:tcBorders>
            <w:hideMark/>
          </w:tcPr>
          <w:p w14:paraId="7DAAC7AF"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 xml:space="preserve">Сквозной вопрос, касающийся косвенных факторов утраты биоразнообразия. </w:t>
            </w:r>
          </w:p>
          <w:p w14:paraId="7DAAC7B0" w14:textId="77777777" w:rsidR="00BC4786" w:rsidRDefault="00EE6EFC"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 xml:space="preserve">Способствует выполнению задач </w:t>
            </w:r>
            <w:r w:rsidR="00BC4786">
              <w:rPr>
                <w:rFonts w:asciiTheme="majorBidi" w:hAnsiTheme="majorBidi"/>
                <w:snapToGrid w:val="0"/>
                <w:sz w:val="20"/>
              </w:rPr>
              <w:t>14-22 ГПБ.</w:t>
            </w:r>
          </w:p>
        </w:tc>
      </w:tr>
      <w:tr w:rsidR="00BC4786" w:rsidRPr="00BC4786" w14:paraId="7DAAC7B8" w14:textId="77777777" w:rsidTr="0064443E">
        <w:tc>
          <w:tcPr>
            <w:tcW w:w="5193" w:type="dxa"/>
            <w:tcBorders>
              <w:top w:val="single" w:sz="4" w:space="0" w:color="auto"/>
              <w:left w:val="single" w:sz="4" w:space="0" w:color="auto"/>
              <w:bottom w:val="single" w:sz="4" w:space="0" w:color="auto"/>
              <w:right w:val="single" w:sz="4" w:space="0" w:color="auto"/>
            </w:tcBorders>
            <w:hideMark/>
          </w:tcPr>
          <w:p w14:paraId="7DAAC7B2"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Pr>
                <w:rFonts w:asciiTheme="majorBidi" w:hAnsiTheme="majorBidi"/>
                <w:b/>
                <w:snapToGrid w:val="0"/>
                <w:sz w:val="20"/>
              </w:rPr>
              <w:t>Методологическая оценка воздействия хозяйственной деятельности на биоразнообразие и обеспечиваемый природой вклад на благо человека и ее зависимости от них («оценка хозяйственной деятельности и биоразнообразия»)</w:t>
            </w:r>
          </w:p>
          <w:p w14:paraId="7DAAC7B3"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Доклад об аналитических исследованиях утвержден на МПБЭУ-9 (2022 г.)</w:t>
            </w:r>
          </w:p>
          <w:p w14:paraId="7DAAC7B4"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Оценка будет рассматриваться на МПБЭУ-12 (2025 г.)</w:t>
            </w:r>
          </w:p>
          <w:p w14:paraId="7DAAC7B5" w14:textId="77777777" w:rsidR="00BC4786" w:rsidRPr="00BC4786"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EE6EFC">
              <w:rPr>
                <w:rStyle w:val="Hyperlink"/>
                <w:rFonts w:asciiTheme="majorBidi" w:hAnsiTheme="majorBidi"/>
                <w:snapToGrid w:val="0"/>
                <w:sz w:val="20"/>
              </w:rPr>
              <w:t>https://ipbes.net/business-impact</w:t>
            </w:r>
            <w:r>
              <w:rPr>
                <w:rFonts w:asciiTheme="majorBidi" w:hAnsiTheme="majorBidi"/>
                <w:snapToGrid w:val="0"/>
                <w:sz w:val="20"/>
              </w:rPr>
              <w:t xml:space="preserve"> </w:t>
            </w:r>
          </w:p>
        </w:tc>
        <w:tc>
          <w:tcPr>
            <w:tcW w:w="0" w:type="auto"/>
            <w:vMerge/>
            <w:tcBorders>
              <w:top w:val="single" w:sz="4" w:space="0" w:color="auto"/>
              <w:left w:val="single" w:sz="4" w:space="0" w:color="auto"/>
              <w:bottom w:val="single" w:sz="4" w:space="0" w:color="auto"/>
              <w:right w:val="single" w:sz="4" w:space="0" w:color="auto"/>
            </w:tcBorders>
            <w:hideMark/>
          </w:tcPr>
          <w:p w14:paraId="7DAAC7B6" w14:textId="77777777" w:rsidR="00BC4786" w:rsidRPr="00BC4786" w:rsidRDefault="00BC4786" w:rsidP="00BC4786">
            <w:pPr>
              <w:jc w:val="left"/>
              <w:rPr>
                <w:rFonts w:asciiTheme="majorBidi" w:eastAsiaTheme="minorEastAsia" w:hAnsiTheme="majorBidi" w:cstheme="majorBidi"/>
                <w:snapToGrid w:val="0"/>
                <w:kern w:val="22"/>
                <w:sz w:val="20"/>
                <w:szCs w:val="20"/>
              </w:rPr>
            </w:pPr>
          </w:p>
        </w:tc>
        <w:tc>
          <w:tcPr>
            <w:tcW w:w="5953" w:type="dxa"/>
            <w:tcBorders>
              <w:top w:val="single" w:sz="4" w:space="0" w:color="auto"/>
              <w:left w:val="single" w:sz="4" w:space="0" w:color="auto"/>
              <w:bottom w:val="single" w:sz="4" w:space="0" w:color="auto"/>
              <w:right w:val="single" w:sz="4" w:space="0" w:color="auto"/>
            </w:tcBorders>
            <w:hideMark/>
          </w:tcPr>
          <w:p w14:paraId="7DAAC7B7" w14:textId="77777777" w:rsidR="00BC4786" w:rsidRDefault="00BC4786" w:rsidP="00EE6EFC">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 xml:space="preserve">Непосредственно </w:t>
            </w:r>
            <w:r w:rsidR="00EE6EFC">
              <w:rPr>
                <w:rFonts w:asciiTheme="majorBidi" w:hAnsiTheme="majorBidi"/>
                <w:snapToGrid w:val="0"/>
                <w:sz w:val="20"/>
              </w:rPr>
              <w:t xml:space="preserve">способствует выполнению задачи </w:t>
            </w:r>
            <w:r>
              <w:rPr>
                <w:rFonts w:asciiTheme="majorBidi" w:hAnsiTheme="majorBidi"/>
                <w:snapToGrid w:val="0"/>
                <w:sz w:val="20"/>
              </w:rPr>
              <w:t xml:space="preserve">15 ГПБ, </w:t>
            </w:r>
          </w:p>
        </w:tc>
      </w:tr>
      <w:tr w:rsidR="002C4EF9" w14:paraId="7DAAC7BA" w14:textId="77777777" w:rsidTr="0064443E">
        <w:tc>
          <w:tcPr>
            <w:tcW w:w="14406"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AAC7B9" w14:textId="77777777" w:rsidR="002C4EF9" w:rsidRDefault="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i/>
                <w:iCs/>
                <w:snapToGrid w:val="0"/>
                <w:kern w:val="22"/>
                <w:sz w:val="20"/>
                <w:szCs w:val="20"/>
              </w:rPr>
            </w:pPr>
            <w:r>
              <w:rPr>
                <w:rFonts w:asciiTheme="majorBidi" w:hAnsiTheme="majorBidi"/>
                <w:i/>
                <w:snapToGrid w:val="0"/>
                <w:sz w:val="20"/>
              </w:rPr>
              <w:t>Другие результаты работы</w:t>
            </w:r>
          </w:p>
        </w:tc>
      </w:tr>
      <w:tr w:rsidR="00BC4786" w:rsidRPr="00BC4786" w14:paraId="7DAAC7C1" w14:textId="77777777" w:rsidTr="0064443E">
        <w:tc>
          <w:tcPr>
            <w:tcW w:w="5193" w:type="dxa"/>
            <w:tcBorders>
              <w:top w:val="single" w:sz="4" w:space="0" w:color="auto"/>
              <w:left w:val="single" w:sz="4" w:space="0" w:color="auto"/>
              <w:bottom w:val="single" w:sz="4" w:space="0" w:color="auto"/>
              <w:right w:val="single" w:sz="4" w:space="0" w:color="auto"/>
            </w:tcBorders>
            <w:hideMark/>
          </w:tcPr>
          <w:p w14:paraId="7DAAC7BB"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Pr>
                <w:rFonts w:asciiTheme="majorBidi" w:hAnsiTheme="majorBidi"/>
                <w:b/>
                <w:snapToGrid w:val="0"/>
                <w:sz w:val="20"/>
              </w:rPr>
              <w:t>Основы сценариев будущего развития природы, гибкий инструмент в поддержку разработки сценариев и моделей желаемого будущего для людей, природы и Матери-Земли;</w:t>
            </w:r>
          </w:p>
          <w:p w14:paraId="7DAAC7BC"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Их создание приветствовалось на МПБЭУ-9 (2022 г.)</w:t>
            </w:r>
          </w:p>
          <w:p w14:paraId="7DAAC7BD"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EE6EFC">
              <w:rPr>
                <w:rStyle w:val="Hyperlink"/>
                <w:rFonts w:asciiTheme="majorBidi" w:hAnsiTheme="majorBidi"/>
                <w:snapToGrid w:val="0"/>
                <w:sz w:val="20"/>
              </w:rPr>
              <w:t>https://ipbes.net/events/ipbes-nature-futures-framework-workshop</w:t>
            </w:r>
            <w:r>
              <w:rPr>
                <w:rFonts w:asciiTheme="majorBidi" w:hAnsiTheme="majorBidi"/>
                <w:snapToGrid w:val="0"/>
                <w:sz w:val="20"/>
              </w:rPr>
              <w:t xml:space="preserve"> </w:t>
            </w:r>
          </w:p>
        </w:tc>
        <w:tc>
          <w:tcPr>
            <w:tcW w:w="3260" w:type="dxa"/>
            <w:tcBorders>
              <w:top w:val="single" w:sz="4" w:space="0" w:color="auto"/>
              <w:left w:val="single" w:sz="4" w:space="0" w:color="auto"/>
              <w:bottom w:val="single" w:sz="4" w:space="0" w:color="auto"/>
              <w:right w:val="single" w:sz="4" w:space="0" w:color="auto"/>
            </w:tcBorders>
            <w:hideMark/>
          </w:tcPr>
          <w:p w14:paraId="7DAAC7BE"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Будет рассматриваться на:</w:t>
            </w:r>
          </w:p>
          <w:p w14:paraId="7DAAC7BF"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 xml:space="preserve">ВОНТТК-25 (октябрь 2023 г., </w:t>
            </w:r>
            <w:proofErr w:type="spellStart"/>
            <w:r>
              <w:rPr>
                <w:rFonts w:asciiTheme="majorBidi" w:hAnsiTheme="majorBidi"/>
                <w:snapToGrid w:val="0"/>
                <w:sz w:val="20"/>
              </w:rPr>
              <w:t>предв</w:t>
            </w:r>
            <w:proofErr w:type="spellEnd"/>
            <w:r>
              <w:rPr>
                <w:rFonts w:asciiTheme="majorBidi" w:hAnsiTheme="majorBidi"/>
                <w:snapToGrid w:val="0"/>
                <w:sz w:val="20"/>
              </w:rPr>
              <w:t xml:space="preserve">.) и КС-16 (октябрь 2024 г., </w:t>
            </w:r>
            <w:proofErr w:type="spellStart"/>
            <w:r>
              <w:rPr>
                <w:rFonts w:asciiTheme="majorBidi" w:hAnsiTheme="majorBidi"/>
                <w:snapToGrid w:val="0"/>
                <w:sz w:val="20"/>
              </w:rPr>
              <w:t>предв</w:t>
            </w:r>
            <w:proofErr w:type="spellEnd"/>
            <w:r>
              <w:rPr>
                <w:rFonts w:asciiTheme="majorBidi" w:hAnsiTheme="majorBidi"/>
                <w:snapToGrid w:val="0"/>
                <w:sz w:val="20"/>
              </w:rPr>
              <w:t>.)</w:t>
            </w:r>
          </w:p>
        </w:tc>
        <w:tc>
          <w:tcPr>
            <w:tcW w:w="5953" w:type="dxa"/>
            <w:tcBorders>
              <w:top w:val="single" w:sz="4" w:space="0" w:color="auto"/>
              <w:left w:val="single" w:sz="4" w:space="0" w:color="auto"/>
              <w:bottom w:val="single" w:sz="4" w:space="0" w:color="auto"/>
              <w:right w:val="single" w:sz="4" w:space="0" w:color="auto"/>
            </w:tcBorders>
            <w:hideMark/>
          </w:tcPr>
          <w:p w14:paraId="7DAAC7C0"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Сквозной вопрос. Имеет отношение к разработке сценариев для реализации Концепции на период до 2050 года</w:t>
            </w:r>
          </w:p>
        </w:tc>
      </w:tr>
      <w:tr w:rsidR="00BC4786" w:rsidRPr="00BC4786" w14:paraId="7DAAC7C7" w14:textId="77777777" w:rsidTr="0064443E">
        <w:tc>
          <w:tcPr>
            <w:tcW w:w="5193" w:type="dxa"/>
            <w:tcBorders>
              <w:top w:val="single" w:sz="4" w:space="0" w:color="auto"/>
              <w:left w:val="single" w:sz="4" w:space="0" w:color="auto"/>
              <w:bottom w:val="single" w:sz="4" w:space="0" w:color="auto"/>
              <w:right w:val="single" w:sz="4" w:space="0" w:color="auto"/>
            </w:tcBorders>
            <w:hideMark/>
          </w:tcPr>
          <w:p w14:paraId="7DAAC7C2"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b/>
                <w:snapToGrid w:val="0"/>
                <w:sz w:val="20"/>
              </w:rPr>
              <w:t xml:space="preserve">Биоразнообразие и пандемия </w:t>
            </w:r>
            <w:r>
              <w:rPr>
                <w:rFonts w:asciiTheme="majorBidi" w:hAnsiTheme="majorBidi"/>
                <w:snapToGrid w:val="0"/>
                <w:sz w:val="20"/>
              </w:rPr>
              <w:t>(доклад Группы экспертов МПБЭУ, июль 2020 г.)</w:t>
            </w:r>
          </w:p>
          <w:p w14:paraId="7DAAC7C3"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 xml:space="preserve">Будет рассматриваться как вклад в оценку взаимосвязей и преобразовательных изменений. </w:t>
            </w:r>
          </w:p>
          <w:p w14:paraId="7DAAC7C4"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EE6EFC">
              <w:rPr>
                <w:rStyle w:val="Hyperlink"/>
                <w:rFonts w:asciiTheme="majorBidi" w:hAnsiTheme="majorBidi"/>
                <w:snapToGrid w:val="0"/>
                <w:sz w:val="20"/>
              </w:rPr>
              <w:t>https://ipbes.net/events/ipbes-workshop-biodiversity-and-pandemics</w:t>
            </w:r>
            <w:r>
              <w:rPr>
                <w:rFonts w:asciiTheme="majorBidi" w:hAnsiTheme="majorBidi"/>
                <w:snapToGrid w:val="0"/>
                <w:sz w:val="20"/>
              </w:rPr>
              <w:t xml:space="preserve"> </w:t>
            </w:r>
          </w:p>
        </w:tc>
        <w:tc>
          <w:tcPr>
            <w:tcW w:w="3260" w:type="dxa"/>
            <w:tcBorders>
              <w:top w:val="single" w:sz="4" w:space="0" w:color="auto"/>
              <w:left w:val="single" w:sz="4" w:space="0" w:color="auto"/>
              <w:bottom w:val="single" w:sz="4" w:space="0" w:color="auto"/>
              <w:right w:val="single" w:sz="4" w:space="0" w:color="auto"/>
            </w:tcBorders>
            <w:hideMark/>
          </w:tcPr>
          <w:p w14:paraId="7DAAC7C5"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Упоминается в проекте решения для КС в рекомендации 24/3, но в квадратных скобках</w:t>
            </w:r>
          </w:p>
        </w:tc>
        <w:tc>
          <w:tcPr>
            <w:tcW w:w="5953" w:type="dxa"/>
            <w:tcBorders>
              <w:top w:val="single" w:sz="4" w:space="0" w:color="auto"/>
              <w:left w:val="single" w:sz="4" w:space="0" w:color="auto"/>
              <w:bottom w:val="single" w:sz="4" w:space="0" w:color="auto"/>
              <w:right w:val="single" w:sz="4" w:space="0" w:color="auto"/>
            </w:tcBorders>
            <w:hideMark/>
          </w:tcPr>
          <w:p w14:paraId="7DAAC7C6"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 xml:space="preserve">Сквозной вопрос, значим для задач 5, 14, и 17 и цели B ГПБ. </w:t>
            </w:r>
          </w:p>
        </w:tc>
      </w:tr>
      <w:tr w:rsidR="00BC4786" w:rsidRPr="00BC4786" w14:paraId="7DAAC7CD" w14:textId="77777777" w:rsidTr="0064443E">
        <w:tc>
          <w:tcPr>
            <w:tcW w:w="5193" w:type="dxa"/>
            <w:tcBorders>
              <w:top w:val="single" w:sz="4" w:space="0" w:color="auto"/>
              <w:left w:val="single" w:sz="4" w:space="0" w:color="auto"/>
              <w:bottom w:val="single" w:sz="4" w:space="0" w:color="auto"/>
              <w:right w:val="single" w:sz="4" w:space="0" w:color="auto"/>
            </w:tcBorders>
            <w:hideMark/>
          </w:tcPr>
          <w:p w14:paraId="7DAAC7C8"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rPr>
            </w:pPr>
            <w:r>
              <w:rPr>
                <w:rFonts w:asciiTheme="majorBidi" w:hAnsiTheme="majorBidi"/>
                <w:b/>
                <w:snapToGrid w:val="0"/>
                <w:sz w:val="20"/>
              </w:rPr>
              <w:t xml:space="preserve">Биоразнообразие и изменение климата </w:t>
            </w:r>
            <w:r>
              <w:rPr>
                <w:rFonts w:asciiTheme="majorBidi" w:hAnsiTheme="majorBidi"/>
                <w:snapToGrid w:val="0"/>
                <w:sz w:val="20"/>
              </w:rPr>
              <w:t>(доклад совместного семинара МПБЭУ-МГЭИК, июнь 2021 г.)</w:t>
            </w:r>
          </w:p>
          <w:p w14:paraId="7DAAC7C9"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Будет рассматриваться как вклад в оценку взаимосвязей и преобразовательных изменений.</w:t>
            </w:r>
          </w:p>
          <w:p w14:paraId="7DAAC7CA"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sidRPr="00EE6EFC">
              <w:rPr>
                <w:rStyle w:val="Hyperlink"/>
                <w:rFonts w:asciiTheme="majorBidi" w:hAnsiTheme="majorBidi"/>
                <w:snapToGrid w:val="0"/>
                <w:sz w:val="20"/>
              </w:rPr>
              <w:lastRenderedPageBreak/>
              <w:t>https://ipbes.net/events/ipbes-ipcc-co-sponsored-workshop-biodiversity-and-climate-change</w:t>
            </w:r>
            <w:r>
              <w:rPr>
                <w:rFonts w:asciiTheme="majorBidi" w:hAnsiTheme="majorBidi"/>
                <w:snapToGrid w:val="0"/>
                <w:sz w:val="20"/>
              </w:rPr>
              <w:t xml:space="preserve"> </w:t>
            </w:r>
          </w:p>
        </w:tc>
        <w:tc>
          <w:tcPr>
            <w:tcW w:w="3260" w:type="dxa"/>
            <w:tcBorders>
              <w:top w:val="single" w:sz="4" w:space="0" w:color="auto"/>
              <w:left w:val="single" w:sz="4" w:space="0" w:color="auto"/>
              <w:bottom w:val="single" w:sz="4" w:space="0" w:color="auto"/>
              <w:right w:val="single" w:sz="4" w:space="0" w:color="auto"/>
            </w:tcBorders>
            <w:hideMark/>
          </w:tcPr>
          <w:p w14:paraId="7DAAC7CB" w14:textId="77777777" w:rsidR="00BC4786" w:rsidRPr="001D7DAF" w:rsidRDefault="00BC4786" w:rsidP="00BC4786">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lastRenderedPageBreak/>
              <w:t xml:space="preserve">В рекомендации ВОНТТК 23/2 </w:t>
            </w:r>
            <w:r>
              <w:rPr>
                <w:rFonts w:asciiTheme="majorBidi" w:hAnsiTheme="majorBidi"/>
                <w:sz w:val="20"/>
              </w:rPr>
              <w:t>отмечаются текущие совместные мероприятия МПБЭУ и МГЭИК</w:t>
            </w:r>
          </w:p>
        </w:tc>
        <w:tc>
          <w:tcPr>
            <w:tcW w:w="5953" w:type="dxa"/>
            <w:tcBorders>
              <w:top w:val="single" w:sz="4" w:space="0" w:color="auto"/>
              <w:left w:val="single" w:sz="4" w:space="0" w:color="auto"/>
              <w:bottom w:val="single" w:sz="4" w:space="0" w:color="auto"/>
              <w:right w:val="single" w:sz="4" w:space="0" w:color="auto"/>
            </w:tcBorders>
            <w:hideMark/>
          </w:tcPr>
          <w:p w14:paraId="7DAAC7CC" w14:textId="77777777" w:rsidR="00BC4786" w:rsidRPr="001D7DAF" w:rsidRDefault="00BC4786" w:rsidP="00EE6EFC">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rPr>
            </w:pPr>
            <w:r>
              <w:rPr>
                <w:rFonts w:asciiTheme="majorBidi" w:hAnsiTheme="majorBidi"/>
                <w:snapToGrid w:val="0"/>
                <w:sz w:val="20"/>
              </w:rPr>
              <w:t xml:space="preserve">Рассматривает прямой фактор утраты биоразнообразия, непосредственно </w:t>
            </w:r>
            <w:r w:rsidR="00EE6EFC">
              <w:rPr>
                <w:rFonts w:asciiTheme="majorBidi" w:hAnsiTheme="majorBidi"/>
                <w:snapToGrid w:val="0"/>
                <w:sz w:val="20"/>
              </w:rPr>
              <w:t xml:space="preserve">способствует выполнению задачи </w:t>
            </w:r>
            <w:r>
              <w:rPr>
                <w:rFonts w:asciiTheme="majorBidi" w:hAnsiTheme="majorBidi"/>
                <w:snapToGrid w:val="0"/>
                <w:sz w:val="20"/>
              </w:rPr>
              <w:t>8 ГПБ</w:t>
            </w:r>
          </w:p>
        </w:tc>
      </w:tr>
    </w:tbl>
    <w:p w14:paraId="7DAAC7CE" w14:textId="77777777" w:rsidR="002C4EF9" w:rsidRPr="00C16A5D" w:rsidRDefault="002C4EF9" w:rsidP="002C4EF9">
      <w:pPr>
        <w:keepNext/>
        <w:spacing w:before="140" w:after="140"/>
        <w:rPr>
          <w:i/>
          <w:iCs/>
          <w:szCs w:val="22"/>
        </w:rPr>
      </w:pPr>
    </w:p>
    <w:p w14:paraId="7DAAC7CF" w14:textId="77777777" w:rsidR="002C4EF9" w:rsidRPr="00C16A5D" w:rsidRDefault="002C4EF9" w:rsidP="002C4EF9">
      <w:pPr>
        <w:jc w:val="left"/>
        <w:rPr>
          <w:i/>
          <w:iCs/>
          <w:szCs w:val="22"/>
        </w:rPr>
        <w:sectPr w:rsidR="002C4EF9" w:rsidRPr="00C16A5D">
          <w:pgSz w:w="15840" w:h="12240" w:orient="landscape"/>
          <w:pgMar w:top="1134" w:right="1134" w:bottom="1134" w:left="425" w:header="454" w:footer="720" w:gutter="0"/>
          <w:cols w:space="720"/>
        </w:sectPr>
      </w:pPr>
    </w:p>
    <w:p w14:paraId="7DAAC7D0" w14:textId="77777777" w:rsidR="002C4EF9" w:rsidRPr="00F74263" w:rsidRDefault="00F74263" w:rsidP="002C4EF9">
      <w:pPr>
        <w:shd w:val="clear" w:color="auto" w:fill="FFFFFF" w:themeFill="background1"/>
        <w:tabs>
          <w:tab w:val="left" w:pos="360"/>
        </w:tabs>
        <w:spacing w:after="120"/>
        <w:jc w:val="center"/>
        <w:rPr>
          <w:i/>
          <w:iCs/>
          <w:szCs w:val="22"/>
        </w:rPr>
      </w:pPr>
      <w:r>
        <w:rPr>
          <w:i/>
          <w:iCs/>
          <w:szCs w:val="22"/>
        </w:rPr>
        <w:lastRenderedPageBreak/>
        <w:t>Приложение</w:t>
      </w:r>
    </w:p>
    <w:p w14:paraId="7DAAC7D1" w14:textId="77777777" w:rsidR="002C4EF9" w:rsidRPr="00F74263" w:rsidRDefault="00F74263" w:rsidP="00F74263">
      <w:pPr>
        <w:tabs>
          <w:tab w:val="left" w:pos="360"/>
        </w:tabs>
        <w:spacing w:after="120"/>
        <w:jc w:val="center"/>
        <w:rPr>
          <w:b/>
          <w:bCs/>
          <w:sz w:val="20"/>
          <w:szCs w:val="20"/>
        </w:rPr>
      </w:pPr>
      <w:r w:rsidRPr="003D4111">
        <w:rPr>
          <w:b/>
          <w:bCs/>
          <w:sz w:val="20"/>
          <w:szCs w:val="20"/>
        </w:rPr>
        <w:t>ЗАЯВКИ КОНВЕНЦИИ О БИОЛОГИЧЕСКОМ РАЗНООБРАЗИИ ДЛЯ РАССМОТРЕНИЯ НА ПЛЕНАРНОМ ЗАСЕДАНИИ МЕЖПРАВИТЕЛЬСТВЕННОЙ НАУЧНО-ПОЛИТИЧЕСКОЙ ПЛАТФОРМЫ ПО БИОРАЗНООБРАЗИЮ И ЭКОСИСТЕМНЫМ УСЛУГАМ НА ЕЕ 10-Й СЕССИИ</w:t>
      </w:r>
    </w:p>
    <w:p w14:paraId="7DAAC7D2" w14:textId="77777777" w:rsidR="00F74263" w:rsidRPr="003D4111" w:rsidRDefault="00F74263" w:rsidP="00F74263">
      <w:pPr>
        <w:tabs>
          <w:tab w:val="left" w:pos="360"/>
          <w:tab w:val="left" w:pos="851"/>
        </w:tabs>
        <w:spacing w:after="120"/>
        <w:rPr>
          <w:sz w:val="20"/>
          <w:szCs w:val="20"/>
        </w:rPr>
      </w:pPr>
      <w:r w:rsidRPr="003D4111">
        <w:rPr>
          <w:sz w:val="20"/>
          <w:szCs w:val="20"/>
        </w:rPr>
        <w:t>Дополнительная информация, сопровождающая эти за</w:t>
      </w:r>
      <w:r>
        <w:rPr>
          <w:sz w:val="20"/>
          <w:szCs w:val="20"/>
        </w:rPr>
        <w:t>явки</w:t>
      </w:r>
      <w:r w:rsidRPr="003D4111">
        <w:rPr>
          <w:sz w:val="20"/>
          <w:szCs w:val="20"/>
        </w:rPr>
        <w:t>, в соответствии с положениями Межправительственной научно-политической платформы по биоразнообразию и экосистемным услугам, представлена в документе CBD/COP/15/INF/7.</w:t>
      </w:r>
    </w:p>
    <w:p w14:paraId="7DAAC7D3" w14:textId="77777777" w:rsidR="00F74263" w:rsidRPr="003D4111" w:rsidRDefault="002C4EF9" w:rsidP="00F74263">
      <w:pPr>
        <w:tabs>
          <w:tab w:val="left" w:pos="360"/>
        </w:tabs>
        <w:spacing w:before="240" w:after="120"/>
        <w:jc w:val="left"/>
        <w:rPr>
          <w:b/>
          <w:bCs/>
          <w:sz w:val="20"/>
          <w:szCs w:val="20"/>
        </w:rPr>
      </w:pPr>
      <w:r w:rsidRPr="00F74263">
        <w:rPr>
          <w:b/>
          <w:bCs/>
          <w:szCs w:val="22"/>
        </w:rPr>
        <w:tab/>
      </w:r>
      <w:r w:rsidR="00F74263" w:rsidRPr="003D4111">
        <w:rPr>
          <w:b/>
          <w:bCs/>
          <w:sz w:val="20"/>
          <w:szCs w:val="20"/>
        </w:rPr>
        <w:tab/>
        <w:t>A.</w:t>
      </w:r>
      <w:r w:rsidR="00F74263" w:rsidRPr="003D4111">
        <w:rPr>
          <w:b/>
          <w:bCs/>
          <w:sz w:val="20"/>
          <w:szCs w:val="20"/>
        </w:rPr>
        <w:tab/>
        <w:t>Заявка Конвенции о биологическом разнообразии относительно проведения второй глобальной оценки биоразнообразия и экосистемных услуг</w:t>
      </w:r>
    </w:p>
    <w:p w14:paraId="7DAAC7D4" w14:textId="77777777" w:rsidR="00F74263" w:rsidRPr="003D4111" w:rsidRDefault="00F74263" w:rsidP="00F74263">
      <w:pPr>
        <w:tabs>
          <w:tab w:val="left" w:pos="709"/>
        </w:tabs>
        <w:spacing w:before="240" w:after="120"/>
        <w:rPr>
          <w:sz w:val="20"/>
          <w:szCs w:val="20"/>
        </w:rPr>
      </w:pPr>
      <w:r w:rsidRPr="003D4111">
        <w:rPr>
          <w:sz w:val="20"/>
          <w:szCs w:val="20"/>
        </w:rPr>
        <w:t>1.</w:t>
      </w:r>
      <w:r w:rsidRPr="003D4111">
        <w:rPr>
          <w:sz w:val="20"/>
          <w:szCs w:val="20"/>
        </w:rPr>
        <w:tab/>
        <w:t>Вторая глобальная оценка биоразнообразия и экосистемных услуг должна быть подготовлена Межправительственной научно-политической платформой по биоразнообразию и экосистемным услугам (МПБЭУ) в целях:</w:t>
      </w:r>
    </w:p>
    <w:p w14:paraId="7DAAC7D5" w14:textId="77777777" w:rsidR="00F74263" w:rsidRPr="003D4111" w:rsidRDefault="00F74263" w:rsidP="00F74263">
      <w:pPr>
        <w:pStyle w:val="ListParagraph"/>
        <w:numPr>
          <w:ilvl w:val="1"/>
          <w:numId w:val="22"/>
        </w:numPr>
        <w:tabs>
          <w:tab w:val="clear" w:pos="1481"/>
          <w:tab w:val="left" w:pos="360"/>
          <w:tab w:val="left" w:pos="851"/>
        </w:tabs>
        <w:spacing w:before="60" w:after="60"/>
        <w:ind w:left="0" w:firstLine="709"/>
        <w:contextualSpacing w:val="0"/>
        <w:rPr>
          <w:sz w:val="20"/>
          <w:szCs w:val="20"/>
        </w:rPr>
      </w:pPr>
      <w:r w:rsidRPr="003D4111">
        <w:rPr>
          <w:sz w:val="20"/>
          <w:szCs w:val="20"/>
        </w:rPr>
        <w:t>оказания поддержки правительствам и всем заинтересованным сторонам в осуществлении Конвенции о биологическом разнообразии и глобальной рамочной программы в области биоразнообразия на период после 2020 года, протоколов к ней, связанных с ней соглашений, а также Повестки дня в области устойчивого развития на период до 2030 года;</w:t>
      </w:r>
    </w:p>
    <w:p w14:paraId="7DAAC7D6" w14:textId="77777777" w:rsidR="00F74263" w:rsidRPr="003D4111" w:rsidRDefault="00F74263" w:rsidP="00F74263">
      <w:pPr>
        <w:pStyle w:val="ListParagraph"/>
        <w:numPr>
          <w:ilvl w:val="1"/>
          <w:numId w:val="22"/>
        </w:numPr>
        <w:tabs>
          <w:tab w:val="clear" w:pos="1481"/>
          <w:tab w:val="left" w:pos="360"/>
          <w:tab w:val="left" w:pos="851"/>
        </w:tabs>
        <w:spacing w:before="60" w:after="60"/>
        <w:ind w:left="0" w:firstLine="709"/>
        <w:contextualSpacing w:val="0"/>
        <w:rPr>
          <w:sz w:val="20"/>
          <w:szCs w:val="20"/>
        </w:rPr>
      </w:pPr>
      <w:r w:rsidRPr="003D4111">
        <w:rPr>
          <w:sz w:val="20"/>
          <w:szCs w:val="20"/>
        </w:rPr>
        <w:t>оказания поддержки Конвенции в оценке прогресса в реализации задач на период до 2030 года и в достижении целей на период до 2050 года в рамках глобальной рамочной программы в области биоразнообразия на период после 2020 года, а также соответствующих целей и задач в области устойчивого развития;</w:t>
      </w:r>
    </w:p>
    <w:p w14:paraId="7DAAC7D7" w14:textId="77777777" w:rsidR="00F74263" w:rsidRPr="003D4111" w:rsidRDefault="00F74263" w:rsidP="00F74263">
      <w:pPr>
        <w:pStyle w:val="ListParagraph"/>
        <w:numPr>
          <w:ilvl w:val="1"/>
          <w:numId w:val="22"/>
        </w:numPr>
        <w:tabs>
          <w:tab w:val="clear" w:pos="1481"/>
          <w:tab w:val="left" w:pos="360"/>
          <w:tab w:val="left" w:pos="851"/>
        </w:tabs>
        <w:spacing w:before="60" w:after="60"/>
        <w:ind w:left="0" w:firstLine="709"/>
        <w:contextualSpacing w:val="0"/>
        <w:rPr>
          <w:sz w:val="20"/>
          <w:szCs w:val="20"/>
        </w:rPr>
      </w:pPr>
      <w:r w:rsidRPr="003D4111">
        <w:rPr>
          <w:sz w:val="20"/>
          <w:szCs w:val="20"/>
        </w:rPr>
        <w:t>обеспечения научно-технической основы для последующей деятельности в рамках глобальной рамочной программы по биоразнообразию на период после 2020 года, после 2030 года.</w:t>
      </w:r>
    </w:p>
    <w:p w14:paraId="7DAAC7D8" w14:textId="77777777" w:rsidR="00F74263" w:rsidRPr="003D4111" w:rsidRDefault="00F74263" w:rsidP="00F74263">
      <w:pPr>
        <w:tabs>
          <w:tab w:val="left" w:pos="709"/>
        </w:tabs>
        <w:spacing w:before="120" w:after="120"/>
        <w:rPr>
          <w:sz w:val="20"/>
          <w:szCs w:val="20"/>
        </w:rPr>
      </w:pPr>
      <w:r w:rsidRPr="003D4111">
        <w:rPr>
          <w:sz w:val="20"/>
          <w:szCs w:val="20"/>
        </w:rPr>
        <w:t>2.</w:t>
      </w:r>
      <w:r w:rsidRPr="003D4111">
        <w:rPr>
          <w:sz w:val="20"/>
          <w:szCs w:val="20"/>
        </w:rPr>
        <w:tab/>
        <w:t>Вторая глобальная оценка должна носить всеобъемлющий характер и в целом соответствовать по масштабам первой оценке, при этом</w:t>
      </w:r>
      <w:r>
        <w:rPr>
          <w:sz w:val="20"/>
          <w:szCs w:val="20"/>
        </w:rPr>
        <w:t xml:space="preserve"> основываться на ней</w:t>
      </w:r>
      <w:r w:rsidRPr="003D4111">
        <w:rPr>
          <w:sz w:val="20"/>
          <w:szCs w:val="20"/>
        </w:rPr>
        <w:t xml:space="preserve"> с тем, чтобы избежать повторений или нецелесообразного дублирования. Она должна сбалансированным образом охватывать три цели Конвенции (сохранение, устойчивое использование и справедливое и равноправное распределение выгод от использования генетических ресурсов). </w:t>
      </w:r>
      <w:r>
        <w:rPr>
          <w:sz w:val="20"/>
          <w:szCs w:val="20"/>
        </w:rPr>
        <w:t>В о</w:t>
      </w:r>
      <w:r w:rsidRPr="003D4111">
        <w:rPr>
          <w:sz w:val="20"/>
          <w:szCs w:val="20"/>
        </w:rPr>
        <w:t>ценк</w:t>
      </w:r>
      <w:r>
        <w:rPr>
          <w:sz w:val="20"/>
          <w:szCs w:val="20"/>
        </w:rPr>
        <w:t>е</w:t>
      </w:r>
      <w:r w:rsidRPr="003D4111">
        <w:rPr>
          <w:sz w:val="20"/>
          <w:szCs w:val="20"/>
        </w:rPr>
        <w:t xml:space="preserve"> должн</w:t>
      </w:r>
      <w:r>
        <w:rPr>
          <w:sz w:val="20"/>
          <w:szCs w:val="20"/>
        </w:rPr>
        <w:t>о рассматриваться б</w:t>
      </w:r>
      <w:r w:rsidRPr="003D4111">
        <w:rPr>
          <w:sz w:val="20"/>
          <w:szCs w:val="20"/>
        </w:rPr>
        <w:t>иоразнообразие наземных, внутриводных, морских и прибрежных районов.</w:t>
      </w:r>
    </w:p>
    <w:p w14:paraId="7DAAC7D9" w14:textId="77777777" w:rsidR="00F74263" w:rsidRPr="003D4111" w:rsidRDefault="00F74263" w:rsidP="00F74263">
      <w:pPr>
        <w:tabs>
          <w:tab w:val="left" w:pos="709"/>
        </w:tabs>
        <w:spacing w:after="120"/>
        <w:rPr>
          <w:sz w:val="20"/>
          <w:szCs w:val="20"/>
        </w:rPr>
      </w:pPr>
      <w:r w:rsidRPr="003D4111">
        <w:rPr>
          <w:sz w:val="20"/>
          <w:szCs w:val="20"/>
        </w:rPr>
        <w:t>3.</w:t>
      </w:r>
      <w:r w:rsidRPr="003D4111">
        <w:rPr>
          <w:sz w:val="20"/>
          <w:szCs w:val="20"/>
        </w:rPr>
        <w:tab/>
        <w:t>Вторая глобальная оценка должна охватывать состояние и тенденции биоразнообразия и экосистемных услуг/вклада природы в жизнь человека в прошлом, настоящем и будущем с использованием количественных и качественных моделей и сценариев, по возможности, последовательным и комплексным образом. По мере возможности, информация о прошлом состоянии и тенденциях должна включать доиндустриальные периоды времени, а будущее состояние и тенденции должны прогнозироваться на период до 2050 и 2100 годов, основываясь на оценке МПБЭУ по сценариям и моделям и последних событиях в этих областях. В оценке должны использоваться соответствующие индикаторы, в том числе принятые в рамках Конвенции о биологическом разнообразии и Повестки дня на период до 2030 года.</w:t>
      </w:r>
    </w:p>
    <w:p w14:paraId="7DAAC7DA" w14:textId="77777777" w:rsidR="00F74263" w:rsidRPr="003D4111" w:rsidRDefault="00F74263" w:rsidP="00F74263">
      <w:pPr>
        <w:tabs>
          <w:tab w:val="left" w:pos="709"/>
        </w:tabs>
        <w:spacing w:after="120"/>
        <w:rPr>
          <w:sz w:val="20"/>
          <w:szCs w:val="20"/>
        </w:rPr>
      </w:pPr>
      <w:r w:rsidRPr="003D4111">
        <w:rPr>
          <w:sz w:val="20"/>
          <w:szCs w:val="20"/>
        </w:rPr>
        <w:t xml:space="preserve">4. </w:t>
      </w:r>
      <w:r w:rsidRPr="003D4111">
        <w:rPr>
          <w:sz w:val="20"/>
          <w:szCs w:val="20"/>
        </w:rPr>
        <w:tab/>
        <w:t>Во второй глобальной оценке следует рассмотреть прямые и косвенные факторы изменения биоразнообразия, опираясь на все соответствующие оценки МПБЭУ, включая оценки взаимосвязи и трансформационных изменений, а также соответствующие оценки Межправительственной группы экспертов по изменению климата.</w:t>
      </w:r>
    </w:p>
    <w:p w14:paraId="7DAAC7DB" w14:textId="77777777" w:rsidR="00F74263" w:rsidRPr="003D4111" w:rsidRDefault="00F74263" w:rsidP="00F74263">
      <w:pPr>
        <w:tabs>
          <w:tab w:val="left" w:pos="709"/>
        </w:tabs>
        <w:spacing w:after="120"/>
        <w:rPr>
          <w:sz w:val="20"/>
          <w:szCs w:val="20"/>
        </w:rPr>
      </w:pPr>
      <w:r w:rsidRPr="003D4111">
        <w:rPr>
          <w:sz w:val="20"/>
          <w:szCs w:val="20"/>
        </w:rPr>
        <w:t xml:space="preserve">5. </w:t>
      </w:r>
      <w:r w:rsidRPr="003D4111">
        <w:rPr>
          <w:sz w:val="20"/>
          <w:szCs w:val="20"/>
        </w:rPr>
        <w:tab/>
      </w:r>
      <w:r w:rsidRPr="003D4111">
        <w:rPr>
          <w:sz w:val="20"/>
          <w:szCs w:val="20"/>
        </w:rPr>
        <w:tab/>
        <w:t>Вторая глобальная оценка должна включать региональные и, где это целесообразно и возможно, комплексные субрегиональные оценки, а также при необходимости и соответствующих возможностях примеры в более мелких масштабах на основе региональных докладов МПБЭУ об оценке за 2018 год, где это уместно, и национальных докладов об оценке при их наличии.</w:t>
      </w:r>
    </w:p>
    <w:p w14:paraId="7DAAC7DC" w14:textId="77777777" w:rsidR="00F74263" w:rsidRPr="003D4111" w:rsidRDefault="00F74263" w:rsidP="00F74263">
      <w:pPr>
        <w:tabs>
          <w:tab w:val="left" w:pos="709"/>
        </w:tabs>
        <w:spacing w:after="120"/>
        <w:rPr>
          <w:sz w:val="20"/>
          <w:szCs w:val="20"/>
        </w:rPr>
      </w:pPr>
      <w:r w:rsidRPr="003D4111">
        <w:rPr>
          <w:sz w:val="20"/>
          <w:szCs w:val="20"/>
        </w:rPr>
        <w:t>6.</w:t>
      </w:r>
      <w:r w:rsidRPr="003D4111">
        <w:rPr>
          <w:sz w:val="20"/>
          <w:szCs w:val="20"/>
        </w:rPr>
        <w:tab/>
        <w:t>Вторая глобальная оценка должна включать самые передовые имеющиеся знания, в</w:t>
      </w:r>
      <w:r>
        <w:rPr>
          <w:sz w:val="20"/>
          <w:szCs w:val="20"/>
        </w:rPr>
        <w:t xml:space="preserve"> том числе</w:t>
      </w:r>
      <w:r w:rsidRPr="003D4111">
        <w:rPr>
          <w:sz w:val="20"/>
          <w:szCs w:val="20"/>
        </w:rPr>
        <w:t xml:space="preserve"> знания коренных народов и местных общин, и учитывать различные ценности и мировоззрения, принимая во внимание, в частности, оценку ценностей МПБЭУ.</w:t>
      </w:r>
    </w:p>
    <w:p w14:paraId="7DAAC7DD" w14:textId="77777777" w:rsidR="00F74263" w:rsidRPr="003D4111" w:rsidRDefault="00F74263" w:rsidP="00F74263">
      <w:pPr>
        <w:tabs>
          <w:tab w:val="left" w:pos="709"/>
        </w:tabs>
        <w:spacing w:after="120"/>
        <w:rPr>
          <w:sz w:val="20"/>
          <w:szCs w:val="20"/>
        </w:rPr>
      </w:pPr>
      <w:r w:rsidRPr="003D4111">
        <w:rPr>
          <w:sz w:val="20"/>
          <w:szCs w:val="20"/>
        </w:rPr>
        <w:t>7.</w:t>
      </w:r>
      <w:r w:rsidRPr="003D4111">
        <w:rPr>
          <w:sz w:val="20"/>
          <w:szCs w:val="20"/>
        </w:rPr>
        <w:tab/>
        <w:t>Вторая глобальная оценка должна устранить пробелы в знаниях, выявленные в ходе первой оценки.</w:t>
      </w:r>
    </w:p>
    <w:p w14:paraId="7DAAC7DE" w14:textId="77777777" w:rsidR="00F74263" w:rsidRPr="003D4111" w:rsidRDefault="00F74263" w:rsidP="00F74263">
      <w:pPr>
        <w:tabs>
          <w:tab w:val="left" w:pos="709"/>
        </w:tabs>
        <w:spacing w:after="120"/>
        <w:rPr>
          <w:sz w:val="20"/>
          <w:szCs w:val="20"/>
        </w:rPr>
      </w:pPr>
      <w:r w:rsidRPr="003D4111">
        <w:rPr>
          <w:sz w:val="20"/>
          <w:szCs w:val="20"/>
        </w:rPr>
        <w:t xml:space="preserve">8. </w:t>
      </w:r>
      <w:r w:rsidRPr="003D4111">
        <w:rPr>
          <w:sz w:val="20"/>
          <w:szCs w:val="20"/>
        </w:rPr>
        <w:tab/>
        <w:t>Вторая глобальная оценка должна быть завершена для утверждения на пленарном заседании МПБЭУ в четвертом квартале 2028 года (или не позднее первого квартала 2029 года).</w:t>
      </w:r>
    </w:p>
    <w:p w14:paraId="7DAAC7DF" w14:textId="77777777" w:rsidR="00F74263" w:rsidRPr="003D4111" w:rsidRDefault="00F74263" w:rsidP="00F74263">
      <w:pPr>
        <w:tabs>
          <w:tab w:val="left" w:pos="426"/>
        </w:tabs>
        <w:spacing w:after="120"/>
        <w:ind w:left="851" w:hanging="851"/>
        <w:jc w:val="left"/>
        <w:rPr>
          <w:b/>
          <w:bCs/>
          <w:sz w:val="20"/>
          <w:szCs w:val="20"/>
        </w:rPr>
      </w:pPr>
      <w:r w:rsidRPr="003D4111">
        <w:rPr>
          <w:b/>
          <w:bCs/>
          <w:sz w:val="20"/>
          <w:szCs w:val="20"/>
        </w:rPr>
        <w:lastRenderedPageBreak/>
        <w:tab/>
        <w:t xml:space="preserve">B. </w:t>
      </w:r>
      <w:r w:rsidRPr="003D4111">
        <w:rPr>
          <w:b/>
          <w:bCs/>
          <w:sz w:val="20"/>
          <w:szCs w:val="20"/>
        </w:rPr>
        <w:tab/>
        <w:t xml:space="preserve">Заявки Конвенции о биологическом разнообразии в отношении проведения потенциальных дополнительных методологических и тематических оценок для включения в скользящую программу работы Платформы </w:t>
      </w:r>
    </w:p>
    <w:p w14:paraId="7DAAC7E0" w14:textId="77777777" w:rsidR="00F74263" w:rsidRPr="003D4111" w:rsidRDefault="00F74263" w:rsidP="00F74263">
      <w:pPr>
        <w:tabs>
          <w:tab w:val="left" w:pos="360"/>
          <w:tab w:val="left" w:pos="851"/>
        </w:tabs>
        <w:spacing w:after="120"/>
        <w:rPr>
          <w:sz w:val="20"/>
          <w:szCs w:val="20"/>
        </w:rPr>
      </w:pPr>
      <w:r w:rsidRPr="003D4111">
        <w:rPr>
          <w:sz w:val="20"/>
          <w:szCs w:val="20"/>
        </w:rPr>
        <w:t>Платформа должна рассмотреть следующие оперативные методологические или тематические оценки:</w:t>
      </w:r>
    </w:p>
    <w:p w14:paraId="7DAAC7E1" w14:textId="77777777" w:rsidR="00F74263" w:rsidRPr="003D4111" w:rsidRDefault="00F74263" w:rsidP="00F74263">
      <w:pPr>
        <w:tabs>
          <w:tab w:val="left" w:pos="851"/>
        </w:tabs>
        <w:spacing w:before="120" w:after="120"/>
        <w:rPr>
          <w:b/>
          <w:bCs/>
          <w:sz w:val="20"/>
          <w:szCs w:val="20"/>
        </w:rPr>
      </w:pPr>
      <w:r w:rsidRPr="003D4111">
        <w:rPr>
          <w:sz w:val="20"/>
          <w:szCs w:val="20"/>
        </w:rPr>
        <w:t>1.</w:t>
      </w:r>
      <w:r w:rsidRPr="003D4111">
        <w:rPr>
          <w:sz w:val="20"/>
          <w:szCs w:val="20"/>
        </w:rPr>
        <w:tab/>
      </w:r>
      <w:r w:rsidRPr="003D4111">
        <w:rPr>
          <w:b/>
          <w:bCs/>
          <w:sz w:val="20"/>
          <w:szCs w:val="20"/>
        </w:rPr>
        <w:t xml:space="preserve">Оперативная методологическая оценка комплексного территориального планирования с учетом биоразнообразия для решения вопросов использования наземных и морских ресурсов и изменений в их использовании </w:t>
      </w:r>
    </w:p>
    <w:p w14:paraId="7DAAC7E2" w14:textId="77777777" w:rsidR="00F74263" w:rsidRPr="003D4111" w:rsidRDefault="00F74263" w:rsidP="00F74263">
      <w:pPr>
        <w:tabs>
          <w:tab w:val="left" w:pos="360"/>
          <w:tab w:val="left" w:pos="851"/>
        </w:tabs>
        <w:spacing w:after="120"/>
        <w:ind w:firstLine="709"/>
        <w:rPr>
          <w:sz w:val="20"/>
          <w:szCs w:val="20"/>
        </w:rPr>
      </w:pPr>
      <w:r w:rsidRPr="003D4111">
        <w:rPr>
          <w:sz w:val="20"/>
          <w:szCs w:val="20"/>
        </w:rPr>
        <w:t xml:space="preserve">(a) </w:t>
      </w:r>
      <w:r w:rsidRPr="003D4111">
        <w:rPr>
          <w:sz w:val="20"/>
          <w:szCs w:val="20"/>
        </w:rPr>
        <w:tab/>
      </w:r>
      <w:r>
        <w:rPr>
          <w:sz w:val="20"/>
          <w:szCs w:val="20"/>
        </w:rPr>
        <w:t>д</w:t>
      </w:r>
      <w:r w:rsidRPr="003D4111">
        <w:rPr>
          <w:sz w:val="20"/>
          <w:szCs w:val="20"/>
        </w:rPr>
        <w:t xml:space="preserve">анная методологическая оценка будет иметь непосредственное отношение к предлагаемым задачам 1, 2 и 3 глобальной рамочной программы в области биоразнообразия на период после 2020 года и поможет обосновать действия по решению проблемы изменения использования наземных и морских ресурсов – одного из основных прямых факторов утраты биоразнообразия, а также определить методы интеграции соображений биоразнообразия в пространственное планирование в различных секторах и масштабах, в том числе с помощью таких подходов, как территориальное планирование и зонирование, и других подходов, направленных на предотвращение или сведения к минимуму утраты биоразнообразия (включая фрагментацию экосистем) и содействие связности экосистем. Она должна включать в себя </w:t>
      </w:r>
      <w:proofErr w:type="spellStart"/>
      <w:r w:rsidRPr="003D4111">
        <w:rPr>
          <w:sz w:val="20"/>
          <w:szCs w:val="20"/>
        </w:rPr>
        <w:t>партисипативные</w:t>
      </w:r>
      <w:proofErr w:type="spellEnd"/>
      <w:r w:rsidRPr="003D4111">
        <w:rPr>
          <w:sz w:val="20"/>
          <w:szCs w:val="20"/>
        </w:rPr>
        <w:t xml:space="preserve"> подходы со всесторонним и эффективным участием коренных народов и местных общин;</w:t>
      </w:r>
    </w:p>
    <w:p w14:paraId="7DAAC7E3" w14:textId="77777777" w:rsidR="00F74263" w:rsidRPr="003D4111" w:rsidRDefault="00F74263" w:rsidP="00F74263">
      <w:pPr>
        <w:tabs>
          <w:tab w:val="left" w:pos="360"/>
          <w:tab w:val="left" w:pos="851"/>
        </w:tabs>
        <w:spacing w:after="120"/>
        <w:ind w:firstLine="709"/>
        <w:rPr>
          <w:sz w:val="20"/>
          <w:szCs w:val="20"/>
        </w:rPr>
      </w:pPr>
      <w:r w:rsidRPr="003D4111">
        <w:rPr>
          <w:sz w:val="20"/>
          <w:szCs w:val="20"/>
        </w:rPr>
        <w:t xml:space="preserve">(b) </w:t>
      </w:r>
      <w:r w:rsidRPr="003D4111">
        <w:rPr>
          <w:sz w:val="20"/>
          <w:szCs w:val="20"/>
        </w:rPr>
        <w:tab/>
      </w:r>
      <w:r>
        <w:rPr>
          <w:sz w:val="20"/>
          <w:szCs w:val="20"/>
        </w:rPr>
        <w:t>д</w:t>
      </w:r>
      <w:r w:rsidRPr="003D4111">
        <w:rPr>
          <w:sz w:val="20"/>
          <w:szCs w:val="20"/>
        </w:rPr>
        <w:t>анная методологическая оценка будет включать подходы к определению районов для сохранения, устойчивого использования и восстановления, в том числе с помощью охраняемых районов и других эффективных природоохранных мер на порайонной основе.</w:t>
      </w:r>
    </w:p>
    <w:p w14:paraId="7DAAC7E4" w14:textId="77777777" w:rsidR="00F74263" w:rsidRPr="003D4111" w:rsidRDefault="00F74263" w:rsidP="00F74263">
      <w:pPr>
        <w:tabs>
          <w:tab w:val="left" w:pos="709"/>
        </w:tabs>
        <w:spacing w:before="120" w:after="120"/>
        <w:rPr>
          <w:sz w:val="20"/>
          <w:szCs w:val="20"/>
        </w:rPr>
      </w:pPr>
      <w:r w:rsidRPr="003D4111">
        <w:rPr>
          <w:sz w:val="20"/>
          <w:szCs w:val="20"/>
        </w:rPr>
        <w:t>2.</w:t>
      </w:r>
      <w:r w:rsidRPr="003D4111">
        <w:rPr>
          <w:sz w:val="20"/>
          <w:szCs w:val="20"/>
        </w:rPr>
        <w:tab/>
      </w:r>
      <w:r w:rsidRPr="003D4111">
        <w:rPr>
          <w:b/>
          <w:bCs/>
          <w:sz w:val="20"/>
          <w:szCs w:val="20"/>
        </w:rPr>
        <w:t>Оперативная методологическая оценка мониторинга биоразнообразия и экосистемных услуг и отслеживания прогресса в выполнения целей и задач глобальной рамочной программы в области биоразнообразия на период после 2020 года</w:t>
      </w:r>
    </w:p>
    <w:p w14:paraId="7DAAC7E5" w14:textId="77777777" w:rsidR="00F74263" w:rsidRPr="003D4111" w:rsidRDefault="00F74263" w:rsidP="00F74263">
      <w:pPr>
        <w:tabs>
          <w:tab w:val="left" w:pos="360"/>
          <w:tab w:val="left" w:pos="851"/>
        </w:tabs>
        <w:spacing w:after="120"/>
        <w:ind w:firstLine="709"/>
        <w:rPr>
          <w:sz w:val="20"/>
          <w:szCs w:val="20"/>
        </w:rPr>
      </w:pPr>
      <w:r w:rsidRPr="003D4111">
        <w:rPr>
          <w:sz w:val="20"/>
          <w:szCs w:val="20"/>
        </w:rPr>
        <w:t xml:space="preserve">(a) </w:t>
      </w:r>
      <w:r w:rsidRPr="003D4111">
        <w:rPr>
          <w:sz w:val="20"/>
          <w:szCs w:val="20"/>
        </w:rPr>
        <w:tab/>
        <w:t>данная методологическая оценка позволит определить возможности для развития национального потенциала в области отчетности, мониторинга и оценки биоразнообразия, включая разработку базовых данных наблюдений за биоразнообразием и других данных, необходимых для мониторинга рамочной программы, в том числе на основе дистанционного зондирования, мониторинга на уровне общин и гражданской науки. Приоритет будет отдаваться потребностям в практическом применении основных индикаторов;</w:t>
      </w:r>
    </w:p>
    <w:p w14:paraId="7DAAC7E6" w14:textId="77777777" w:rsidR="00F74263" w:rsidRPr="003D4111" w:rsidRDefault="00F74263" w:rsidP="00F74263">
      <w:pPr>
        <w:tabs>
          <w:tab w:val="left" w:pos="360"/>
          <w:tab w:val="left" w:pos="851"/>
        </w:tabs>
        <w:spacing w:after="120"/>
        <w:ind w:firstLine="709"/>
        <w:rPr>
          <w:sz w:val="20"/>
          <w:szCs w:val="20"/>
        </w:rPr>
      </w:pPr>
      <w:r w:rsidRPr="003D4111">
        <w:rPr>
          <w:sz w:val="20"/>
          <w:szCs w:val="20"/>
        </w:rPr>
        <w:t xml:space="preserve">(b) </w:t>
      </w:r>
      <w:r w:rsidRPr="003D4111">
        <w:rPr>
          <w:sz w:val="20"/>
          <w:szCs w:val="20"/>
        </w:rPr>
        <w:tab/>
        <w:t>данная методологическая оценка будет непосредственно содействовать национальным и глобальным усилиям по мониторингу прогресса в осуществлении глобальной рамочной программы в области биоразнообразия на период после 2020 года, поможет создать потенциал в этом отношении во всех странах, уделяя особое внимание потребностям развивающихся стран, особенно наименее развитых стран и малых островных развивающихся государств, и позволит создать функциональную и эффективную глобальную систему мониторинга биоразнообразия.</w:t>
      </w:r>
    </w:p>
    <w:p w14:paraId="7DAAC7E7" w14:textId="77777777" w:rsidR="00F74263" w:rsidRPr="003D4111" w:rsidRDefault="00F74263" w:rsidP="00F74263">
      <w:pPr>
        <w:tabs>
          <w:tab w:val="left" w:pos="709"/>
        </w:tabs>
        <w:spacing w:before="120" w:after="120"/>
        <w:rPr>
          <w:sz w:val="20"/>
          <w:szCs w:val="20"/>
        </w:rPr>
      </w:pPr>
      <w:r w:rsidRPr="003D4111">
        <w:rPr>
          <w:sz w:val="20"/>
          <w:szCs w:val="20"/>
        </w:rPr>
        <w:t>3.</w:t>
      </w:r>
      <w:r w:rsidRPr="003D4111">
        <w:rPr>
          <w:sz w:val="20"/>
          <w:szCs w:val="20"/>
        </w:rPr>
        <w:tab/>
      </w:r>
      <w:r w:rsidRPr="003D4111">
        <w:rPr>
          <w:b/>
          <w:bCs/>
          <w:sz w:val="20"/>
          <w:szCs w:val="20"/>
        </w:rPr>
        <w:t>Оперативная тематическая или методологическая оценка загрязнения окружающей среды, его воздействия на биоразнообразие и подходов к предотвращению, сокращению и смягчению последствий такого воздействия:</w:t>
      </w:r>
    </w:p>
    <w:p w14:paraId="7DAAC7E8" w14:textId="77777777" w:rsidR="00F74263" w:rsidRPr="003D4111" w:rsidRDefault="00F74263" w:rsidP="00F74263">
      <w:pPr>
        <w:tabs>
          <w:tab w:val="left" w:pos="360"/>
          <w:tab w:val="left" w:pos="851"/>
        </w:tabs>
        <w:spacing w:after="120"/>
        <w:ind w:firstLine="709"/>
        <w:rPr>
          <w:sz w:val="20"/>
          <w:szCs w:val="20"/>
        </w:rPr>
      </w:pPr>
      <w:r w:rsidRPr="003D4111">
        <w:rPr>
          <w:sz w:val="20"/>
          <w:szCs w:val="20"/>
        </w:rPr>
        <w:t xml:space="preserve">(a) </w:t>
      </w:r>
      <w:r w:rsidRPr="003D4111">
        <w:rPr>
          <w:sz w:val="20"/>
          <w:szCs w:val="20"/>
        </w:rPr>
        <w:tab/>
        <w:t xml:space="preserve">данная оценка будет включать подходы к определению основных источников загрязнения, которые влияют на биоразнообразие и экосистемные услуги, а также способы предотвращения, сокращения и смягчения </w:t>
      </w:r>
      <w:r w:rsidRPr="003D4111">
        <w:rPr>
          <w:bCs/>
          <w:sz w:val="20"/>
          <w:szCs w:val="20"/>
        </w:rPr>
        <w:t>последствий</w:t>
      </w:r>
      <w:r w:rsidRPr="003D4111">
        <w:rPr>
          <w:b/>
          <w:bCs/>
          <w:sz w:val="20"/>
          <w:szCs w:val="20"/>
        </w:rPr>
        <w:t xml:space="preserve"> </w:t>
      </w:r>
      <w:r w:rsidRPr="003D4111">
        <w:rPr>
          <w:sz w:val="20"/>
          <w:szCs w:val="20"/>
        </w:rPr>
        <w:t>такого воздействия. Оценка будет сосредоточена на тех источниках загрязнения, которые оказывают наибольшее воздействие на биоразнообразие, включая их кумулятивные и синергетические эффекты, которые не рассматриваются в рамках других процессов;</w:t>
      </w:r>
    </w:p>
    <w:p w14:paraId="7DAAC7E9" w14:textId="77777777" w:rsidR="00F74263" w:rsidRPr="003D4111" w:rsidRDefault="00F74263" w:rsidP="00F74263">
      <w:pPr>
        <w:tabs>
          <w:tab w:val="left" w:pos="360"/>
          <w:tab w:val="left" w:pos="851"/>
        </w:tabs>
        <w:ind w:firstLine="709"/>
      </w:pPr>
      <w:r w:rsidRPr="003D4111">
        <w:rPr>
          <w:sz w:val="20"/>
          <w:szCs w:val="20"/>
        </w:rPr>
        <w:t xml:space="preserve">(b) </w:t>
      </w:r>
      <w:r w:rsidRPr="003D4111">
        <w:rPr>
          <w:sz w:val="20"/>
          <w:szCs w:val="20"/>
        </w:rPr>
        <w:tab/>
        <w:t xml:space="preserve">данная методологическая оценка будет иметь непосредственное отношение к предлагаемой задаче 7 глобальной рамочной программы в области биоразнообразия на период после 2020 года и позволит определить меры по решению проблемы загрязнения, являющегося одним из основных непосредственных факторов утраты биоразнообразия. </w:t>
      </w:r>
    </w:p>
    <w:p w14:paraId="7DAAC7EA" w14:textId="77777777" w:rsidR="00B3369F" w:rsidRPr="0045409E" w:rsidRDefault="003743D0" w:rsidP="00FF7C98">
      <w:pPr>
        <w:pStyle w:val="Para1"/>
        <w:numPr>
          <w:ilvl w:val="0"/>
          <w:numId w:val="0"/>
        </w:numPr>
        <w:suppressLineNumbers/>
        <w:suppressAutoHyphens/>
        <w:kinsoku w:val="0"/>
        <w:overflowPunct w:val="0"/>
        <w:autoSpaceDE w:val="0"/>
        <w:autoSpaceDN w:val="0"/>
        <w:adjustRightInd w:val="0"/>
        <w:snapToGrid w:val="0"/>
        <w:jc w:val="center"/>
        <w:rPr>
          <w:kern w:val="22"/>
          <w:szCs w:val="22"/>
        </w:rPr>
      </w:pPr>
      <w:r w:rsidRPr="0045409E">
        <w:t>__________</w:t>
      </w:r>
    </w:p>
    <w:sectPr w:rsidR="00B3369F" w:rsidRPr="0045409E" w:rsidSect="001600FE">
      <w:headerReference w:type="even" r:id="rId19"/>
      <w:headerReference w:type="default" r:id="rId20"/>
      <w:pgSz w:w="12240" w:h="15840"/>
      <w:pgMar w:top="567" w:right="1440" w:bottom="99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AC7F4" w14:textId="77777777" w:rsidR="00DA51BD" w:rsidRDefault="00DA51BD" w:rsidP="00CF1848">
      <w:r>
        <w:separator/>
      </w:r>
    </w:p>
  </w:endnote>
  <w:endnote w:type="continuationSeparator" w:id="0">
    <w:p w14:paraId="7DAAC7F5" w14:textId="77777777" w:rsidR="00DA51BD" w:rsidRDefault="00DA51BD" w:rsidP="00CF1848">
      <w:r>
        <w:continuationSeparator/>
      </w:r>
    </w:p>
  </w:endnote>
  <w:endnote w:type="continuationNotice" w:id="1">
    <w:p w14:paraId="7DAAC7F6" w14:textId="77777777" w:rsidR="00DA51BD" w:rsidRDefault="00DA51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AC7F1" w14:textId="77777777" w:rsidR="00DA51BD" w:rsidRDefault="00DA51BD" w:rsidP="00CF1848">
      <w:r>
        <w:separator/>
      </w:r>
    </w:p>
  </w:footnote>
  <w:footnote w:type="continuationSeparator" w:id="0">
    <w:p w14:paraId="7DAAC7F2" w14:textId="77777777" w:rsidR="00DA51BD" w:rsidRDefault="00DA51BD" w:rsidP="00CF1848">
      <w:r>
        <w:continuationSeparator/>
      </w:r>
    </w:p>
  </w:footnote>
  <w:footnote w:type="continuationNotice" w:id="1">
    <w:p w14:paraId="7DAAC7F3" w14:textId="77777777" w:rsidR="00DA51BD" w:rsidRDefault="00DA51BD"/>
  </w:footnote>
  <w:footnote w:id="2">
    <w:p w14:paraId="7DAAC801" w14:textId="77777777" w:rsidR="00B8378D" w:rsidRDefault="00B8378D" w:rsidP="00B8378D">
      <w:pPr>
        <w:pStyle w:val="FootnoteText"/>
        <w:ind w:firstLine="0"/>
      </w:pPr>
      <w:r>
        <w:rPr>
          <w:rStyle w:val="FootnoteReference"/>
        </w:rPr>
        <w:footnoteRef/>
      </w:r>
      <w:r>
        <w:t xml:space="preserve"> Решение IPBES-6/1 об осуществлении первой программы Платформы.</w:t>
      </w:r>
    </w:p>
  </w:footnote>
  <w:footnote w:id="3">
    <w:p w14:paraId="7DAAC802" w14:textId="77777777" w:rsidR="00B8378D" w:rsidRPr="002810D3" w:rsidRDefault="00B8378D" w:rsidP="00B8378D">
      <w:pPr>
        <w:pStyle w:val="FootnoteText"/>
        <w:ind w:firstLine="0"/>
      </w:pPr>
      <w:r>
        <w:rPr>
          <w:rStyle w:val="FootnoteReference"/>
        </w:rPr>
        <w:footnoteRef/>
      </w:r>
      <w:r>
        <w:t xml:space="preserve"> Этот документ был дополнен документами CBD/SBSTTA/24/INF/17 (Программа работы Межправительственной научно-политической платформы по биоразнообразию и экосистемным услугам), CBD/SBSTTA/24/INF/37 (Программа работы Межправительственной научно-политической платформы по биоразнообразию и экосистемным услугам: обновленная информация о работе, проведенной после завершения первой части 24-го совещания Вспомогательного органа по научным, техническим и технологическим консультациям) и CBD/SBSTTA/24/INF/18 (Национальная оценка экосистем в поддержку осуществления Конвенции о биологическом разнообразии: определение первоначального воздействия). </w:t>
      </w:r>
    </w:p>
  </w:footnote>
  <w:footnote w:id="4">
    <w:p w14:paraId="7DAAC803" w14:textId="77777777" w:rsidR="00B8378D" w:rsidRPr="001D7DAF" w:rsidRDefault="00B8378D" w:rsidP="00B8378D">
      <w:pPr>
        <w:pStyle w:val="FootnoteText"/>
        <w:ind w:firstLine="0"/>
      </w:pPr>
      <w:r>
        <w:rPr>
          <w:rStyle w:val="FootnoteReference"/>
        </w:rPr>
        <w:footnoteRef/>
      </w:r>
      <w:r>
        <w:t xml:space="preserve"> https://ipbes.net/sustainable-use-assessment</w:t>
      </w:r>
    </w:p>
  </w:footnote>
  <w:footnote w:id="5">
    <w:p w14:paraId="7DAAC804" w14:textId="77777777" w:rsidR="00B8378D" w:rsidRPr="001D7DAF" w:rsidRDefault="00B8378D" w:rsidP="00B8378D">
      <w:pPr>
        <w:pStyle w:val="FootnoteText"/>
        <w:ind w:firstLine="0"/>
      </w:pPr>
      <w:r>
        <w:rPr>
          <w:rStyle w:val="FootnoteReference"/>
        </w:rPr>
        <w:footnoteRef/>
      </w:r>
      <w:r>
        <w:t xml:space="preserve"> https://ipbes.net/the-values-assessment</w:t>
      </w:r>
    </w:p>
  </w:footnote>
  <w:footnote w:id="6">
    <w:p w14:paraId="7DAAC805" w14:textId="77777777" w:rsidR="00B8378D" w:rsidRDefault="00B8378D" w:rsidP="00B8378D">
      <w:pPr>
        <w:pStyle w:val="FootnoteText"/>
        <w:ind w:firstLine="0"/>
      </w:pPr>
      <w:r>
        <w:rPr>
          <w:rStyle w:val="FootnoteReference"/>
        </w:rPr>
        <w:footnoteRef/>
      </w:r>
      <w:r>
        <w:t xml:space="preserve"> Документ IPBES/9/12 представлен по адресу: </w:t>
      </w:r>
      <w:r w:rsidRPr="008D081E">
        <w:rPr>
          <w:rStyle w:val="Hyperlink"/>
        </w:rPr>
        <w:t>https://ipbes.net/document-library-catalogue/ipbes912</w:t>
      </w:r>
      <w:r>
        <w:t xml:space="preserve"> (см. пункты 13-17). </w:t>
      </w:r>
    </w:p>
  </w:footnote>
  <w:footnote w:id="7">
    <w:p w14:paraId="7DAAC806" w14:textId="77777777" w:rsidR="00B8378D" w:rsidRPr="00F97AD1" w:rsidRDefault="00B8378D" w:rsidP="00B8378D">
      <w:pPr>
        <w:pStyle w:val="FootnoteText"/>
        <w:ind w:firstLine="0"/>
      </w:pPr>
      <w:r>
        <w:rPr>
          <w:rStyle w:val="FootnoteReference"/>
        </w:rPr>
        <w:footnoteRef/>
      </w:r>
      <w:r>
        <w:t xml:space="preserve"> См. уведомление </w:t>
      </w:r>
      <w:r w:rsidRPr="008D081E">
        <w:rPr>
          <w:rStyle w:val="Hyperlink"/>
        </w:rPr>
        <w:t>EM/2022/38</w:t>
      </w:r>
    </w:p>
  </w:footnote>
  <w:footnote w:id="8">
    <w:p w14:paraId="7DAAC807" w14:textId="77777777" w:rsidR="00B8378D" w:rsidRDefault="00B8378D" w:rsidP="00B8378D">
      <w:pPr>
        <w:pStyle w:val="FootnoteText"/>
        <w:ind w:firstLine="0"/>
      </w:pPr>
      <w:r>
        <w:rPr>
          <w:rStyle w:val="FootnoteReference"/>
        </w:rPr>
        <w:footnoteRef/>
      </w:r>
      <w:r>
        <w:t xml:space="preserve"> Документ IPBES/9/12 представлен по ссылке: </w:t>
      </w:r>
      <w:r w:rsidRPr="008D081E">
        <w:rPr>
          <w:rStyle w:val="Hyperlink"/>
        </w:rPr>
        <w:t>https://ipbes.net/document-library-catalogue/ipbes912</w:t>
      </w:r>
      <w:r>
        <w:t xml:space="preserve"> (см. пункты 13-17). </w:t>
      </w:r>
    </w:p>
  </w:footnote>
  <w:footnote w:id="9">
    <w:p w14:paraId="7DAAC808" w14:textId="77777777" w:rsidR="00B8378D" w:rsidRDefault="00B8378D" w:rsidP="00B8378D">
      <w:pPr>
        <w:pStyle w:val="FootnoteText"/>
        <w:ind w:firstLine="0"/>
      </w:pPr>
      <w:r>
        <w:rPr>
          <w:rStyle w:val="FootnoteReference"/>
        </w:rPr>
        <w:footnoteRef/>
      </w:r>
      <w:r>
        <w:t xml:space="preserve"> Документ IPBES/9/12 представлен по адресу: </w:t>
      </w:r>
      <w:r w:rsidRPr="00BC4786">
        <w:rPr>
          <w:rStyle w:val="Hyperlink"/>
        </w:rPr>
        <w:t>https://ipbes.net/document-library-catalogue/ipbes912</w:t>
      </w:r>
      <w:r>
        <w:t xml:space="preserve"> (см. рисунок в Приложении 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02CDECEBBE68423BAFE5D22E476AC86E"/>
      </w:placeholder>
      <w:dataBinding w:prefixMappings="xmlns:ns0='http://purl.org/dc/elements/1.1/' xmlns:ns1='http://schemas.openxmlformats.org/package/2006/metadata/core-properties' " w:xpath="/ns1:coreProperties[1]/ns0:subject[1]" w:storeItemID="{6C3C8BC8-F283-45AE-878A-BAB7291924A1}"/>
      <w:text/>
    </w:sdtPr>
    <w:sdtEndPr/>
    <w:sdtContent>
      <w:p w14:paraId="7DAAC7F7" w14:textId="77777777" w:rsidR="008329F7" w:rsidRPr="005F2EEE" w:rsidRDefault="008329F7" w:rsidP="008329F7">
        <w:pPr>
          <w:pStyle w:val="Header"/>
          <w:suppressLineNumbers/>
          <w:tabs>
            <w:tab w:val="clear" w:pos="4320"/>
            <w:tab w:val="clear" w:pos="8640"/>
          </w:tabs>
          <w:suppressAutoHyphens/>
          <w:kinsoku w:val="0"/>
          <w:overflowPunct w:val="0"/>
          <w:autoSpaceDE w:val="0"/>
          <w:autoSpaceDN w:val="0"/>
          <w:jc w:val="right"/>
          <w:rPr>
            <w:kern w:val="22"/>
          </w:rPr>
        </w:pPr>
        <w:r>
          <w:rPr>
            <w:kern w:val="22"/>
          </w:rPr>
          <w:t>CBD/COP/15/13</w:t>
        </w:r>
      </w:p>
    </w:sdtContent>
  </w:sdt>
  <w:p w14:paraId="7DAAC7F8" w14:textId="77777777" w:rsidR="008329F7" w:rsidRPr="00CF320F" w:rsidRDefault="008329F7" w:rsidP="008329F7">
    <w:pPr>
      <w:pStyle w:val="Header"/>
      <w:suppressLineNumbers/>
      <w:tabs>
        <w:tab w:val="clear" w:pos="4320"/>
        <w:tab w:val="clear" w:pos="8640"/>
      </w:tabs>
      <w:suppressAutoHyphens/>
      <w:kinsoku w:val="0"/>
      <w:overflowPunct w:val="0"/>
      <w:autoSpaceDE w:val="0"/>
      <w:autoSpaceDN w:val="0"/>
      <w:spacing w:after="240"/>
      <w:jc w:val="right"/>
      <w:rPr>
        <w:kern w:val="22"/>
        <w:lang w:val="en-US"/>
      </w:rPr>
    </w:pPr>
    <w:r>
      <w:t xml:space="preserve">Страница </w:t>
    </w:r>
    <w:r w:rsidRPr="005F2EEE">
      <w:fldChar w:fldCharType="begin"/>
    </w:r>
    <w:r w:rsidRPr="005F2EEE">
      <w:instrText xml:space="preserve"> PAGE   \* MERGEFORMAT </w:instrText>
    </w:r>
    <w:r w:rsidRPr="005F2EEE">
      <w:fldChar w:fldCharType="separate"/>
    </w:r>
    <w:r w:rsidR="00EE6EFC">
      <w:rPr>
        <w:noProof/>
      </w:rPr>
      <w:t>10</w:t>
    </w:r>
    <w:r w:rsidRPr="005F2EE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668247512"/>
      <w:placeholder>
        <w:docPart w:val="660D6DB86C594CDDB00E05713F6A9AD8"/>
      </w:placeholder>
      <w:dataBinding w:prefixMappings="xmlns:ns0='http://purl.org/dc/elements/1.1/' xmlns:ns1='http://schemas.openxmlformats.org/package/2006/metadata/core-properties' " w:xpath="/ns1:coreProperties[1]/ns0:subject[1]" w:storeItemID="{6C3C8BC8-F283-45AE-878A-BAB7291924A1}"/>
      <w:text/>
    </w:sdtPr>
    <w:sdtEndPr/>
    <w:sdtContent>
      <w:p w14:paraId="7DAAC7F9" w14:textId="77777777" w:rsidR="00A176E3" w:rsidRDefault="00A176E3" w:rsidP="00CF320F">
        <w:pPr>
          <w:pStyle w:val="Header"/>
          <w:jc w:val="right"/>
        </w:pPr>
        <w:r>
          <w:t>CBD/COP/15/13</w:t>
        </w:r>
      </w:p>
    </w:sdtContent>
  </w:sdt>
  <w:p w14:paraId="785979DB" w14:textId="77777777" w:rsidR="00CF320F" w:rsidRPr="00CF320F" w:rsidRDefault="00CF320F" w:rsidP="00CF320F">
    <w:pPr>
      <w:pStyle w:val="Header"/>
      <w:suppressLineNumbers/>
      <w:tabs>
        <w:tab w:val="clear" w:pos="4320"/>
        <w:tab w:val="clear" w:pos="8640"/>
      </w:tabs>
      <w:suppressAutoHyphens/>
      <w:kinsoku w:val="0"/>
      <w:overflowPunct w:val="0"/>
      <w:autoSpaceDE w:val="0"/>
      <w:autoSpaceDN w:val="0"/>
      <w:spacing w:after="240"/>
      <w:jc w:val="right"/>
      <w:rPr>
        <w:kern w:val="22"/>
        <w:lang w:val="en-US"/>
      </w:rPr>
    </w:pPr>
    <w:r>
      <w:t xml:space="preserve">Страница </w:t>
    </w:r>
    <w:r w:rsidRPr="005F2EEE">
      <w:fldChar w:fldCharType="begin"/>
    </w:r>
    <w:r w:rsidRPr="005F2EEE">
      <w:instrText xml:space="preserve"> PAGE   \* MERGEFORMAT </w:instrText>
    </w:r>
    <w:r w:rsidRPr="005F2EEE">
      <w:fldChar w:fldCharType="separate"/>
    </w:r>
    <w:r>
      <w:t>2</w:t>
    </w:r>
    <w:r w:rsidRPr="005F2EEE">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DAAC7FB" w14:textId="77777777" w:rsidR="00B072B4" w:rsidRPr="00B00053" w:rsidRDefault="003C0741" w:rsidP="00B00053">
        <w:pPr>
          <w:pStyle w:val="Header"/>
          <w:tabs>
            <w:tab w:val="clear" w:pos="4320"/>
            <w:tab w:val="clear" w:pos="8640"/>
          </w:tabs>
          <w:kinsoku w:val="0"/>
          <w:overflowPunct w:val="0"/>
          <w:autoSpaceDE w:val="0"/>
          <w:autoSpaceDN w:val="0"/>
          <w:jc w:val="left"/>
          <w:rPr>
            <w:noProof/>
          </w:rPr>
        </w:pPr>
        <w:r>
          <w:rPr>
            <w:noProof/>
          </w:rPr>
          <w:t>CBD/COP/15/13</w:t>
        </w:r>
      </w:p>
    </w:sdtContent>
  </w:sdt>
  <w:p w14:paraId="7DAAC7FC" w14:textId="77777777" w:rsidR="00B072B4" w:rsidRPr="00B00053" w:rsidRDefault="00B072B4" w:rsidP="00B00053">
    <w:pPr>
      <w:pStyle w:val="Header"/>
      <w:tabs>
        <w:tab w:val="clear" w:pos="4320"/>
        <w:tab w:val="clear" w:pos="8640"/>
      </w:tabs>
      <w:kinsoku w:val="0"/>
      <w:overflowPunct w:val="0"/>
      <w:autoSpaceDE w:val="0"/>
      <w:autoSpaceDN w:val="0"/>
      <w:jc w:val="left"/>
      <w:rPr>
        <w:noProof/>
      </w:rPr>
    </w:pPr>
    <w:r>
      <w:t xml:space="preserve">Страница </w:t>
    </w:r>
    <w:r w:rsidR="00DA51BD">
      <w:rPr>
        <w:noProof/>
      </w:rPr>
      <w:fldChar w:fldCharType="begin"/>
    </w:r>
    <w:r w:rsidR="00DA51BD">
      <w:rPr>
        <w:noProof/>
      </w:rPr>
      <w:instrText xml:space="preserve"> PAGE   \* MERGEFORMAT </w:instrText>
    </w:r>
    <w:r w:rsidR="00DA51BD">
      <w:rPr>
        <w:noProof/>
      </w:rPr>
      <w:fldChar w:fldCharType="separate"/>
    </w:r>
    <w:r w:rsidR="004C693C">
      <w:rPr>
        <w:noProof/>
      </w:rPr>
      <w:t>12</w:t>
    </w:r>
    <w:r w:rsidR="00DA51BD">
      <w:rPr>
        <w:noProof/>
      </w:rPr>
      <w:fldChar w:fldCharType="end"/>
    </w:r>
  </w:p>
  <w:p w14:paraId="7DAAC7FD" w14:textId="77777777" w:rsidR="00B072B4" w:rsidRPr="00B00053" w:rsidRDefault="00B072B4" w:rsidP="00B00053">
    <w:pPr>
      <w:pStyle w:val="Header"/>
      <w:tabs>
        <w:tab w:val="clear" w:pos="4320"/>
        <w:tab w:val="clear" w:pos="8640"/>
      </w:tabs>
      <w:kinsoku w:val="0"/>
      <w:overflowPunct w:val="0"/>
      <w:autoSpaceDE w:val="0"/>
      <w:autoSpaceDN w:val="0"/>
      <w:jc w:val="left"/>
      <w:rPr>
        <w:noProof/>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DAAC7FE" w14:textId="77777777" w:rsidR="00B072B4" w:rsidRPr="00B00053" w:rsidRDefault="003C0741" w:rsidP="00B00053">
        <w:pPr>
          <w:pStyle w:val="Header"/>
          <w:tabs>
            <w:tab w:val="clear" w:pos="4320"/>
            <w:tab w:val="clear" w:pos="8640"/>
          </w:tabs>
          <w:kinsoku w:val="0"/>
          <w:overflowPunct w:val="0"/>
          <w:autoSpaceDE w:val="0"/>
          <w:autoSpaceDN w:val="0"/>
          <w:jc w:val="right"/>
          <w:rPr>
            <w:noProof/>
          </w:rPr>
        </w:pPr>
        <w:r>
          <w:rPr>
            <w:noProof/>
          </w:rPr>
          <w:t>CBD/COP/15/13</w:t>
        </w:r>
      </w:p>
    </w:sdtContent>
  </w:sdt>
  <w:p w14:paraId="7DAAC7FF" w14:textId="77777777" w:rsidR="00B072B4" w:rsidRPr="00B00053" w:rsidRDefault="00B072B4" w:rsidP="00B00053">
    <w:pPr>
      <w:pStyle w:val="Header"/>
      <w:tabs>
        <w:tab w:val="clear" w:pos="4320"/>
        <w:tab w:val="clear" w:pos="8640"/>
      </w:tabs>
      <w:kinsoku w:val="0"/>
      <w:overflowPunct w:val="0"/>
      <w:autoSpaceDE w:val="0"/>
      <w:autoSpaceDN w:val="0"/>
      <w:jc w:val="right"/>
      <w:rPr>
        <w:noProof/>
      </w:rPr>
    </w:pPr>
    <w:r>
      <w:t xml:space="preserve">Страница </w:t>
    </w:r>
    <w:r w:rsidR="00DA51BD">
      <w:rPr>
        <w:noProof/>
      </w:rPr>
      <w:fldChar w:fldCharType="begin"/>
    </w:r>
    <w:r w:rsidR="00DA51BD">
      <w:rPr>
        <w:noProof/>
      </w:rPr>
      <w:instrText xml:space="preserve"> PAGE   \* MERGEFORMAT </w:instrText>
    </w:r>
    <w:r w:rsidR="00DA51BD">
      <w:rPr>
        <w:noProof/>
      </w:rPr>
      <w:fldChar w:fldCharType="separate"/>
    </w:r>
    <w:r w:rsidR="00EE6EFC">
      <w:rPr>
        <w:noProof/>
      </w:rPr>
      <w:t>13</w:t>
    </w:r>
    <w:r w:rsidR="00DA51BD">
      <w:rPr>
        <w:noProof/>
      </w:rPr>
      <w:fldChar w:fldCharType="end"/>
    </w:r>
  </w:p>
  <w:p w14:paraId="7DAAC800" w14:textId="77777777" w:rsidR="00B072B4" w:rsidRPr="00B00053" w:rsidRDefault="00B072B4" w:rsidP="00B00053">
    <w:pPr>
      <w:pStyle w:val="Header"/>
      <w:tabs>
        <w:tab w:val="clear" w:pos="4320"/>
        <w:tab w:val="clear" w:pos="8640"/>
      </w:tabs>
      <w:kinsoku w:val="0"/>
      <w:overflowPunct w:val="0"/>
      <w:autoSpaceDE w:val="0"/>
      <w:autoSpaceDN w:val="0"/>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C29BB"/>
    <w:multiLevelType w:val="hybridMultilevel"/>
    <w:tmpl w:val="53A427DA"/>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07377E6A"/>
    <w:multiLevelType w:val="multilevel"/>
    <w:tmpl w:val="13D4FB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9C875DB"/>
    <w:multiLevelType w:val="hybridMultilevel"/>
    <w:tmpl w:val="6ABC0B52"/>
    <w:lvl w:ilvl="0" w:tplc="759A2078">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A54367"/>
    <w:multiLevelType w:val="hybridMultilevel"/>
    <w:tmpl w:val="EFBCB176"/>
    <w:lvl w:ilvl="0" w:tplc="51F0FC34">
      <w:start w:val="1"/>
      <w:numFmt w:val="upperLetter"/>
      <w:lvlText w:val="%1."/>
      <w:lvlJc w:val="left"/>
      <w:pPr>
        <w:ind w:left="785" w:hanging="360"/>
      </w:pPr>
      <w:rPr>
        <w:rFonts w:hint="default"/>
        <w:i w:val="0"/>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8FD26D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E4E74E9"/>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b w:val="0"/>
        <w:i w:val="0"/>
      </w:rPr>
    </w:lvl>
    <w:lvl w:ilvl="2">
      <w:start w:val="1"/>
      <w:numFmt w:val="lowerRoman"/>
      <w:lvlText w:val="(%3)"/>
      <w:lvlJc w:val="right"/>
      <w:pPr>
        <w:tabs>
          <w:tab w:val="left" w:pos="1350"/>
        </w:tabs>
        <w:ind w:left="1350" w:hanging="360"/>
      </w:pPr>
      <w:rPr>
        <w:rFonts w:cs="Times New Roman"/>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rPr>
    </w:lvl>
    <w:lvl w:ilvl="5">
      <w:start w:val="1"/>
      <w:numFmt w:val="lowerRoman"/>
      <w:lvlText w:val="(%6)"/>
      <w:lvlJc w:val="left"/>
      <w:pPr>
        <w:tabs>
          <w:tab w:val="left" w:pos="2070"/>
        </w:tabs>
        <w:ind w:left="2070" w:hanging="360"/>
      </w:pPr>
      <w:rPr>
        <w:rFonts w:cs="Times New Roman"/>
      </w:rPr>
    </w:lvl>
    <w:lvl w:ilvl="6">
      <w:start w:val="1"/>
      <w:numFmt w:val="decimal"/>
      <w:lvlText w:val="%7."/>
      <w:lvlJc w:val="left"/>
      <w:pPr>
        <w:tabs>
          <w:tab w:val="left" w:pos="2430"/>
        </w:tabs>
        <w:ind w:left="2430" w:hanging="360"/>
      </w:pPr>
      <w:rPr>
        <w:rFonts w:cs="Times New Roman"/>
      </w:rPr>
    </w:lvl>
    <w:lvl w:ilvl="7">
      <w:start w:val="1"/>
      <w:numFmt w:val="lowerLetter"/>
      <w:lvlText w:val="%8."/>
      <w:lvlJc w:val="left"/>
      <w:pPr>
        <w:tabs>
          <w:tab w:val="left" w:pos="2790"/>
        </w:tabs>
        <w:ind w:left="2790" w:hanging="360"/>
      </w:pPr>
      <w:rPr>
        <w:rFonts w:cs="Times New Roman"/>
      </w:rPr>
    </w:lvl>
    <w:lvl w:ilvl="8">
      <w:start w:val="1"/>
      <w:numFmt w:val="lowerRoman"/>
      <w:lvlText w:val="%9."/>
      <w:lvlJc w:val="left"/>
      <w:pPr>
        <w:tabs>
          <w:tab w:val="left" w:pos="3150"/>
        </w:tabs>
        <w:ind w:left="3150" w:hanging="360"/>
      </w:pPr>
      <w:rPr>
        <w:rFonts w:cs="Times New Roman"/>
      </w:rPr>
    </w:lvl>
  </w:abstractNum>
  <w:abstractNum w:abstractNumId="1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E2821CF"/>
    <w:multiLevelType w:val="hybridMultilevel"/>
    <w:tmpl w:val="D1BC9C9C"/>
    <w:lvl w:ilvl="0" w:tplc="355C92E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F221F5E"/>
    <w:multiLevelType w:val="hybridMultilevel"/>
    <w:tmpl w:val="0744334C"/>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6" w15:restartNumberingAfterBreak="0">
    <w:nsid w:val="511026E0"/>
    <w:multiLevelType w:val="hybridMultilevel"/>
    <w:tmpl w:val="126E825C"/>
    <w:lvl w:ilvl="0" w:tplc="A53C7FB8">
      <w:start w:val="1"/>
      <w:numFmt w:val="decimal"/>
      <w:lvlText w:val="%1."/>
      <w:lvlJc w:val="left"/>
      <w:pPr>
        <w:ind w:left="720" w:hanging="360"/>
      </w:pPr>
      <w:rPr>
        <w:i w:val="0"/>
        <w:i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522769A4"/>
    <w:multiLevelType w:val="hybridMultilevel"/>
    <w:tmpl w:val="AC9ECA3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0D6AE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hint="default"/>
        <w:b w:val="0"/>
        <w:i w:val="0"/>
      </w:rPr>
    </w:lvl>
    <w:lvl w:ilvl="2">
      <w:start w:val="1"/>
      <w:numFmt w:val="lowerRoman"/>
      <w:lvlText w:val="(%3)"/>
      <w:lvlJc w:val="right"/>
      <w:pPr>
        <w:tabs>
          <w:tab w:val="left" w:pos="1350"/>
        </w:tabs>
        <w:ind w:left="1350" w:hanging="360"/>
      </w:pPr>
      <w:rPr>
        <w:rFonts w:cs="Times New Roman"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21" w15:restartNumberingAfterBreak="0">
    <w:nsid w:val="646D7EA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5D7EC2"/>
    <w:multiLevelType w:val="hybridMultilevel"/>
    <w:tmpl w:val="4426B32E"/>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6C25FC"/>
    <w:multiLevelType w:val="hybridMultilevel"/>
    <w:tmpl w:val="FEDA9954"/>
    <w:lvl w:ilvl="0" w:tplc="069291EE">
      <w:start w:val="1"/>
      <w:numFmt w:val="lowerLetter"/>
      <w:lvlText w:val="(%1)"/>
      <w:lvlJc w:val="left"/>
      <w:pPr>
        <w:ind w:left="720" w:hanging="360"/>
      </w:pPr>
      <w:rPr>
        <w:rFonts w:asciiTheme="majorBidi" w:eastAsia="Times New Roman" w:hAnsiTheme="majorBidi" w:cstheme="maj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E604AE"/>
    <w:multiLevelType w:val="hybridMultilevel"/>
    <w:tmpl w:val="892A952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num>
  <w:num w:numId="2">
    <w:abstractNumId w:val="13"/>
  </w:num>
  <w:num w:numId="3">
    <w:abstractNumId w:val="11"/>
  </w:num>
  <w:num w:numId="4">
    <w:abstractNumId w:val="13"/>
  </w:num>
  <w:num w:numId="5">
    <w:abstractNumId w:val="12"/>
  </w:num>
  <w:num w:numId="6">
    <w:abstractNumId w:val="4"/>
  </w:num>
  <w:num w:numId="7">
    <w:abstractNumId w:val="7"/>
  </w:num>
  <w:num w:numId="8">
    <w:abstractNumId w:val="11"/>
    <w:lvlOverride w:ilvl="0">
      <w:startOverride w:val="1"/>
    </w:lvlOverride>
  </w:num>
  <w:num w:numId="9">
    <w:abstractNumId w:val="24"/>
  </w:num>
  <w:num w:numId="10">
    <w:abstractNumId w:val="11"/>
    <w:lvlOverride w:ilvl="0">
      <w:startOverride w:val="1"/>
    </w:lvlOverride>
  </w:num>
  <w:num w:numId="11">
    <w:abstractNumId w:val="11"/>
    <w:lvlOverride w:ilvl="0">
      <w:startOverride w:val="1"/>
    </w:lvlOverride>
  </w:num>
  <w:num w:numId="12">
    <w:abstractNumId w:val="11"/>
    <w:lvlOverride w:ilvl="0">
      <w:startOverride w:val="1"/>
    </w:lvlOverride>
  </w:num>
  <w:num w:numId="13">
    <w:abstractNumId w:val="11"/>
    <w:lvlOverride w:ilvl="0">
      <w:startOverride w:val="1"/>
    </w:lvlOverride>
  </w:num>
  <w:num w:numId="14">
    <w:abstractNumId w:val="19"/>
  </w:num>
  <w:num w:numId="15">
    <w:abstractNumId w:val="18"/>
  </w:num>
  <w:num w:numId="16">
    <w:abstractNumId w:val="5"/>
  </w:num>
  <w:num w:numId="17">
    <w:abstractNumId w:val="25"/>
  </w:num>
  <w:num w:numId="18">
    <w:abstractNumId w:val="27"/>
  </w:num>
  <w:num w:numId="19">
    <w:abstractNumId w:val="20"/>
    <w:lvlOverride w:ilvl="0">
      <w:startOverride w:val="1"/>
    </w:lvlOverride>
    <w:lvlOverride w:ilvl="1">
      <w:startOverride w:val="1"/>
    </w:lvlOverride>
    <w:lvlOverride w:ilvl="2">
      <w:startOverride w:val="1"/>
    </w:lvlOverride>
  </w:num>
  <w:num w:numId="20">
    <w:abstractNumId w:val="20"/>
  </w:num>
  <w:num w:numId="21">
    <w:abstractNumId w:val="20"/>
  </w:num>
  <w:num w:numId="22">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14"/>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26"/>
  </w:num>
  <w:num w:numId="34">
    <w:abstractNumId w:val="0"/>
  </w:num>
  <w:num w:numId="35">
    <w:abstractNumId w:val="15"/>
  </w:num>
  <w:num w:numId="36">
    <w:abstractNumId w:val="3"/>
  </w:num>
  <w:num w:numId="37">
    <w:abstractNumId w:val="6"/>
  </w:num>
  <w:num w:numId="38">
    <w:abstractNumId w:val="22"/>
  </w:num>
  <w:num w:numId="39">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num>
  <w:num w:numId="4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305"/>
    <w:rsid w:val="0000296B"/>
    <w:rsid w:val="00002BAD"/>
    <w:rsid w:val="000037C4"/>
    <w:rsid w:val="00004584"/>
    <w:rsid w:val="00006D47"/>
    <w:rsid w:val="00006E4F"/>
    <w:rsid w:val="00010FE8"/>
    <w:rsid w:val="00011137"/>
    <w:rsid w:val="00011BF4"/>
    <w:rsid w:val="000127D7"/>
    <w:rsid w:val="00014B2D"/>
    <w:rsid w:val="00015D93"/>
    <w:rsid w:val="000176FD"/>
    <w:rsid w:val="00020B77"/>
    <w:rsid w:val="00020D56"/>
    <w:rsid w:val="00026BD0"/>
    <w:rsid w:val="0002734E"/>
    <w:rsid w:val="00030969"/>
    <w:rsid w:val="00031B78"/>
    <w:rsid w:val="00037C10"/>
    <w:rsid w:val="00041CFD"/>
    <w:rsid w:val="0004412C"/>
    <w:rsid w:val="000455AA"/>
    <w:rsid w:val="00054BA5"/>
    <w:rsid w:val="00056FA9"/>
    <w:rsid w:val="000620E9"/>
    <w:rsid w:val="0007171B"/>
    <w:rsid w:val="000735C6"/>
    <w:rsid w:val="00080354"/>
    <w:rsid w:val="00080A7A"/>
    <w:rsid w:val="00082188"/>
    <w:rsid w:val="000921FE"/>
    <w:rsid w:val="000927CF"/>
    <w:rsid w:val="000935C2"/>
    <w:rsid w:val="000954AB"/>
    <w:rsid w:val="00095E1D"/>
    <w:rsid w:val="00097273"/>
    <w:rsid w:val="0009729E"/>
    <w:rsid w:val="00097C19"/>
    <w:rsid w:val="000A2175"/>
    <w:rsid w:val="000A2E96"/>
    <w:rsid w:val="000A6C61"/>
    <w:rsid w:val="000B0805"/>
    <w:rsid w:val="000B3BF1"/>
    <w:rsid w:val="000B67A5"/>
    <w:rsid w:val="000B6B0F"/>
    <w:rsid w:val="000B7ABE"/>
    <w:rsid w:val="000C02F7"/>
    <w:rsid w:val="000C0F70"/>
    <w:rsid w:val="000C19B0"/>
    <w:rsid w:val="000C1C09"/>
    <w:rsid w:val="000C3EE9"/>
    <w:rsid w:val="000C7188"/>
    <w:rsid w:val="000D0863"/>
    <w:rsid w:val="000D2441"/>
    <w:rsid w:val="000D300F"/>
    <w:rsid w:val="000D3319"/>
    <w:rsid w:val="000D3568"/>
    <w:rsid w:val="000D3660"/>
    <w:rsid w:val="000D6A86"/>
    <w:rsid w:val="000D7F8C"/>
    <w:rsid w:val="000E07BF"/>
    <w:rsid w:val="000E4E02"/>
    <w:rsid w:val="000E5D43"/>
    <w:rsid w:val="000E673A"/>
    <w:rsid w:val="000E7DCA"/>
    <w:rsid w:val="000F1571"/>
    <w:rsid w:val="000F46CF"/>
    <w:rsid w:val="000F74F5"/>
    <w:rsid w:val="00103C86"/>
    <w:rsid w:val="0010438A"/>
    <w:rsid w:val="00105372"/>
    <w:rsid w:val="0010669D"/>
    <w:rsid w:val="00107D96"/>
    <w:rsid w:val="001127E8"/>
    <w:rsid w:val="00112F45"/>
    <w:rsid w:val="00113E77"/>
    <w:rsid w:val="00120533"/>
    <w:rsid w:val="00121F11"/>
    <w:rsid w:val="001227F1"/>
    <w:rsid w:val="00123765"/>
    <w:rsid w:val="001312AD"/>
    <w:rsid w:val="0013183C"/>
    <w:rsid w:val="001318DD"/>
    <w:rsid w:val="00131E7A"/>
    <w:rsid w:val="0013356A"/>
    <w:rsid w:val="00134846"/>
    <w:rsid w:val="00135C09"/>
    <w:rsid w:val="0014172A"/>
    <w:rsid w:val="00142423"/>
    <w:rsid w:val="00142DB4"/>
    <w:rsid w:val="00143EE5"/>
    <w:rsid w:val="00144E68"/>
    <w:rsid w:val="0014691A"/>
    <w:rsid w:val="0014770D"/>
    <w:rsid w:val="00147889"/>
    <w:rsid w:val="00154839"/>
    <w:rsid w:val="0015612D"/>
    <w:rsid w:val="0015739F"/>
    <w:rsid w:val="00157D17"/>
    <w:rsid w:val="001600A2"/>
    <w:rsid w:val="001600FE"/>
    <w:rsid w:val="001605BC"/>
    <w:rsid w:val="001605D7"/>
    <w:rsid w:val="00160E08"/>
    <w:rsid w:val="001615C7"/>
    <w:rsid w:val="00161807"/>
    <w:rsid w:val="001631A9"/>
    <w:rsid w:val="00164F1D"/>
    <w:rsid w:val="00172AF6"/>
    <w:rsid w:val="001749B6"/>
    <w:rsid w:val="001761E2"/>
    <w:rsid w:val="00176CEE"/>
    <w:rsid w:val="00184442"/>
    <w:rsid w:val="00184795"/>
    <w:rsid w:val="00184DB7"/>
    <w:rsid w:val="0018555F"/>
    <w:rsid w:val="00186DD8"/>
    <w:rsid w:val="001870C6"/>
    <w:rsid w:val="00192541"/>
    <w:rsid w:val="00196232"/>
    <w:rsid w:val="001A14EB"/>
    <w:rsid w:val="001A5E0D"/>
    <w:rsid w:val="001A77EF"/>
    <w:rsid w:val="001B0221"/>
    <w:rsid w:val="001B0F28"/>
    <w:rsid w:val="001B13FE"/>
    <w:rsid w:val="001B2417"/>
    <w:rsid w:val="001B2D36"/>
    <w:rsid w:val="001B36EC"/>
    <w:rsid w:val="001B4EE1"/>
    <w:rsid w:val="001C0C36"/>
    <w:rsid w:val="001C27D5"/>
    <w:rsid w:val="001C2B6F"/>
    <w:rsid w:val="001C326A"/>
    <w:rsid w:val="001C32A3"/>
    <w:rsid w:val="001C6079"/>
    <w:rsid w:val="001D11B6"/>
    <w:rsid w:val="001D2E2A"/>
    <w:rsid w:val="001D4FE1"/>
    <w:rsid w:val="001D75DC"/>
    <w:rsid w:val="001E01C7"/>
    <w:rsid w:val="001E195A"/>
    <w:rsid w:val="001E1ACD"/>
    <w:rsid w:val="001E3E77"/>
    <w:rsid w:val="001E54A6"/>
    <w:rsid w:val="001E7AF2"/>
    <w:rsid w:val="001F0A8A"/>
    <w:rsid w:val="001F12CF"/>
    <w:rsid w:val="001F130C"/>
    <w:rsid w:val="001F2B81"/>
    <w:rsid w:val="00200E8D"/>
    <w:rsid w:val="00205D80"/>
    <w:rsid w:val="00212E25"/>
    <w:rsid w:val="002142CC"/>
    <w:rsid w:val="00220268"/>
    <w:rsid w:val="002301DA"/>
    <w:rsid w:val="00231494"/>
    <w:rsid w:val="00233A53"/>
    <w:rsid w:val="00233EB0"/>
    <w:rsid w:val="00237F29"/>
    <w:rsid w:val="00247810"/>
    <w:rsid w:val="00250071"/>
    <w:rsid w:val="002518B1"/>
    <w:rsid w:val="00251BC8"/>
    <w:rsid w:val="00252935"/>
    <w:rsid w:val="00254F05"/>
    <w:rsid w:val="0025508D"/>
    <w:rsid w:val="00256649"/>
    <w:rsid w:val="00261165"/>
    <w:rsid w:val="00264A71"/>
    <w:rsid w:val="00264C3A"/>
    <w:rsid w:val="00265106"/>
    <w:rsid w:val="00280564"/>
    <w:rsid w:val="002809EA"/>
    <w:rsid w:val="00281772"/>
    <w:rsid w:val="00282FC8"/>
    <w:rsid w:val="0028367B"/>
    <w:rsid w:val="00285CDD"/>
    <w:rsid w:val="002901D8"/>
    <w:rsid w:val="0029069C"/>
    <w:rsid w:val="00294783"/>
    <w:rsid w:val="00295EAE"/>
    <w:rsid w:val="00296749"/>
    <w:rsid w:val="002977F7"/>
    <w:rsid w:val="002A06EE"/>
    <w:rsid w:val="002A17FC"/>
    <w:rsid w:val="002A28A9"/>
    <w:rsid w:val="002A441C"/>
    <w:rsid w:val="002A701D"/>
    <w:rsid w:val="002B0FE0"/>
    <w:rsid w:val="002B16C1"/>
    <w:rsid w:val="002C3049"/>
    <w:rsid w:val="002C45E2"/>
    <w:rsid w:val="002C4EF9"/>
    <w:rsid w:val="002C6649"/>
    <w:rsid w:val="002C6BBB"/>
    <w:rsid w:val="002C7C3F"/>
    <w:rsid w:val="002D3D84"/>
    <w:rsid w:val="002D433E"/>
    <w:rsid w:val="002D45BF"/>
    <w:rsid w:val="002E0D75"/>
    <w:rsid w:val="002E2916"/>
    <w:rsid w:val="002E376B"/>
    <w:rsid w:val="002E4E4C"/>
    <w:rsid w:val="002F3FD3"/>
    <w:rsid w:val="002F6006"/>
    <w:rsid w:val="002F7C9C"/>
    <w:rsid w:val="00300F4B"/>
    <w:rsid w:val="0030169D"/>
    <w:rsid w:val="00301CB6"/>
    <w:rsid w:val="00301EF0"/>
    <w:rsid w:val="00302953"/>
    <w:rsid w:val="00302CD2"/>
    <w:rsid w:val="00304795"/>
    <w:rsid w:val="003060EB"/>
    <w:rsid w:val="003065BD"/>
    <w:rsid w:val="00310B05"/>
    <w:rsid w:val="00311741"/>
    <w:rsid w:val="003119EF"/>
    <w:rsid w:val="00313996"/>
    <w:rsid w:val="003153EB"/>
    <w:rsid w:val="00315A97"/>
    <w:rsid w:val="00316FF4"/>
    <w:rsid w:val="003179A1"/>
    <w:rsid w:val="00317CB8"/>
    <w:rsid w:val="00317D13"/>
    <w:rsid w:val="0032036A"/>
    <w:rsid w:val="00320379"/>
    <w:rsid w:val="00321985"/>
    <w:rsid w:val="003259E6"/>
    <w:rsid w:val="003262B9"/>
    <w:rsid w:val="003274C0"/>
    <w:rsid w:val="003318E9"/>
    <w:rsid w:val="00331A61"/>
    <w:rsid w:val="0033387D"/>
    <w:rsid w:val="0033609A"/>
    <w:rsid w:val="00336DBB"/>
    <w:rsid w:val="0034225F"/>
    <w:rsid w:val="00346D09"/>
    <w:rsid w:val="00351205"/>
    <w:rsid w:val="00351875"/>
    <w:rsid w:val="00354668"/>
    <w:rsid w:val="00355AED"/>
    <w:rsid w:val="0035699C"/>
    <w:rsid w:val="003607F3"/>
    <w:rsid w:val="00361270"/>
    <w:rsid w:val="003616AD"/>
    <w:rsid w:val="003660CD"/>
    <w:rsid w:val="003677F9"/>
    <w:rsid w:val="00372846"/>
    <w:rsid w:val="00372F55"/>
    <w:rsid w:val="00372F74"/>
    <w:rsid w:val="00373BA2"/>
    <w:rsid w:val="003743D0"/>
    <w:rsid w:val="003744D1"/>
    <w:rsid w:val="0037732D"/>
    <w:rsid w:val="003806F1"/>
    <w:rsid w:val="00380B8E"/>
    <w:rsid w:val="00381840"/>
    <w:rsid w:val="00382D7C"/>
    <w:rsid w:val="0038397E"/>
    <w:rsid w:val="003864F7"/>
    <w:rsid w:val="0038664D"/>
    <w:rsid w:val="00387409"/>
    <w:rsid w:val="00387502"/>
    <w:rsid w:val="00387C7D"/>
    <w:rsid w:val="00392534"/>
    <w:rsid w:val="00392CD7"/>
    <w:rsid w:val="00393383"/>
    <w:rsid w:val="00396826"/>
    <w:rsid w:val="003A0B6D"/>
    <w:rsid w:val="003A0CC2"/>
    <w:rsid w:val="003A0DE8"/>
    <w:rsid w:val="003A6DCF"/>
    <w:rsid w:val="003B34DC"/>
    <w:rsid w:val="003B44F9"/>
    <w:rsid w:val="003B59E7"/>
    <w:rsid w:val="003B7C04"/>
    <w:rsid w:val="003C0645"/>
    <w:rsid w:val="003C0741"/>
    <w:rsid w:val="003C08EE"/>
    <w:rsid w:val="003C1543"/>
    <w:rsid w:val="003C2B7A"/>
    <w:rsid w:val="003C31B5"/>
    <w:rsid w:val="003D16F4"/>
    <w:rsid w:val="003D1AB7"/>
    <w:rsid w:val="003D5516"/>
    <w:rsid w:val="003E3D67"/>
    <w:rsid w:val="003E5301"/>
    <w:rsid w:val="003E54D8"/>
    <w:rsid w:val="003E666E"/>
    <w:rsid w:val="003E69D9"/>
    <w:rsid w:val="003E7D82"/>
    <w:rsid w:val="003F264D"/>
    <w:rsid w:val="003F393A"/>
    <w:rsid w:val="003F3D55"/>
    <w:rsid w:val="003F581B"/>
    <w:rsid w:val="003F6F74"/>
    <w:rsid w:val="003F7224"/>
    <w:rsid w:val="003F742C"/>
    <w:rsid w:val="003F7ABC"/>
    <w:rsid w:val="004003AE"/>
    <w:rsid w:val="004044AE"/>
    <w:rsid w:val="00411137"/>
    <w:rsid w:val="0041623B"/>
    <w:rsid w:val="00417435"/>
    <w:rsid w:val="00420210"/>
    <w:rsid w:val="004211DC"/>
    <w:rsid w:val="004245BB"/>
    <w:rsid w:val="00426D92"/>
    <w:rsid w:val="00427D21"/>
    <w:rsid w:val="0043707D"/>
    <w:rsid w:val="00437EB0"/>
    <w:rsid w:val="004423E1"/>
    <w:rsid w:val="00442C94"/>
    <w:rsid w:val="00442F09"/>
    <w:rsid w:val="004440CB"/>
    <w:rsid w:val="0044436A"/>
    <w:rsid w:val="00447124"/>
    <w:rsid w:val="004471D2"/>
    <w:rsid w:val="00447AE6"/>
    <w:rsid w:val="00450881"/>
    <w:rsid w:val="0045358C"/>
    <w:rsid w:val="0045409E"/>
    <w:rsid w:val="00455148"/>
    <w:rsid w:val="004559BE"/>
    <w:rsid w:val="004572BA"/>
    <w:rsid w:val="004608CC"/>
    <w:rsid w:val="004608DF"/>
    <w:rsid w:val="004644C2"/>
    <w:rsid w:val="0046760A"/>
    <w:rsid w:val="00467F9C"/>
    <w:rsid w:val="00471C5B"/>
    <w:rsid w:val="00475718"/>
    <w:rsid w:val="00475A41"/>
    <w:rsid w:val="00477270"/>
    <w:rsid w:val="00477F27"/>
    <w:rsid w:val="0048156B"/>
    <w:rsid w:val="004928C3"/>
    <w:rsid w:val="004A202D"/>
    <w:rsid w:val="004A3D84"/>
    <w:rsid w:val="004A632A"/>
    <w:rsid w:val="004B3A5F"/>
    <w:rsid w:val="004B4CE8"/>
    <w:rsid w:val="004B4D67"/>
    <w:rsid w:val="004B5647"/>
    <w:rsid w:val="004B5863"/>
    <w:rsid w:val="004C0DAC"/>
    <w:rsid w:val="004C478A"/>
    <w:rsid w:val="004C5B17"/>
    <w:rsid w:val="004C693C"/>
    <w:rsid w:val="004C6DE0"/>
    <w:rsid w:val="004C7211"/>
    <w:rsid w:val="004C7DC2"/>
    <w:rsid w:val="004D13C9"/>
    <w:rsid w:val="004D7231"/>
    <w:rsid w:val="004D73F6"/>
    <w:rsid w:val="004D790E"/>
    <w:rsid w:val="004D7D08"/>
    <w:rsid w:val="004E0B8D"/>
    <w:rsid w:val="004E3DB0"/>
    <w:rsid w:val="004F129F"/>
    <w:rsid w:val="004F16E7"/>
    <w:rsid w:val="004F3A42"/>
    <w:rsid w:val="004F5513"/>
    <w:rsid w:val="004F6914"/>
    <w:rsid w:val="004F70A8"/>
    <w:rsid w:val="00501C81"/>
    <w:rsid w:val="00507B89"/>
    <w:rsid w:val="00514C15"/>
    <w:rsid w:val="00517D52"/>
    <w:rsid w:val="0052286D"/>
    <w:rsid w:val="0052368A"/>
    <w:rsid w:val="00523AFF"/>
    <w:rsid w:val="00524C27"/>
    <w:rsid w:val="005264F8"/>
    <w:rsid w:val="00527AC7"/>
    <w:rsid w:val="00530E1E"/>
    <w:rsid w:val="0053139E"/>
    <w:rsid w:val="00534681"/>
    <w:rsid w:val="00535DFC"/>
    <w:rsid w:val="00535FF5"/>
    <w:rsid w:val="00540496"/>
    <w:rsid w:val="0054114E"/>
    <w:rsid w:val="00541B30"/>
    <w:rsid w:val="0054429B"/>
    <w:rsid w:val="00544B9B"/>
    <w:rsid w:val="00546A5B"/>
    <w:rsid w:val="00547135"/>
    <w:rsid w:val="00547207"/>
    <w:rsid w:val="0054779C"/>
    <w:rsid w:val="00547BEA"/>
    <w:rsid w:val="0055227A"/>
    <w:rsid w:val="00554206"/>
    <w:rsid w:val="005556A5"/>
    <w:rsid w:val="005600AC"/>
    <w:rsid w:val="005601BE"/>
    <w:rsid w:val="00562B2C"/>
    <w:rsid w:val="0056328A"/>
    <w:rsid w:val="00563442"/>
    <w:rsid w:val="00565B42"/>
    <w:rsid w:val="00566507"/>
    <w:rsid w:val="00571244"/>
    <w:rsid w:val="005719F3"/>
    <w:rsid w:val="00571DB7"/>
    <w:rsid w:val="00573D1D"/>
    <w:rsid w:val="00584A6C"/>
    <w:rsid w:val="00586637"/>
    <w:rsid w:val="005910FD"/>
    <w:rsid w:val="005957E3"/>
    <w:rsid w:val="00597E6C"/>
    <w:rsid w:val="005A07CA"/>
    <w:rsid w:val="005A0988"/>
    <w:rsid w:val="005A107A"/>
    <w:rsid w:val="005A177C"/>
    <w:rsid w:val="005A1D2E"/>
    <w:rsid w:val="005A7C3E"/>
    <w:rsid w:val="005A7E00"/>
    <w:rsid w:val="005B4401"/>
    <w:rsid w:val="005B7258"/>
    <w:rsid w:val="005C058B"/>
    <w:rsid w:val="005C1FD4"/>
    <w:rsid w:val="005C3A5A"/>
    <w:rsid w:val="005C4CE6"/>
    <w:rsid w:val="005D45D9"/>
    <w:rsid w:val="005D6EB7"/>
    <w:rsid w:val="005E0ED2"/>
    <w:rsid w:val="005E30AD"/>
    <w:rsid w:val="005E3D69"/>
    <w:rsid w:val="005E4CFE"/>
    <w:rsid w:val="005F2933"/>
    <w:rsid w:val="005F56AE"/>
    <w:rsid w:val="005F7AF3"/>
    <w:rsid w:val="00602098"/>
    <w:rsid w:val="00602495"/>
    <w:rsid w:val="006039FB"/>
    <w:rsid w:val="00603FF3"/>
    <w:rsid w:val="00604C67"/>
    <w:rsid w:val="006054BB"/>
    <w:rsid w:val="00607055"/>
    <w:rsid w:val="006122BA"/>
    <w:rsid w:val="0061275F"/>
    <w:rsid w:val="00613496"/>
    <w:rsid w:val="00615288"/>
    <w:rsid w:val="006157F9"/>
    <w:rsid w:val="006179E6"/>
    <w:rsid w:val="00620FDE"/>
    <w:rsid w:val="00621EA1"/>
    <w:rsid w:val="006239F2"/>
    <w:rsid w:val="00627DEB"/>
    <w:rsid w:val="006312EF"/>
    <w:rsid w:val="00632E72"/>
    <w:rsid w:val="00633BA2"/>
    <w:rsid w:val="00637078"/>
    <w:rsid w:val="00637757"/>
    <w:rsid w:val="00640937"/>
    <w:rsid w:val="006412B3"/>
    <w:rsid w:val="00641CF8"/>
    <w:rsid w:val="00642EA7"/>
    <w:rsid w:val="0064443E"/>
    <w:rsid w:val="00646638"/>
    <w:rsid w:val="00650665"/>
    <w:rsid w:val="00651927"/>
    <w:rsid w:val="00651A27"/>
    <w:rsid w:val="00661094"/>
    <w:rsid w:val="006622B4"/>
    <w:rsid w:val="00662AA2"/>
    <w:rsid w:val="00663606"/>
    <w:rsid w:val="00664A9F"/>
    <w:rsid w:val="006654C6"/>
    <w:rsid w:val="00667382"/>
    <w:rsid w:val="00671160"/>
    <w:rsid w:val="00671C6D"/>
    <w:rsid w:val="006739D0"/>
    <w:rsid w:val="00676129"/>
    <w:rsid w:val="0068012A"/>
    <w:rsid w:val="00680DFC"/>
    <w:rsid w:val="00682EBC"/>
    <w:rsid w:val="00683C43"/>
    <w:rsid w:val="00685244"/>
    <w:rsid w:val="00690988"/>
    <w:rsid w:val="00690DBC"/>
    <w:rsid w:val="006930D4"/>
    <w:rsid w:val="006943AE"/>
    <w:rsid w:val="00694DB6"/>
    <w:rsid w:val="0069525C"/>
    <w:rsid w:val="0069603A"/>
    <w:rsid w:val="00697C81"/>
    <w:rsid w:val="006A0AF6"/>
    <w:rsid w:val="006A0E5B"/>
    <w:rsid w:val="006A170B"/>
    <w:rsid w:val="006A393F"/>
    <w:rsid w:val="006B1FB4"/>
    <w:rsid w:val="006B21B9"/>
    <w:rsid w:val="006B2290"/>
    <w:rsid w:val="006B3178"/>
    <w:rsid w:val="006B4A0C"/>
    <w:rsid w:val="006B6A2D"/>
    <w:rsid w:val="006B76A8"/>
    <w:rsid w:val="006B7F14"/>
    <w:rsid w:val="006C01A8"/>
    <w:rsid w:val="006C16C8"/>
    <w:rsid w:val="006C1F1A"/>
    <w:rsid w:val="006C777B"/>
    <w:rsid w:val="006D22E6"/>
    <w:rsid w:val="006D2A57"/>
    <w:rsid w:val="006D2FAF"/>
    <w:rsid w:val="006D34C8"/>
    <w:rsid w:val="006D36EA"/>
    <w:rsid w:val="006D44FF"/>
    <w:rsid w:val="006D63E5"/>
    <w:rsid w:val="006E18EC"/>
    <w:rsid w:val="006E3A75"/>
    <w:rsid w:val="006E5688"/>
    <w:rsid w:val="006E5A71"/>
    <w:rsid w:val="006E743F"/>
    <w:rsid w:val="006F3B7E"/>
    <w:rsid w:val="006F3F07"/>
    <w:rsid w:val="006F7AA2"/>
    <w:rsid w:val="00700096"/>
    <w:rsid w:val="00700F04"/>
    <w:rsid w:val="00703A10"/>
    <w:rsid w:val="00705C3D"/>
    <w:rsid w:val="00706339"/>
    <w:rsid w:val="00710269"/>
    <w:rsid w:val="00710CCE"/>
    <w:rsid w:val="007130D3"/>
    <w:rsid w:val="007137CD"/>
    <w:rsid w:val="007147E2"/>
    <w:rsid w:val="00717D88"/>
    <w:rsid w:val="007200DB"/>
    <w:rsid w:val="00720771"/>
    <w:rsid w:val="00724DDF"/>
    <w:rsid w:val="00725E29"/>
    <w:rsid w:val="0073048B"/>
    <w:rsid w:val="00732E9E"/>
    <w:rsid w:val="00733FC4"/>
    <w:rsid w:val="00735756"/>
    <w:rsid w:val="00736A73"/>
    <w:rsid w:val="0073799D"/>
    <w:rsid w:val="007400AA"/>
    <w:rsid w:val="00740795"/>
    <w:rsid w:val="007429C1"/>
    <w:rsid w:val="00743CD3"/>
    <w:rsid w:val="00745B42"/>
    <w:rsid w:val="00747098"/>
    <w:rsid w:val="00752F13"/>
    <w:rsid w:val="00755215"/>
    <w:rsid w:val="00755DEE"/>
    <w:rsid w:val="007600A1"/>
    <w:rsid w:val="007629C1"/>
    <w:rsid w:val="00764597"/>
    <w:rsid w:val="00770FA9"/>
    <w:rsid w:val="00772B87"/>
    <w:rsid w:val="0077351F"/>
    <w:rsid w:val="00773F9A"/>
    <w:rsid w:val="00775A1C"/>
    <w:rsid w:val="0078442C"/>
    <w:rsid w:val="00786056"/>
    <w:rsid w:val="00791BAF"/>
    <w:rsid w:val="0079266A"/>
    <w:rsid w:val="007933A1"/>
    <w:rsid w:val="007942D3"/>
    <w:rsid w:val="007967EA"/>
    <w:rsid w:val="007A01A7"/>
    <w:rsid w:val="007A185D"/>
    <w:rsid w:val="007A21AD"/>
    <w:rsid w:val="007A2BB2"/>
    <w:rsid w:val="007A3FEE"/>
    <w:rsid w:val="007A69F0"/>
    <w:rsid w:val="007A707F"/>
    <w:rsid w:val="007B00CD"/>
    <w:rsid w:val="007B1ECB"/>
    <w:rsid w:val="007B2099"/>
    <w:rsid w:val="007B2531"/>
    <w:rsid w:val="007B341C"/>
    <w:rsid w:val="007B59C2"/>
    <w:rsid w:val="007B62D6"/>
    <w:rsid w:val="007B6C09"/>
    <w:rsid w:val="007B7741"/>
    <w:rsid w:val="007B789B"/>
    <w:rsid w:val="007B7EF2"/>
    <w:rsid w:val="007C1227"/>
    <w:rsid w:val="007C1268"/>
    <w:rsid w:val="007C3261"/>
    <w:rsid w:val="007C3366"/>
    <w:rsid w:val="007C4169"/>
    <w:rsid w:val="007C47FA"/>
    <w:rsid w:val="007C4DFD"/>
    <w:rsid w:val="007C79CF"/>
    <w:rsid w:val="007D00D9"/>
    <w:rsid w:val="007D0676"/>
    <w:rsid w:val="007D250F"/>
    <w:rsid w:val="007D4B87"/>
    <w:rsid w:val="007D5202"/>
    <w:rsid w:val="007D59F3"/>
    <w:rsid w:val="007D5E4F"/>
    <w:rsid w:val="007E09DA"/>
    <w:rsid w:val="007E3C65"/>
    <w:rsid w:val="007E3E5D"/>
    <w:rsid w:val="007E702F"/>
    <w:rsid w:val="007E7267"/>
    <w:rsid w:val="007F027C"/>
    <w:rsid w:val="007F0A7C"/>
    <w:rsid w:val="007F0CA8"/>
    <w:rsid w:val="007F0CE8"/>
    <w:rsid w:val="007F0D04"/>
    <w:rsid w:val="007F20F0"/>
    <w:rsid w:val="00800DA6"/>
    <w:rsid w:val="0080279B"/>
    <w:rsid w:val="00803E64"/>
    <w:rsid w:val="00803FCA"/>
    <w:rsid w:val="008068EB"/>
    <w:rsid w:val="00806A02"/>
    <w:rsid w:val="00807192"/>
    <w:rsid w:val="0081018E"/>
    <w:rsid w:val="00811965"/>
    <w:rsid w:val="008127F1"/>
    <w:rsid w:val="008178B6"/>
    <w:rsid w:val="008213B9"/>
    <w:rsid w:val="00821DE4"/>
    <w:rsid w:val="00822EE0"/>
    <w:rsid w:val="00823011"/>
    <w:rsid w:val="00824CDA"/>
    <w:rsid w:val="00824D43"/>
    <w:rsid w:val="00827FEE"/>
    <w:rsid w:val="00830248"/>
    <w:rsid w:val="008329F7"/>
    <w:rsid w:val="008331D8"/>
    <w:rsid w:val="00835078"/>
    <w:rsid w:val="00835E06"/>
    <w:rsid w:val="00836CC0"/>
    <w:rsid w:val="00844530"/>
    <w:rsid w:val="00846496"/>
    <w:rsid w:val="00846C5C"/>
    <w:rsid w:val="00853231"/>
    <w:rsid w:val="00855AFF"/>
    <w:rsid w:val="008561B7"/>
    <w:rsid w:val="00860236"/>
    <w:rsid w:val="00860832"/>
    <w:rsid w:val="008615BB"/>
    <w:rsid w:val="00862C6C"/>
    <w:rsid w:val="00864098"/>
    <w:rsid w:val="00864A31"/>
    <w:rsid w:val="00865B05"/>
    <w:rsid w:val="00865B74"/>
    <w:rsid w:val="008703E8"/>
    <w:rsid w:val="00870557"/>
    <w:rsid w:val="00870B5E"/>
    <w:rsid w:val="00870DA1"/>
    <w:rsid w:val="00870FD9"/>
    <w:rsid w:val="008736E8"/>
    <w:rsid w:val="00873CDB"/>
    <w:rsid w:val="00875D3A"/>
    <w:rsid w:val="00877CD0"/>
    <w:rsid w:val="00877FF2"/>
    <w:rsid w:val="00880BFC"/>
    <w:rsid w:val="0088174B"/>
    <w:rsid w:val="008832EC"/>
    <w:rsid w:val="00884632"/>
    <w:rsid w:val="008870DF"/>
    <w:rsid w:val="008905BE"/>
    <w:rsid w:val="00891D4C"/>
    <w:rsid w:val="0089394D"/>
    <w:rsid w:val="00894EAA"/>
    <w:rsid w:val="008974F0"/>
    <w:rsid w:val="008A01F7"/>
    <w:rsid w:val="008A19E5"/>
    <w:rsid w:val="008A3533"/>
    <w:rsid w:val="008A3F64"/>
    <w:rsid w:val="008B012A"/>
    <w:rsid w:val="008B2708"/>
    <w:rsid w:val="008B3CFD"/>
    <w:rsid w:val="008B740B"/>
    <w:rsid w:val="008C203D"/>
    <w:rsid w:val="008C25D7"/>
    <w:rsid w:val="008C378F"/>
    <w:rsid w:val="008D081E"/>
    <w:rsid w:val="008D4E5D"/>
    <w:rsid w:val="008D5232"/>
    <w:rsid w:val="008D5532"/>
    <w:rsid w:val="008E4707"/>
    <w:rsid w:val="008E564B"/>
    <w:rsid w:val="008E6613"/>
    <w:rsid w:val="008E789F"/>
    <w:rsid w:val="008F626F"/>
    <w:rsid w:val="0090075A"/>
    <w:rsid w:val="009033D3"/>
    <w:rsid w:val="00904B59"/>
    <w:rsid w:val="00906AF9"/>
    <w:rsid w:val="00906E17"/>
    <w:rsid w:val="00910AF6"/>
    <w:rsid w:val="00914008"/>
    <w:rsid w:val="00915A52"/>
    <w:rsid w:val="00917564"/>
    <w:rsid w:val="009219D6"/>
    <w:rsid w:val="00923A6F"/>
    <w:rsid w:val="00923CF8"/>
    <w:rsid w:val="009251DA"/>
    <w:rsid w:val="00925F15"/>
    <w:rsid w:val="00927B64"/>
    <w:rsid w:val="00930BA1"/>
    <w:rsid w:val="0093132A"/>
    <w:rsid w:val="0093157A"/>
    <w:rsid w:val="0093169E"/>
    <w:rsid w:val="009337CF"/>
    <w:rsid w:val="00933E3B"/>
    <w:rsid w:val="00933F2C"/>
    <w:rsid w:val="00934F5C"/>
    <w:rsid w:val="009403BC"/>
    <w:rsid w:val="00942CC3"/>
    <w:rsid w:val="0094458E"/>
    <w:rsid w:val="009450C5"/>
    <w:rsid w:val="009505C9"/>
    <w:rsid w:val="00950752"/>
    <w:rsid w:val="00951B1F"/>
    <w:rsid w:val="0095385B"/>
    <w:rsid w:val="00961EDE"/>
    <w:rsid w:val="00966424"/>
    <w:rsid w:val="00967183"/>
    <w:rsid w:val="00971AFF"/>
    <w:rsid w:val="009722A4"/>
    <w:rsid w:val="00977913"/>
    <w:rsid w:val="00984CBA"/>
    <w:rsid w:val="009850A8"/>
    <w:rsid w:val="00987896"/>
    <w:rsid w:val="00993CF1"/>
    <w:rsid w:val="00993D71"/>
    <w:rsid w:val="00996828"/>
    <w:rsid w:val="00997FFD"/>
    <w:rsid w:val="009A0A69"/>
    <w:rsid w:val="009A48E2"/>
    <w:rsid w:val="009B1493"/>
    <w:rsid w:val="009B1706"/>
    <w:rsid w:val="009B1A75"/>
    <w:rsid w:val="009B5F63"/>
    <w:rsid w:val="009B7C8F"/>
    <w:rsid w:val="009C042B"/>
    <w:rsid w:val="009C10D3"/>
    <w:rsid w:val="009C2DE6"/>
    <w:rsid w:val="009C3025"/>
    <w:rsid w:val="009C3F87"/>
    <w:rsid w:val="009C71E8"/>
    <w:rsid w:val="009D0451"/>
    <w:rsid w:val="009D1097"/>
    <w:rsid w:val="009D1DC6"/>
    <w:rsid w:val="009D476F"/>
    <w:rsid w:val="009D4FF8"/>
    <w:rsid w:val="009D54E8"/>
    <w:rsid w:val="009D5729"/>
    <w:rsid w:val="009D5E7C"/>
    <w:rsid w:val="009D5FC6"/>
    <w:rsid w:val="009E2B55"/>
    <w:rsid w:val="009E3373"/>
    <w:rsid w:val="009E3CF1"/>
    <w:rsid w:val="009E6273"/>
    <w:rsid w:val="009F0F54"/>
    <w:rsid w:val="009F501F"/>
    <w:rsid w:val="009F649B"/>
    <w:rsid w:val="00A0691E"/>
    <w:rsid w:val="00A069AB"/>
    <w:rsid w:val="00A077D8"/>
    <w:rsid w:val="00A12E3E"/>
    <w:rsid w:val="00A135B7"/>
    <w:rsid w:val="00A14FBF"/>
    <w:rsid w:val="00A176E3"/>
    <w:rsid w:val="00A2310E"/>
    <w:rsid w:val="00A247FB"/>
    <w:rsid w:val="00A2484C"/>
    <w:rsid w:val="00A301C7"/>
    <w:rsid w:val="00A30A64"/>
    <w:rsid w:val="00A324AA"/>
    <w:rsid w:val="00A3266B"/>
    <w:rsid w:val="00A32B76"/>
    <w:rsid w:val="00A3381A"/>
    <w:rsid w:val="00A34181"/>
    <w:rsid w:val="00A36FC9"/>
    <w:rsid w:val="00A3724C"/>
    <w:rsid w:val="00A40223"/>
    <w:rsid w:val="00A41501"/>
    <w:rsid w:val="00A43F25"/>
    <w:rsid w:val="00A46A4B"/>
    <w:rsid w:val="00A50395"/>
    <w:rsid w:val="00A5774A"/>
    <w:rsid w:val="00A608CD"/>
    <w:rsid w:val="00A618CC"/>
    <w:rsid w:val="00A668A6"/>
    <w:rsid w:val="00A730BC"/>
    <w:rsid w:val="00A74C55"/>
    <w:rsid w:val="00A75B2C"/>
    <w:rsid w:val="00A76686"/>
    <w:rsid w:val="00A86370"/>
    <w:rsid w:val="00A86545"/>
    <w:rsid w:val="00A8716D"/>
    <w:rsid w:val="00A93F76"/>
    <w:rsid w:val="00A95887"/>
    <w:rsid w:val="00AA107F"/>
    <w:rsid w:val="00AA1843"/>
    <w:rsid w:val="00AA1F6A"/>
    <w:rsid w:val="00AA2126"/>
    <w:rsid w:val="00AA2528"/>
    <w:rsid w:val="00AA588F"/>
    <w:rsid w:val="00AA69F0"/>
    <w:rsid w:val="00AA6F92"/>
    <w:rsid w:val="00AA76BC"/>
    <w:rsid w:val="00AB4416"/>
    <w:rsid w:val="00AB4CF5"/>
    <w:rsid w:val="00AB6934"/>
    <w:rsid w:val="00AB7864"/>
    <w:rsid w:val="00AB7ECF"/>
    <w:rsid w:val="00AC3C36"/>
    <w:rsid w:val="00AC6BD3"/>
    <w:rsid w:val="00AD6A97"/>
    <w:rsid w:val="00AD6BA0"/>
    <w:rsid w:val="00AE221C"/>
    <w:rsid w:val="00AE555C"/>
    <w:rsid w:val="00AF1AF7"/>
    <w:rsid w:val="00AF3251"/>
    <w:rsid w:val="00AF42DE"/>
    <w:rsid w:val="00AF46F4"/>
    <w:rsid w:val="00AF5D9B"/>
    <w:rsid w:val="00AF7126"/>
    <w:rsid w:val="00AF77BA"/>
    <w:rsid w:val="00B00053"/>
    <w:rsid w:val="00B013C2"/>
    <w:rsid w:val="00B027F7"/>
    <w:rsid w:val="00B039D0"/>
    <w:rsid w:val="00B05642"/>
    <w:rsid w:val="00B0640B"/>
    <w:rsid w:val="00B06710"/>
    <w:rsid w:val="00B072B4"/>
    <w:rsid w:val="00B07CE5"/>
    <w:rsid w:val="00B1288E"/>
    <w:rsid w:val="00B20E1C"/>
    <w:rsid w:val="00B25357"/>
    <w:rsid w:val="00B25DED"/>
    <w:rsid w:val="00B26923"/>
    <w:rsid w:val="00B3369F"/>
    <w:rsid w:val="00B50E31"/>
    <w:rsid w:val="00B51A15"/>
    <w:rsid w:val="00B52173"/>
    <w:rsid w:val="00B543AA"/>
    <w:rsid w:val="00B55FBC"/>
    <w:rsid w:val="00B57916"/>
    <w:rsid w:val="00B60D6B"/>
    <w:rsid w:val="00B668F0"/>
    <w:rsid w:val="00B71E32"/>
    <w:rsid w:val="00B7524B"/>
    <w:rsid w:val="00B75D01"/>
    <w:rsid w:val="00B768ED"/>
    <w:rsid w:val="00B77B3C"/>
    <w:rsid w:val="00B80FE8"/>
    <w:rsid w:val="00B82E53"/>
    <w:rsid w:val="00B8378D"/>
    <w:rsid w:val="00B86DB8"/>
    <w:rsid w:val="00B87290"/>
    <w:rsid w:val="00B90C26"/>
    <w:rsid w:val="00B91B4D"/>
    <w:rsid w:val="00B92687"/>
    <w:rsid w:val="00B92E83"/>
    <w:rsid w:val="00B93330"/>
    <w:rsid w:val="00B93D9F"/>
    <w:rsid w:val="00B94E6C"/>
    <w:rsid w:val="00B95308"/>
    <w:rsid w:val="00B9567C"/>
    <w:rsid w:val="00B96B20"/>
    <w:rsid w:val="00BA1062"/>
    <w:rsid w:val="00BA3B8D"/>
    <w:rsid w:val="00BA4C2E"/>
    <w:rsid w:val="00BA4FB1"/>
    <w:rsid w:val="00BA693E"/>
    <w:rsid w:val="00BA73FF"/>
    <w:rsid w:val="00BB1B67"/>
    <w:rsid w:val="00BB3F08"/>
    <w:rsid w:val="00BB4606"/>
    <w:rsid w:val="00BB4A52"/>
    <w:rsid w:val="00BB533E"/>
    <w:rsid w:val="00BB6B8E"/>
    <w:rsid w:val="00BB6D1F"/>
    <w:rsid w:val="00BC11AD"/>
    <w:rsid w:val="00BC4786"/>
    <w:rsid w:val="00BC4984"/>
    <w:rsid w:val="00BD00B3"/>
    <w:rsid w:val="00BD0F35"/>
    <w:rsid w:val="00BD1E1F"/>
    <w:rsid w:val="00BD37D3"/>
    <w:rsid w:val="00BD4D97"/>
    <w:rsid w:val="00BD5469"/>
    <w:rsid w:val="00BE7D5E"/>
    <w:rsid w:val="00BF0005"/>
    <w:rsid w:val="00BF13B2"/>
    <w:rsid w:val="00BF29D2"/>
    <w:rsid w:val="00BF4C5D"/>
    <w:rsid w:val="00BF5A18"/>
    <w:rsid w:val="00C0061D"/>
    <w:rsid w:val="00C00703"/>
    <w:rsid w:val="00C10CD9"/>
    <w:rsid w:val="00C13493"/>
    <w:rsid w:val="00C15D15"/>
    <w:rsid w:val="00C16A5D"/>
    <w:rsid w:val="00C20D59"/>
    <w:rsid w:val="00C218F6"/>
    <w:rsid w:val="00C232CE"/>
    <w:rsid w:val="00C23D2F"/>
    <w:rsid w:val="00C255E4"/>
    <w:rsid w:val="00C2594C"/>
    <w:rsid w:val="00C26924"/>
    <w:rsid w:val="00C27396"/>
    <w:rsid w:val="00C304E6"/>
    <w:rsid w:val="00C3190F"/>
    <w:rsid w:val="00C31AC6"/>
    <w:rsid w:val="00C3306F"/>
    <w:rsid w:val="00C34B69"/>
    <w:rsid w:val="00C356E0"/>
    <w:rsid w:val="00C415DA"/>
    <w:rsid w:val="00C41A2E"/>
    <w:rsid w:val="00C41B1A"/>
    <w:rsid w:val="00C41C95"/>
    <w:rsid w:val="00C439A2"/>
    <w:rsid w:val="00C4417F"/>
    <w:rsid w:val="00C443BD"/>
    <w:rsid w:val="00C44475"/>
    <w:rsid w:val="00C451C5"/>
    <w:rsid w:val="00C45FA1"/>
    <w:rsid w:val="00C47142"/>
    <w:rsid w:val="00C47826"/>
    <w:rsid w:val="00C5073C"/>
    <w:rsid w:val="00C55B82"/>
    <w:rsid w:val="00C64049"/>
    <w:rsid w:val="00C651B2"/>
    <w:rsid w:val="00C6623C"/>
    <w:rsid w:val="00C6648D"/>
    <w:rsid w:val="00C6686B"/>
    <w:rsid w:val="00C673C5"/>
    <w:rsid w:val="00C67634"/>
    <w:rsid w:val="00C70CA4"/>
    <w:rsid w:val="00C75062"/>
    <w:rsid w:val="00C75974"/>
    <w:rsid w:val="00C76584"/>
    <w:rsid w:val="00C8155C"/>
    <w:rsid w:val="00C8466B"/>
    <w:rsid w:val="00C85596"/>
    <w:rsid w:val="00C8784E"/>
    <w:rsid w:val="00C907FD"/>
    <w:rsid w:val="00C90A14"/>
    <w:rsid w:val="00C9161D"/>
    <w:rsid w:val="00C97C56"/>
    <w:rsid w:val="00CA0AB1"/>
    <w:rsid w:val="00CA0C1D"/>
    <w:rsid w:val="00CA16D7"/>
    <w:rsid w:val="00CA312C"/>
    <w:rsid w:val="00CA3DF0"/>
    <w:rsid w:val="00CA56C3"/>
    <w:rsid w:val="00CA658B"/>
    <w:rsid w:val="00CA6C38"/>
    <w:rsid w:val="00CA7519"/>
    <w:rsid w:val="00CB1709"/>
    <w:rsid w:val="00CB29E2"/>
    <w:rsid w:val="00CB2EBD"/>
    <w:rsid w:val="00CB5BBD"/>
    <w:rsid w:val="00CB62A9"/>
    <w:rsid w:val="00CB693D"/>
    <w:rsid w:val="00CB7FE9"/>
    <w:rsid w:val="00CC072B"/>
    <w:rsid w:val="00CC3564"/>
    <w:rsid w:val="00CC5BBA"/>
    <w:rsid w:val="00CD130D"/>
    <w:rsid w:val="00CD1654"/>
    <w:rsid w:val="00CD292B"/>
    <w:rsid w:val="00CD29C5"/>
    <w:rsid w:val="00CD2E99"/>
    <w:rsid w:val="00CD5462"/>
    <w:rsid w:val="00CD5A8E"/>
    <w:rsid w:val="00CD6275"/>
    <w:rsid w:val="00CD6390"/>
    <w:rsid w:val="00CD69F3"/>
    <w:rsid w:val="00CD702A"/>
    <w:rsid w:val="00CE02A8"/>
    <w:rsid w:val="00CE2663"/>
    <w:rsid w:val="00CE4D10"/>
    <w:rsid w:val="00CE604B"/>
    <w:rsid w:val="00CE737B"/>
    <w:rsid w:val="00CF08E3"/>
    <w:rsid w:val="00CF1848"/>
    <w:rsid w:val="00CF320F"/>
    <w:rsid w:val="00CF3FEB"/>
    <w:rsid w:val="00CF4DAC"/>
    <w:rsid w:val="00CF7A56"/>
    <w:rsid w:val="00D0241E"/>
    <w:rsid w:val="00D0307F"/>
    <w:rsid w:val="00D039D9"/>
    <w:rsid w:val="00D06F85"/>
    <w:rsid w:val="00D100F7"/>
    <w:rsid w:val="00D11FE2"/>
    <w:rsid w:val="00D12044"/>
    <w:rsid w:val="00D12EAF"/>
    <w:rsid w:val="00D13149"/>
    <w:rsid w:val="00D14E16"/>
    <w:rsid w:val="00D1520E"/>
    <w:rsid w:val="00D17E9D"/>
    <w:rsid w:val="00D21850"/>
    <w:rsid w:val="00D24F4C"/>
    <w:rsid w:val="00D25A1C"/>
    <w:rsid w:val="00D33EFC"/>
    <w:rsid w:val="00D33FB0"/>
    <w:rsid w:val="00D3437E"/>
    <w:rsid w:val="00D34515"/>
    <w:rsid w:val="00D36515"/>
    <w:rsid w:val="00D37C01"/>
    <w:rsid w:val="00D4071D"/>
    <w:rsid w:val="00D40DBC"/>
    <w:rsid w:val="00D41088"/>
    <w:rsid w:val="00D41C08"/>
    <w:rsid w:val="00D43907"/>
    <w:rsid w:val="00D4421E"/>
    <w:rsid w:val="00D443C5"/>
    <w:rsid w:val="00D464B1"/>
    <w:rsid w:val="00D5478E"/>
    <w:rsid w:val="00D56DC3"/>
    <w:rsid w:val="00D57B62"/>
    <w:rsid w:val="00D67730"/>
    <w:rsid w:val="00D765EE"/>
    <w:rsid w:val="00D76605"/>
    <w:rsid w:val="00D76A18"/>
    <w:rsid w:val="00D77560"/>
    <w:rsid w:val="00D77B46"/>
    <w:rsid w:val="00D8015F"/>
    <w:rsid w:val="00D80849"/>
    <w:rsid w:val="00D82E8F"/>
    <w:rsid w:val="00D8487C"/>
    <w:rsid w:val="00D87EA2"/>
    <w:rsid w:val="00D91513"/>
    <w:rsid w:val="00D91BFD"/>
    <w:rsid w:val="00D92850"/>
    <w:rsid w:val="00D92A35"/>
    <w:rsid w:val="00D92D2F"/>
    <w:rsid w:val="00D934B1"/>
    <w:rsid w:val="00D93531"/>
    <w:rsid w:val="00D94633"/>
    <w:rsid w:val="00D952A9"/>
    <w:rsid w:val="00D962BC"/>
    <w:rsid w:val="00D96B72"/>
    <w:rsid w:val="00DA1E51"/>
    <w:rsid w:val="00DA2529"/>
    <w:rsid w:val="00DA2738"/>
    <w:rsid w:val="00DA36D8"/>
    <w:rsid w:val="00DA4458"/>
    <w:rsid w:val="00DA51BD"/>
    <w:rsid w:val="00DA5439"/>
    <w:rsid w:val="00DA56DD"/>
    <w:rsid w:val="00DB4BFE"/>
    <w:rsid w:val="00DB5BD2"/>
    <w:rsid w:val="00DC073B"/>
    <w:rsid w:val="00DC0B54"/>
    <w:rsid w:val="00DC12D8"/>
    <w:rsid w:val="00DC2CC8"/>
    <w:rsid w:val="00DC54A9"/>
    <w:rsid w:val="00DD0AA1"/>
    <w:rsid w:val="00DD118C"/>
    <w:rsid w:val="00DD32AF"/>
    <w:rsid w:val="00DD33CC"/>
    <w:rsid w:val="00DE0123"/>
    <w:rsid w:val="00DE04BF"/>
    <w:rsid w:val="00DE1768"/>
    <w:rsid w:val="00DE1F31"/>
    <w:rsid w:val="00DE4F53"/>
    <w:rsid w:val="00DF0079"/>
    <w:rsid w:val="00DF1073"/>
    <w:rsid w:val="00DF4DEF"/>
    <w:rsid w:val="00E02CBA"/>
    <w:rsid w:val="00E034B0"/>
    <w:rsid w:val="00E053B9"/>
    <w:rsid w:val="00E05B97"/>
    <w:rsid w:val="00E105B6"/>
    <w:rsid w:val="00E11100"/>
    <w:rsid w:val="00E155BF"/>
    <w:rsid w:val="00E15CF3"/>
    <w:rsid w:val="00E17703"/>
    <w:rsid w:val="00E21C50"/>
    <w:rsid w:val="00E231FB"/>
    <w:rsid w:val="00E23E91"/>
    <w:rsid w:val="00E253DB"/>
    <w:rsid w:val="00E27936"/>
    <w:rsid w:val="00E30CE6"/>
    <w:rsid w:val="00E30F64"/>
    <w:rsid w:val="00E33655"/>
    <w:rsid w:val="00E3622B"/>
    <w:rsid w:val="00E40222"/>
    <w:rsid w:val="00E41240"/>
    <w:rsid w:val="00E4237E"/>
    <w:rsid w:val="00E42551"/>
    <w:rsid w:val="00E42FCC"/>
    <w:rsid w:val="00E50824"/>
    <w:rsid w:val="00E509BA"/>
    <w:rsid w:val="00E53442"/>
    <w:rsid w:val="00E55CAD"/>
    <w:rsid w:val="00E56000"/>
    <w:rsid w:val="00E57609"/>
    <w:rsid w:val="00E6159A"/>
    <w:rsid w:val="00E66235"/>
    <w:rsid w:val="00E663FD"/>
    <w:rsid w:val="00E66CB3"/>
    <w:rsid w:val="00E7060A"/>
    <w:rsid w:val="00E721B5"/>
    <w:rsid w:val="00E745DD"/>
    <w:rsid w:val="00E74EED"/>
    <w:rsid w:val="00E82989"/>
    <w:rsid w:val="00E830DC"/>
    <w:rsid w:val="00E83C24"/>
    <w:rsid w:val="00E85BFD"/>
    <w:rsid w:val="00E869CB"/>
    <w:rsid w:val="00E86AB4"/>
    <w:rsid w:val="00E86DA3"/>
    <w:rsid w:val="00E90CF9"/>
    <w:rsid w:val="00E913E9"/>
    <w:rsid w:val="00E91804"/>
    <w:rsid w:val="00E9318D"/>
    <w:rsid w:val="00E940E5"/>
    <w:rsid w:val="00E94FB7"/>
    <w:rsid w:val="00E969A8"/>
    <w:rsid w:val="00E97813"/>
    <w:rsid w:val="00EA087D"/>
    <w:rsid w:val="00EA551A"/>
    <w:rsid w:val="00EB179D"/>
    <w:rsid w:val="00EC10FF"/>
    <w:rsid w:val="00EC20FF"/>
    <w:rsid w:val="00EC2369"/>
    <w:rsid w:val="00EC4396"/>
    <w:rsid w:val="00EC4E33"/>
    <w:rsid w:val="00EC6295"/>
    <w:rsid w:val="00ED2FE1"/>
    <w:rsid w:val="00ED372C"/>
    <w:rsid w:val="00ED4357"/>
    <w:rsid w:val="00ED4F77"/>
    <w:rsid w:val="00EE370F"/>
    <w:rsid w:val="00EE5647"/>
    <w:rsid w:val="00EE5F41"/>
    <w:rsid w:val="00EE67E6"/>
    <w:rsid w:val="00EE6EFC"/>
    <w:rsid w:val="00EF0CB3"/>
    <w:rsid w:val="00EF1DCB"/>
    <w:rsid w:val="00EF3D85"/>
    <w:rsid w:val="00EF4248"/>
    <w:rsid w:val="00EF70BD"/>
    <w:rsid w:val="00EF7577"/>
    <w:rsid w:val="00EF768C"/>
    <w:rsid w:val="00F04A06"/>
    <w:rsid w:val="00F04B98"/>
    <w:rsid w:val="00F078CF"/>
    <w:rsid w:val="00F14F8C"/>
    <w:rsid w:val="00F150F0"/>
    <w:rsid w:val="00F15BFC"/>
    <w:rsid w:val="00F2084A"/>
    <w:rsid w:val="00F2503F"/>
    <w:rsid w:val="00F30A1E"/>
    <w:rsid w:val="00F312ED"/>
    <w:rsid w:val="00F33A28"/>
    <w:rsid w:val="00F354D2"/>
    <w:rsid w:val="00F35D1E"/>
    <w:rsid w:val="00F40369"/>
    <w:rsid w:val="00F40783"/>
    <w:rsid w:val="00F463E3"/>
    <w:rsid w:val="00F511FE"/>
    <w:rsid w:val="00F53193"/>
    <w:rsid w:val="00F5357E"/>
    <w:rsid w:val="00F601EC"/>
    <w:rsid w:val="00F61343"/>
    <w:rsid w:val="00F64AFC"/>
    <w:rsid w:val="00F6586C"/>
    <w:rsid w:val="00F66C62"/>
    <w:rsid w:val="00F73120"/>
    <w:rsid w:val="00F73793"/>
    <w:rsid w:val="00F74263"/>
    <w:rsid w:val="00F8015C"/>
    <w:rsid w:val="00F80396"/>
    <w:rsid w:val="00F827FA"/>
    <w:rsid w:val="00F84FE5"/>
    <w:rsid w:val="00F865A0"/>
    <w:rsid w:val="00F90649"/>
    <w:rsid w:val="00F91028"/>
    <w:rsid w:val="00F93285"/>
    <w:rsid w:val="00F94774"/>
    <w:rsid w:val="00F96B55"/>
    <w:rsid w:val="00F979E6"/>
    <w:rsid w:val="00F97D1F"/>
    <w:rsid w:val="00FA1661"/>
    <w:rsid w:val="00FA3F77"/>
    <w:rsid w:val="00FA4014"/>
    <w:rsid w:val="00FA5708"/>
    <w:rsid w:val="00FA5F4E"/>
    <w:rsid w:val="00FA663B"/>
    <w:rsid w:val="00FB0587"/>
    <w:rsid w:val="00FB120E"/>
    <w:rsid w:val="00FB45DB"/>
    <w:rsid w:val="00FB7D33"/>
    <w:rsid w:val="00FC28D6"/>
    <w:rsid w:val="00FC3E8D"/>
    <w:rsid w:val="00FC4BA7"/>
    <w:rsid w:val="00FC53DB"/>
    <w:rsid w:val="00FC6588"/>
    <w:rsid w:val="00FD278A"/>
    <w:rsid w:val="00FD4A2D"/>
    <w:rsid w:val="00FD4CCD"/>
    <w:rsid w:val="00FD6070"/>
    <w:rsid w:val="00FD70AE"/>
    <w:rsid w:val="00FD761E"/>
    <w:rsid w:val="00FE2EAF"/>
    <w:rsid w:val="00FE50A2"/>
    <w:rsid w:val="00FE51DB"/>
    <w:rsid w:val="00FE6672"/>
    <w:rsid w:val="00FE79A5"/>
    <w:rsid w:val="00FF0394"/>
    <w:rsid w:val="00FF0FF6"/>
    <w:rsid w:val="00FF6442"/>
    <w:rsid w:val="00FF79BE"/>
    <w:rsid w:val="00FF7C9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DAAC6FD"/>
  <w15:docId w15:val="{336E35E7-08F6-40BA-9C45-E33E5E6DF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211"/>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ru-RU"/>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ru-RU"/>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ru-RU"/>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ru-RU"/>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ru-RU"/>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ru-RU"/>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ru-RU"/>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ru-RU"/>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E09DA"/>
    <w:rPr>
      <w:rFonts w:ascii="Times New Roman" w:eastAsia="Times New Roman" w:hAnsi="Times New Roman" w:cs="Times New Roman"/>
      <w:sz w:val="18"/>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ru-RU"/>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ru-RU"/>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ru-RU"/>
    </w:rPr>
  </w:style>
  <w:style w:type="character" w:customStyle="1" w:styleId="Heading7Char">
    <w:name w:val="Heading 7 Char"/>
    <w:basedOn w:val="DefaultParagraphFont"/>
    <w:link w:val="Heading7"/>
    <w:rsid w:val="007E09DA"/>
    <w:rPr>
      <w:rFonts w:ascii="Univers" w:eastAsia="Times New Roman" w:hAnsi="Univers" w:cs="Times New Roman"/>
      <w:b/>
      <w:sz w:val="28"/>
      <w:lang w:val="ru-RU"/>
    </w:rPr>
  </w:style>
  <w:style w:type="character" w:customStyle="1" w:styleId="Heading8Char">
    <w:name w:val="Heading 8 Char"/>
    <w:basedOn w:val="DefaultParagraphFont"/>
    <w:link w:val="Heading8"/>
    <w:rsid w:val="007E09DA"/>
    <w:rPr>
      <w:rFonts w:ascii="Univers" w:eastAsia="Times New Roman" w:hAnsi="Univers" w:cs="Times New Roman"/>
      <w:b/>
      <w:sz w:val="32"/>
      <w:lang w:val="ru-RU"/>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ru-RU"/>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Colorful List - Accent 11"/>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77560"/>
    <w:pPr>
      <w:spacing w:after="160" w:line="240" w:lineRule="exact"/>
    </w:pPr>
    <w:rPr>
      <w:rFonts w:asciiTheme="minorHAnsi" w:eastAsiaTheme="minorEastAsia" w:hAnsiTheme="minorHAnsi" w:cstheme="minorBidi"/>
      <w:vertAlign w:val="superscript"/>
    </w:rPr>
  </w:style>
  <w:style w:type="character" w:customStyle="1" w:styleId="UnresolvedMention1">
    <w:name w:val="Unresolved Mention1"/>
    <w:basedOn w:val="DefaultParagraphFont"/>
    <w:uiPriority w:val="99"/>
    <w:semiHidden/>
    <w:unhideWhenUsed/>
    <w:rsid w:val="00E86DA3"/>
    <w:rPr>
      <w:color w:val="605E5C"/>
      <w:shd w:val="clear" w:color="auto" w:fill="E1DFDD"/>
    </w:rPr>
  </w:style>
  <w:style w:type="character" w:customStyle="1" w:styleId="ng-binding">
    <w:name w:val="ng-binding"/>
    <w:basedOn w:val="DefaultParagraphFont"/>
    <w:rsid w:val="00A3381A"/>
  </w:style>
  <w:style w:type="paragraph" w:styleId="CommentSubject">
    <w:name w:val="annotation subject"/>
    <w:basedOn w:val="CommentText"/>
    <w:next w:val="CommentText"/>
    <w:link w:val="CommentSubjectChar"/>
    <w:uiPriority w:val="99"/>
    <w:semiHidden/>
    <w:unhideWhenUsed/>
    <w:rsid w:val="00113E7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13E77"/>
    <w:rPr>
      <w:rFonts w:ascii="Times New Roman" w:eastAsia="Times New Roman" w:hAnsi="Times New Roman" w:cs="Times New Roman"/>
      <w:b/>
      <w:bCs/>
      <w:sz w:val="20"/>
      <w:szCs w:val="20"/>
      <w:lang w:val="ru-RU"/>
    </w:rPr>
  </w:style>
  <w:style w:type="paragraph" w:styleId="Revision">
    <w:name w:val="Revision"/>
    <w:hidden/>
    <w:uiPriority w:val="99"/>
    <w:semiHidden/>
    <w:rsid w:val="005A107A"/>
    <w:rPr>
      <w:rFonts w:ascii="Times New Roman" w:eastAsia="Times New Roman" w:hAnsi="Times New Roman" w:cs="Times New Roman"/>
      <w:sz w:val="22"/>
    </w:rPr>
  </w:style>
  <w:style w:type="paragraph" w:customStyle="1" w:styleId="paragraph">
    <w:name w:val="paragraph"/>
    <w:basedOn w:val="Normal"/>
    <w:rsid w:val="006A0AF6"/>
    <w:pPr>
      <w:spacing w:before="100" w:beforeAutospacing="1" w:after="100" w:afterAutospacing="1"/>
      <w:jc w:val="left"/>
    </w:pPr>
    <w:rPr>
      <w:sz w:val="24"/>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BodyText"/>
    <w:rsid w:val="001A77EF"/>
    <w:pPr>
      <w:ind w:firstLine="0"/>
      <w:jc w:val="center"/>
    </w:pPr>
    <w:rPr>
      <w:rFonts w:eastAsia="Malgun Gothic"/>
      <w:b/>
      <w:bCs/>
      <w:i/>
      <w:iCs w:val="0"/>
    </w:rPr>
  </w:style>
  <w:style w:type="paragraph" w:styleId="NormalWeb">
    <w:name w:val="Normal (Web)"/>
    <w:basedOn w:val="Normal"/>
    <w:uiPriority w:val="99"/>
    <w:semiHidden/>
    <w:unhideWhenUsed/>
    <w:rsid w:val="006D22E6"/>
    <w:rPr>
      <w:sz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2C4EF9"/>
    <w:rPr>
      <w:rFonts w:ascii="Times New Roman" w:eastAsia="Times New Roman" w:hAnsi="Times New Roman" w:cs="Times New Roman"/>
      <w:sz w:val="22"/>
    </w:rPr>
  </w:style>
  <w:style w:type="paragraph" w:styleId="BodyText3">
    <w:name w:val="Body Text 3"/>
    <w:basedOn w:val="Normal"/>
    <w:link w:val="BodyText3Char"/>
    <w:rsid w:val="00C16A5D"/>
    <w:rPr>
      <w:szCs w:val="20"/>
    </w:rPr>
  </w:style>
  <w:style w:type="character" w:customStyle="1" w:styleId="BodyText3Char">
    <w:name w:val="Body Text 3 Char"/>
    <w:basedOn w:val="DefaultParagraphFont"/>
    <w:link w:val="BodyText3"/>
    <w:rsid w:val="00C16A5D"/>
    <w:rPr>
      <w:rFonts w:ascii="Times New Roman" w:eastAsia="Times New Roman" w:hAnsi="Times New Roman"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890729189">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477408224">
      <w:bodyDiv w:val="1"/>
      <w:marLeft w:val="0"/>
      <w:marRight w:val="0"/>
      <w:marTop w:val="0"/>
      <w:marBottom w:val="0"/>
      <w:divBdr>
        <w:top w:val="none" w:sz="0" w:space="0" w:color="auto"/>
        <w:left w:val="none" w:sz="0" w:space="0" w:color="auto"/>
        <w:bottom w:val="none" w:sz="0" w:space="0" w:color="auto"/>
        <w:right w:val="none" w:sz="0" w:space="0" w:color="auto"/>
      </w:divBdr>
    </w:div>
    <w:div w:id="1555048321">
      <w:bodyDiv w:val="1"/>
      <w:marLeft w:val="0"/>
      <w:marRight w:val="0"/>
      <w:marTop w:val="0"/>
      <w:marBottom w:val="0"/>
      <w:divBdr>
        <w:top w:val="none" w:sz="0" w:space="0" w:color="auto"/>
        <w:left w:val="none" w:sz="0" w:space="0" w:color="auto"/>
        <w:bottom w:val="none" w:sz="0" w:space="0" w:color="auto"/>
        <w:right w:val="none" w:sz="0" w:space="0" w:color="auto"/>
      </w:divBdr>
      <w:divsChild>
        <w:div w:id="1762022939">
          <w:marLeft w:val="0"/>
          <w:marRight w:val="0"/>
          <w:marTop w:val="0"/>
          <w:marBottom w:val="0"/>
          <w:divBdr>
            <w:top w:val="none" w:sz="0" w:space="0" w:color="auto"/>
            <w:left w:val="none" w:sz="0" w:space="0" w:color="auto"/>
            <w:bottom w:val="none" w:sz="0" w:space="0" w:color="auto"/>
            <w:right w:val="none" w:sz="0" w:space="0" w:color="auto"/>
          </w:divBdr>
          <w:divsChild>
            <w:div w:id="402266647">
              <w:marLeft w:val="0"/>
              <w:marRight w:val="0"/>
              <w:marTop w:val="0"/>
              <w:marBottom w:val="0"/>
              <w:divBdr>
                <w:top w:val="none" w:sz="0" w:space="0" w:color="auto"/>
                <w:left w:val="none" w:sz="0" w:space="0" w:color="auto"/>
                <w:bottom w:val="none" w:sz="0" w:space="0" w:color="auto"/>
                <w:right w:val="none" w:sz="0" w:space="0" w:color="auto"/>
              </w:divBdr>
              <w:divsChild>
                <w:div w:id="7223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9392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2/cop-12-dec-25-ru.pdf"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4/cop-14-dec-36-ru.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02CDECEBBE68423BAFE5D22E476AC86E"/>
        <w:category>
          <w:name w:val="General"/>
          <w:gallery w:val="placeholder"/>
        </w:category>
        <w:types>
          <w:type w:val="bbPlcHdr"/>
        </w:types>
        <w:behaviors>
          <w:behavior w:val="content"/>
        </w:behaviors>
        <w:guid w:val="{F454F44A-8525-47C9-B5FC-58E62CA71B62}"/>
      </w:docPartPr>
      <w:docPartBody>
        <w:p w:rsidR="00DC3638" w:rsidRDefault="00D3331B" w:rsidP="00D3331B">
          <w:pPr>
            <w:pStyle w:val="02CDECEBBE68423BAFE5D22E476AC86E"/>
          </w:pPr>
          <w:r w:rsidRPr="00974E94">
            <w:rPr>
              <w:rStyle w:val="PlaceholderText"/>
            </w:rPr>
            <w:t>[Subject]</w:t>
          </w:r>
        </w:p>
      </w:docPartBody>
    </w:docPart>
    <w:docPart>
      <w:docPartPr>
        <w:name w:val="660D6DB86C594CDDB00E05713F6A9AD8"/>
        <w:category>
          <w:name w:val="General"/>
          <w:gallery w:val="placeholder"/>
        </w:category>
        <w:types>
          <w:type w:val="bbPlcHdr"/>
        </w:types>
        <w:behaviors>
          <w:behavior w:val="content"/>
        </w:behaviors>
        <w:guid w:val="{6B98F0B8-8D81-4D02-B3AB-C4EC1CF477C0}"/>
      </w:docPartPr>
      <w:docPartBody>
        <w:p w:rsidR="00DC3638" w:rsidRDefault="00D3331B" w:rsidP="00D3331B">
          <w:pPr>
            <w:pStyle w:val="660D6DB86C594CDDB00E05713F6A9AD8"/>
          </w:pPr>
          <w:r w:rsidRPr="009C3E23">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A22AD"/>
    <w:rsid w:val="00193D07"/>
    <w:rsid w:val="002811B7"/>
    <w:rsid w:val="002E7079"/>
    <w:rsid w:val="00403167"/>
    <w:rsid w:val="0043436B"/>
    <w:rsid w:val="0046422C"/>
    <w:rsid w:val="004760CF"/>
    <w:rsid w:val="004B5B88"/>
    <w:rsid w:val="004C6B43"/>
    <w:rsid w:val="004E092F"/>
    <w:rsid w:val="00500A2B"/>
    <w:rsid w:val="00527A0B"/>
    <w:rsid w:val="0058288D"/>
    <w:rsid w:val="005E1749"/>
    <w:rsid w:val="00600C6E"/>
    <w:rsid w:val="00665C6B"/>
    <w:rsid w:val="006801B3"/>
    <w:rsid w:val="00691311"/>
    <w:rsid w:val="006A37D6"/>
    <w:rsid w:val="006D6819"/>
    <w:rsid w:val="0072448C"/>
    <w:rsid w:val="00756E36"/>
    <w:rsid w:val="00810A55"/>
    <w:rsid w:val="008C6619"/>
    <w:rsid w:val="008D420E"/>
    <w:rsid w:val="008F2D6B"/>
    <w:rsid w:val="00943997"/>
    <w:rsid w:val="0098642F"/>
    <w:rsid w:val="009A1D33"/>
    <w:rsid w:val="009D1BE1"/>
    <w:rsid w:val="009F0D1F"/>
    <w:rsid w:val="00A01265"/>
    <w:rsid w:val="00AC50B3"/>
    <w:rsid w:val="00B06EB7"/>
    <w:rsid w:val="00B83D53"/>
    <w:rsid w:val="00B941B7"/>
    <w:rsid w:val="00C259ED"/>
    <w:rsid w:val="00C6793D"/>
    <w:rsid w:val="00C76B7C"/>
    <w:rsid w:val="00C8104B"/>
    <w:rsid w:val="00C8220E"/>
    <w:rsid w:val="00D31D12"/>
    <w:rsid w:val="00D3331B"/>
    <w:rsid w:val="00DC3638"/>
    <w:rsid w:val="00DC3CE5"/>
    <w:rsid w:val="00E86380"/>
    <w:rsid w:val="00EA693C"/>
    <w:rsid w:val="00F163FF"/>
    <w:rsid w:val="00F930B5"/>
    <w:rsid w:val="00FE37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B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3638"/>
    <w:rPr>
      <w:color w:val="808080"/>
    </w:rPr>
  </w:style>
  <w:style w:type="paragraph" w:customStyle="1" w:styleId="688EBD599A894732A0E6D61505851EF4">
    <w:name w:val="688EBD599A894732A0E6D61505851EF4"/>
    <w:rsid w:val="00DC3638"/>
    <w:pPr>
      <w:spacing w:after="160" w:line="259" w:lineRule="auto"/>
    </w:pPr>
    <w:rPr>
      <w:lang w:eastAsia="zh-CN"/>
    </w:rPr>
  </w:style>
  <w:style w:type="paragraph" w:customStyle="1" w:styleId="1A1F814894484704B14D1441C3FE32CB">
    <w:name w:val="1A1F814894484704B14D1441C3FE32CB"/>
    <w:rsid w:val="00DC3638"/>
    <w:pPr>
      <w:spacing w:after="160" w:line="259" w:lineRule="auto"/>
    </w:pPr>
    <w:rPr>
      <w:lang w:eastAsia="zh-CN"/>
    </w:rPr>
  </w:style>
  <w:style w:type="paragraph" w:customStyle="1" w:styleId="02CDECEBBE68423BAFE5D22E476AC86E">
    <w:name w:val="02CDECEBBE68423BAFE5D22E476AC86E"/>
    <w:rsid w:val="00D3331B"/>
    <w:pPr>
      <w:spacing w:after="160" w:line="259" w:lineRule="auto"/>
    </w:pPr>
    <w:rPr>
      <w:lang w:val="es-ES_tradnl" w:eastAsia="es-ES_tradnl"/>
    </w:rPr>
  </w:style>
  <w:style w:type="paragraph" w:customStyle="1" w:styleId="660D6DB86C594CDDB00E05713F6A9AD8">
    <w:name w:val="660D6DB86C594CDDB00E05713F6A9AD8"/>
    <w:rsid w:val="00D3331B"/>
    <w:pPr>
      <w:spacing w:after="160" w:line="259" w:lineRule="auto"/>
    </w:pPr>
    <w:rPr>
      <w:lang w:val="es-ES_tradnl" w:eastAsia="es-ES_trad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943789E7-98A9-4491-99F8-820B1C80F4DE}">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6D0A672A-88DE-4ECF-8E1B-47D841989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519</TotalTime>
  <Pages>13</Pages>
  <Words>4971</Words>
  <Characters>28339</Characters>
  <Application>Microsoft Office Word</Application>
  <DocSecurity>0</DocSecurity>
  <Lines>236</Lines>
  <Paragraphs>66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AnnotatIONS TO THE agenda (Part II)</vt:lpstr>
      <vt:lpstr>AnnotatIONS TO THE agenda (Part II)</vt:lpstr>
    </vt:vector>
  </TitlesOfParts>
  <Company>United Nations</Company>
  <LinksUpToDate>false</LinksUpToDate>
  <CharactersWithSpaces>33244</CharactersWithSpaces>
  <SharedDoc>false</SharedDoc>
  <HyperlinkBase>https://www.cbd.int/cop/</HyperlinkBase>
  <HLinks>
    <vt:vector size="66" baseType="variant">
      <vt:variant>
        <vt:i4>7274593</vt:i4>
      </vt:variant>
      <vt:variant>
        <vt:i4>30</vt:i4>
      </vt:variant>
      <vt:variant>
        <vt:i4>0</vt:i4>
      </vt:variant>
      <vt:variant>
        <vt:i4>5</vt:i4>
      </vt:variant>
      <vt:variant>
        <vt:lpwstr>https://www.cbd.int/decisions/cop/?m=cop-04</vt:lpwstr>
      </vt:variant>
      <vt:variant>
        <vt:lpwstr/>
      </vt:variant>
      <vt:variant>
        <vt:i4>852046</vt:i4>
      </vt:variant>
      <vt:variant>
        <vt:i4>27</vt:i4>
      </vt:variant>
      <vt:variant>
        <vt:i4>0</vt:i4>
      </vt:variant>
      <vt:variant>
        <vt:i4>5</vt:i4>
      </vt:variant>
      <vt:variant>
        <vt:lpwstr>https://www.cbd.int/doc/decisions/cop-01/cop-01-dec-06-en.pdf</vt:lpwstr>
      </vt:variant>
      <vt:variant>
        <vt:lpwstr/>
      </vt:variant>
      <vt:variant>
        <vt:i4>655438</vt:i4>
      </vt:variant>
      <vt:variant>
        <vt:i4>24</vt:i4>
      </vt:variant>
      <vt:variant>
        <vt:i4>0</vt:i4>
      </vt:variant>
      <vt:variant>
        <vt:i4>5</vt:i4>
      </vt:variant>
      <vt:variant>
        <vt:lpwstr>https://www.cbd.int/doc/decisions/cop-01/cop-01-dec-01-en.pdf</vt:lpwstr>
      </vt:variant>
      <vt:variant>
        <vt:lpwstr/>
      </vt:variant>
      <vt:variant>
        <vt:i4>7733296</vt:i4>
      </vt:variant>
      <vt:variant>
        <vt:i4>21</vt:i4>
      </vt:variant>
      <vt:variant>
        <vt:i4>0</vt:i4>
      </vt:variant>
      <vt:variant>
        <vt:i4>5</vt:i4>
      </vt:variant>
      <vt:variant>
        <vt:lpwstr>https://www.cbd.int/doc/decisions/np-mop-01/np-mop-01-dec-12-en.pdf</vt:lpwstr>
      </vt:variant>
      <vt:variant>
        <vt:lpwstr/>
      </vt:variant>
      <vt:variant>
        <vt:i4>655430</vt:i4>
      </vt:variant>
      <vt:variant>
        <vt:i4>18</vt:i4>
      </vt:variant>
      <vt:variant>
        <vt:i4>0</vt:i4>
      </vt:variant>
      <vt:variant>
        <vt:i4>5</vt:i4>
      </vt:variant>
      <vt:variant>
        <vt:lpwstr>https://www.cbd.int/doc/decisions/mop-07/mop-07-dec-09-en.pdf</vt:lpwstr>
      </vt:variant>
      <vt:variant>
        <vt:lpwstr/>
      </vt:variant>
      <vt:variant>
        <vt:i4>917582</vt:i4>
      </vt:variant>
      <vt:variant>
        <vt:i4>15</vt:i4>
      </vt:variant>
      <vt:variant>
        <vt:i4>0</vt:i4>
      </vt:variant>
      <vt:variant>
        <vt:i4>5</vt:i4>
      </vt:variant>
      <vt:variant>
        <vt:lpwstr>https://www.cbd.int/doc/decisions/cop-12/cop-12-dec-27-en.pdf</vt:lpwstr>
      </vt:variant>
      <vt:variant>
        <vt:lpwstr/>
      </vt:variant>
      <vt:variant>
        <vt:i4>524367</vt:i4>
      </vt:variant>
      <vt:variant>
        <vt:i4>12</vt:i4>
      </vt:variant>
      <vt:variant>
        <vt:i4>0</vt:i4>
      </vt:variant>
      <vt:variant>
        <vt:i4>5</vt:i4>
      </vt:variant>
      <vt:variant>
        <vt:lpwstr>https://www.cbd.int/doc/decisions/cop-12/cop-12-dec-31-en.pdf</vt:lpwstr>
      </vt:variant>
      <vt:variant>
        <vt:lpwstr/>
      </vt:variant>
      <vt:variant>
        <vt:i4>655438</vt:i4>
      </vt:variant>
      <vt:variant>
        <vt:i4>9</vt:i4>
      </vt:variant>
      <vt:variant>
        <vt:i4>0</vt:i4>
      </vt:variant>
      <vt:variant>
        <vt:i4>5</vt:i4>
      </vt:variant>
      <vt:variant>
        <vt:lpwstr>https://www.cbd.int/doc/decisions/cop-01/cop-01-dec-01-en.pdf</vt:lpwstr>
      </vt:variant>
      <vt:variant>
        <vt:lpwstr/>
      </vt:variant>
      <vt:variant>
        <vt:i4>720969</vt:i4>
      </vt:variant>
      <vt:variant>
        <vt:i4>6</vt:i4>
      </vt:variant>
      <vt:variant>
        <vt:i4>0</vt:i4>
      </vt:variant>
      <vt:variant>
        <vt:i4>5</vt:i4>
      </vt:variant>
      <vt:variant>
        <vt:lpwstr>https://www.cbd.int/doc/decisions/cop-14/cop-14-dec-34-en.pdf</vt:lpwstr>
      </vt:variant>
      <vt:variant>
        <vt:lpwstr/>
      </vt:variant>
      <vt:variant>
        <vt:i4>524367</vt:i4>
      </vt:variant>
      <vt:variant>
        <vt:i4>3</vt:i4>
      </vt:variant>
      <vt:variant>
        <vt:i4>0</vt:i4>
      </vt:variant>
      <vt:variant>
        <vt:i4>5</vt:i4>
      </vt:variant>
      <vt:variant>
        <vt:lpwstr>https://www.cbd.int/doc/decisions/cop-12/cop-12-dec-31-en.pdf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AnnotatIONS TO THE agenda (Part II)</dc:title>
  <dc:subject>CBD/COP/15/13</dc:subject>
  <dc:creator>SCBD</dc:creator>
  <cp:keywords>Convention on Biological Diversity, Conference of the Parties, fifteenth meeting, Kunming, China, 11-15 October 2021 and 25 April-8 May 2022</cp:keywords>
  <cp:lastModifiedBy>Xue He Yan</cp:lastModifiedBy>
  <cp:revision>29</cp:revision>
  <cp:lastPrinted>2022-10-11T13:56:00Z</cp:lastPrinted>
  <dcterms:created xsi:type="dcterms:W3CDTF">2022-11-15T11:52:00Z</dcterms:created>
  <dcterms:modified xsi:type="dcterms:W3CDTF">2022-11-15T21:51:00Z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