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1"/>
        <w:tblW w:w="5377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"/>
        <w:gridCol w:w="3845"/>
        <w:gridCol w:w="5244"/>
      </w:tblGrid>
      <w:tr w:rsidR="00A96B21" w:rsidRPr="00EA442C" w14:paraId="0D3E155F" w14:textId="77777777" w:rsidTr="00B864A4">
        <w:trPr>
          <w:trHeight w:val="851"/>
        </w:trPr>
        <w:tc>
          <w:tcPr>
            <w:tcW w:w="485" w:type="pct"/>
            <w:tcBorders>
              <w:bottom w:val="single" w:sz="8" w:space="0" w:color="auto"/>
            </w:tcBorders>
            <w:vAlign w:val="bottom"/>
          </w:tcPr>
          <w:p w14:paraId="37FA56E8" w14:textId="77777777" w:rsidR="00A96B21" w:rsidRPr="00550DCE" w:rsidRDefault="00A96B21" w:rsidP="00B60E5F">
            <w:pPr>
              <w:spacing w:after="120"/>
              <w:jc w:val="left"/>
            </w:pPr>
            <w:bookmarkStart w:id="0" w:name="_Hlk137651738"/>
            <w:r w:rsidRPr="00550DCE">
              <w:rPr>
                <w:noProof/>
                <w:lang w:eastAsia="fr-FR"/>
              </w:rPr>
              <w:drawing>
                <wp:inline distT="0" distB="0" distL="0" distR="0" wp14:anchorId="78489B90" wp14:editId="03F935D2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0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19E4CB87" w14:textId="77777777" w:rsidR="00A96B21" w:rsidRPr="00550DCE" w:rsidRDefault="00822FA2" w:rsidP="00B60E5F">
            <w:pPr>
              <w:spacing w:after="120"/>
              <w:jc w:val="left"/>
            </w:pPr>
            <w:r w:rsidRPr="00822FA2">
              <w:rPr>
                <w:noProof/>
                <w:lang w:eastAsia="fr-FR"/>
              </w:rPr>
              <w:drawing>
                <wp:inline distT="0" distB="0" distL="0" distR="0" wp14:anchorId="1484DF66" wp14:editId="6E7E47A8">
                  <wp:extent cx="593725" cy="340995"/>
                  <wp:effectExtent l="0" t="0" r="0" b="1905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072305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" cy="340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6" w:type="pct"/>
            <w:tcBorders>
              <w:bottom w:val="single" w:sz="8" w:space="0" w:color="auto"/>
            </w:tcBorders>
            <w:vAlign w:val="bottom"/>
          </w:tcPr>
          <w:p w14:paraId="7960AF9D" w14:textId="77777777" w:rsidR="005003C7" w:rsidRDefault="00DC3E28">
            <w:pPr>
              <w:spacing w:after="120"/>
              <w:ind w:left="2021"/>
              <w:jc w:val="right"/>
              <w:rPr>
                <w:szCs w:val="22"/>
              </w:rPr>
            </w:pPr>
            <w:r>
              <w:rPr>
                <w:sz w:val="40"/>
                <w:szCs w:val="40"/>
              </w:rPr>
              <w:t>CBD</w:t>
            </w:r>
            <w:r>
              <w:rPr>
                <w:szCs w:val="40"/>
              </w:rPr>
              <w:t>/COP/16/1</w:t>
            </w:r>
          </w:p>
        </w:tc>
      </w:tr>
      <w:tr w:rsidR="00A96B21" w:rsidRPr="00EA442C" w14:paraId="7ADB63ED" w14:textId="77777777" w:rsidTr="00B864A4">
        <w:tc>
          <w:tcPr>
            <w:tcW w:w="2394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21C6903E" w14:textId="77777777" w:rsidR="00A96B21" w:rsidRPr="00550DCE" w:rsidRDefault="00822FA2" w:rsidP="00B60E5F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F32592">
              <w:rPr>
                <w:bCs/>
                <w:noProof/>
                <w:lang w:eastAsia="fr-FR"/>
              </w:rPr>
              <w:drawing>
                <wp:inline distT="0" distB="0" distL="0" distR="0" wp14:anchorId="487AF7BD" wp14:editId="626F16C2">
                  <wp:extent cx="2857500" cy="1076325"/>
                  <wp:effectExtent l="0" t="0" r="0" b="9525"/>
                  <wp:docPr id="5" name="Picture 5" descr="CBD_logo_fr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BD_logo_fr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6" w:type="pct"/>
            <w:tcBorders>
              <w:top w:val="single" w:sz="8" w:space="0" w:color="auto"/>
              <w:bottom w:val="single" w:sz="12" w:space="0" w:color="auto"/>
            </w:tcBorders>
          </w:tcPr>
          <w:p w14:paraId="59984CE0" w14:textId="77777777" w:rsidR="005003C7" w:rsidRDefault="00894D8B">
            <w:pPr>
              <w:ind w:left="258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Distr. : g</w:t>
            </w:r>
            <w:r w:rsidR="00DC3E28">
              <w:rPr>
                <w:sz w:val="22"/>
                <w:szCs w:val="22"/>
              </w:rPr>
              <w:t>énéral</w:t>
            </w:r>
            <w:r>
              <w:rPr>
                <w:sz w:val="22"/>
                <w:szCs w:val="22"/>
              </w:rPr>
              <w:t>e</w:t>
            </w:r>
          </w:p>
          <w:p w14:paraId="42CA099D" w14:textId="77777777" w:rsidR="005003C7" w:rsidRDefault="00894D8B">
            <w:pPr>
              <w:ind w:left="258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j</w:t>
            </w:r>
            <w:r w:rsidR="00DC3E28">
              <w:rPr>
                <w:sz w:val="22"/>
                <w:szCs w:val="22"/>
              </w:rPr>
              <w:t>uin 2024</w:t>
            </w:r>
          </w:p>
          <w:p w14:paraId="2B9E0E8F" w14:textId="77777777" w:rsidR="00894D8B" w:rsidRDefault="00894D8B">
            <w:pPr>
              <w:ind w:left="258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Français</w:t>
            </w:r>
          </w:p>
          <w:p w14:paraId="69A15E29" w14:textId="77777777" w:rsidR="005003C7" w:rsidRDefault="00DC3E28">
            <w:pPr>
              <w:ind w:left="258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Original : anglais</w:t>
            </w:r>
          </w:p>
          <w:p w14:paraId="6EA63F68" w14:textId="77777777" w:rsidR="00A96B21" w:rsidRPr="00550DCE" w:rsidRDefault="00A96B21" w:rsidP="00B60E5F"/>
        </w:tc>
      </w:tr>
    </w:tbl>
    <w:p w14:paraId="4D95718F" w14:textId="77777777" w:rsidR="005003C7" w:rsidRDefault="00DC3E28">
      <w:pPr>
        <w:pStyle w:val="Cornernotation"/>
        <w:ind w:left="0" w:right="5249" w:firstLine="0"/>
        <w:rPr>
          <w:bCs/>
        </w:rPr>
      </w:pPr>
      <w:r>
        <w:rPr>
          <w:bCs/>
        </w:rPr>
        <w:t>Conférence des Parties à la Convention sur la diversité biologique</w:t>
      </w:r>
    </w:p>
    <w:p w14:paraId="79325B87" w14:textId="77777777" w:rsidR="005003C7" w:rsidRDefault="00DC3E28">
      <w:pPr>
        <w:pStyle w:val="Cornernotation"/>
        <w:rPr>
          <w:bCs/>
          <w:sz w:val="22"/>
        </w:rPr>
      </w:pPr>
      <w:r>
        <w:rPr>
          <w:bCs/>
          <w:sz w:val="22"/>
        </w:rPr>
        <w:t>Seizième réunion</w:t>
      </w:r>
    </w:p>
    <w:p w14:paraId="1BEE4F6B" w14:textId="77777777" w:rsidR="005003C7" w:rsidRDefault="00DC3E28">
      <w:pPr>
        <w:pStyle w:val="Venuedate"/>
      </w:pPr>
      <w:r>
        <w:t>Cali, Colombie, 21 octobre</w:t>
      </w:r>
      <w:r w:rsidR="009D3077" w:rsidRPr="009D3077">
        <w:t>–</w:t>
      </w:r>
      <w:r>
        <w:t>1</w:t>
      </w:r>
      <w:r w:rsidRPr="00894D8B">
        <w:rPr>
          <w:vertAlign w:val="superscript"/>
        </w:rPr>
        <w:t>er</w:t>
      </w:r>
      <w:r>
        <w:t xml:space="preserve"> novembre 2024</w:t>
      </w:r>
    </w:p>
    <w:bookmarkEnd w:id="0"/>
    <w:p w14:paraId="20697BA3" w14:textId="77777777" w:rsidR="005003C7" w:rsidRDefault="00DC3E28">
      <w:pPr>
        <w:pStyle w:val="CBDTitle"/>
      </w:pPr>
      <w:r>
        <w:t>Ordre du jour provisoire</w:t>
      </w:r>
    </w:p>
    <w:p w14:paraId="09B8E5CC" w14:textId="77777777" w:rsidR="005003C7" w:rsidRDefault="00DC3E28">
      <w:pPr>
        <w:pStyle w:val="Para1"/>
      </w:pPr>
      <w:r>
        <w:t>Ouverture de la réunion.</w:t>
      </w:r>
    </w:p>
    <w:p w14:paraId="155484D3" w14:textId="77777777" w:rsidR="005003C7" w:rsidRDefault="00DC3E28">
      <w:pPr>
        <w:pStyle w:val="Para1"/>
      </w:pPr>
      <w:r>
        <w:t>Questions d</w:t>
      </w:r>
      <w:r w:rsidR="009D3077">
        <w:t>’</w:t>
      </w:r>
      <w:r>
        <w:t>organisation.</w:t>
      </w:r>
    </w:p>
    <w:p w14:paraId="66785197" w14:textId="77777777" w:rsidR="005003C7" w:rsidRDefault="00DC3E28">
      <w:pPr>
        <w:pStyle w:val="Para1"/>
        <w:ind w:left="1134" w:hanging="567"/>
      </w:pPr>
      <w:r>
        <w:t>Rapport</w:t>
      </w:r>
      <w:r w:rsidR="00EE1B30">
        <w:t xml:space="preserve"> sur les pouvoirs des représenta</w:t>
      </w:r>
      <w:r>
        <w:t>nts à la seizième réunion de la Conférence des Parties.</w:t>
      </w:r>
    </w:p>
    <w:p w14:paraId="30DEFDE0" w14:textId="77777777" w:rsidR="005003C7" w:rsidRDefault="00EE1B30">
      <w:pPr>
        <w:pStyle w:val="Para1"/>
      </w:pPr>
      <w:r>
        <w:t xml:space="preserve">Questions en </w:t>
      </w:r>
      <w:r w:rsidR="00894D8B">
        <w:t>suspens</w:t>
      </w:r>
      <w:r w:rsidR="00DC3E28">
        <w:t>.</w:t>
      </w:r>
    </w:p>
    <w:p w14:paraId="75BE430D" w14:textId="77777777" w:rsidR="005003C7" w:rsidRDefault="00DC3E28">
      <w:pPr>
        <w:pStyle w:val="Para1"/>
      </w:pPr>
      <w:r>
        <w:t>Date et lieu des futures réunions de la Conférence des Parties.</w:t>
      </w:r>
    </w:p>
    <w:p w14:paraId="1F1F5145" w14:textId="77777777" w:rsidR="005003C7" w:rsidRDefault="00DC3E28">
      <w:pPr>
        <w:pStyle w:val="Para1"/>
      </w:pPr>
      <w:r>
        <w:t>Rapports des réunions préparatoires intersessions et régionales.</w:t>
      </w:r>
    </w:p>
    <w:p w14:paraId="0F7D8E2C" w14:textId="77777777" w:rsidR="005003C7" w:rsidRDefault="00DC3E28">
      <w:pPr>
        <w:pStyle w:val="Para1"/>
      </w:pPr>
      <w:r>
        <w:t>Administration de la Convention et budget des fonds d</w:t>
      </w:r>
      <w:r w:rsidR="009D3077">
        <w:t>’</w:t>
      </w:r>
      <w:r>
        <w:t>affectation spéciale.</w:t>
      </w:r>
    </w:p>
    <w:p w14:paraId="5EC3FA1C" w14:textId="77777777" w:rsidR="005003C7" w:rsidRDefault="00DC3E28">
      <w:pPr>
        <w:pStyle w:val="Para1"/>
        <w:ind w:left="1134" w:hanging="567"/>
      </w:pPr>
      <w:r>
        <w:t>Progrès accomplis dans l</w:t>
      </w:r>
      <w:r w:rsidR="009D3077">
        <w:t>’élaboration des cibles</w:t>
      </w:r>
      <w:r>
        <w:t xml:space="preserve"> et la mise à jour des stratégies et plans d</w:t>
      </w:r>
      <w:r w:rsidR="009D3077">
        <w:t>’action nationaux pour</w:t>
      </w:r>
      <w:r>
        <w:t xml:space="preserve"> la diversité biologique par les Parties conformément au Cadre mondial de</w:t>
      </w:r>
      <w:r w:rsidR="009D3077">
        <w:t xml:space="preserve"> la biodiversité de</w:t>
      </w:r>
      <w:r>
        <w:t xml:space="preserve"> Kunming-Montr</w:t>
      </w:r>
      <w:r w:rsidR="009D3077">
        <w:t>éal</w:t>
      </w:r>
      <w:r>
        <w:t>.</w:t>
      </w:r>
    </w:p>
    <w:p w14:paraId="1F5EF2FE" w14:textId="77777777" w:rsidR="005003C7" w:rsidRDefault="009D3077">
      <w:pPr>
        <w:pStyle w:val="Para1"/>
      </w:pPr>
      <w:r>
        <w:t>Information de séquençage numérique sur l</w:t>
      </w:r>
      <w:r w:rsidR="00DC3E28">
        <w:t>es ressources génétiques.</w:t>
      </w:r>
    </w:p>
    <w:p w14:paraId="189CC68E" w14:textId="77777777" w:rsidR="005003C7" w:rsidRDefault="00DC3E28">
      <w:pPr>
        <w:pStyle w:val="Para1"/>
      </w:pPr>
      <w:r>
        <w:t>Mécanismes de planification, de suivi, d</w:t>
      </w:r>
      <w:r w:rsidR="009D3077">
        <w:t>’</w:t>
      </w:r>
      <w:r>
        <w:t>établissement de rapports et d</w:t>
      </w:r>
      <w:r w:rsidR="009D3077">
        <w:t>’</w:t>
      </w:r>
      <w:r>
        <w:t>examen.</w:t>
      </w:r>
    </w:p>
    <w:p w14:paraId="5179E59D" w14:textId="77777777" w:rsidR="005003C7" w:rsidRDefault="00DC3E28">
      <w:pPr>
        <w:pStyle w:val="Para1"/>
      </w:pPr>
      <w:r>
        <w:t xml:space="preserve">Mobilisation des ressources et mécanisme </w:t>
      </w:r>
      <w:r w:rsidR="009D3077">
        <w:t>de financement</w:t>
      </w:r>
      <w:r>
        <w:t>.</w:t>
      </w:r>
    </w:p>
    <w:p w14:paraId="4C6AA26F" w14:textId="77777777" w:rsidR="005003C7" w:rsidRDefault="00DC3E28">
      <w:pPr>
        <w:pStyle w:val="Para1"/>
        <w:ind w:left="1134" w:hanging="567"/>
      </w:pPr>
      <w:r>
        <w:t xml:space="preserve">Renforcement </w:t>
      </w:r>
      <w:r w:rsidR="009D3077">
        <w:t>et développement des capacités</w:t>
      </w:r>
      <w:r>
        <w:t>, coopération technique et scientifique, centre d</w:t>
      </w:r>
      <w:r w:rsidR="009D3077">
        <w:t>’</w:t>
      </w:r>
      <w:r>
        <w:t>échange</w:t>
      </w:r>
      <w:r w:rsidR="009D3077">
        <w:t xml:space="preserve"> d’information</w:t>
      </w:r>
      <w:r>
        <w:t xml:space="preserve"> et gestion des connaissances.</w:t>
      </w:r>
    </w:p>
    <w:p w14:paraId="31E65378" w14:textId="77777777" w:rsidR="005003C7" w:rsidRDefault="00893BFB">
      <w:pPr>
        <w:pStyle w:val="Para1"/>
        <w:ind w:left="1134" w:hanging="567"/>
      </w:pPr>
      <w:r>
        <w:rPr>
          <w:kern w:val="22"/>
        </w:rPr>
        <w:t>Coopération avec d</w:t>
      </w:r>
      <w:r w:rsidR="00DC3E28">
        <w:rPr>
          <w:kern w:val="22"/>
        </w:rPr>
        <w:t>es organisations</w:t>
      </w:r>
      <w:r>
        <w:rPr>
          <w:kern w:val="22"/>
        </w:rPr>
        <w:t xml:space="preserve"> internationales</w:t>
      </w:r>
      <w:r w:rsidR="00DC3E28">
        <w:rPr>
          <w:kern w:val="22"/>
        </w:rPr>
        <w:t xml:space="preserve"> et </w:t>
      </w:r>
      <w:r>
        <w:rPr>
          <w:kern w:val="22"/>
        </w:rPr>
        <w:t xml:space="preserve">des organismes </w:t>
      </w:r>
      <w:r w:rsidR="00DC3E28">
        <w:rPr>
          <w:kern w:val="22"/>
        </w:rPr>
        <w:t>créés en vertu d</w:t>
      </w:r>
      <w:r w:rsidR="009D3077">
        <w:rPr>
          <w:kern w:val="22"/>
        </w:rPr>
        <w:t>’</w:t>
      </w:r>
      <w:r w:rsidR="00DC3E28">
        <w:rPr>
          <w:kern w:val="22"/>
        </w:rPr>
        <w:t>autres conventions.</w:t>
      </w:r>
    </w:p>
    <w:p w14:paraId="6C1CDF95" w14:textId="77777777" w:rsidR="005003C7" w:rsidRDefault="009D3077">
      <w:pPr>
        <w:pStyle w:val="Para1"/>
      </w:pPr>
      <w:r>
        <w:t>Application</w:t>
      </w:r>
      <w:r w:rsidR="00DC3E28">
        <w:t xml:space="preserve"> de l</w:t>
      </w:r>
      <w:r>
        <w:t>’article 8 j)</w:t>
      </w:r>
      <w:r w:rsidR="00DC3E28">
        <w:t xml:space="preserve"> et des dispositions connexes.</w:t>
      </w:r>
    </w:p>
    <w:p w14:paraId="2ABA51CA" w14:textId="77777777" w:rsidR="005003C7" w:rsidRDefault="009D3077">
      <w:pPr>
        <w:pStyle w:val="Para1"/>
      </w:pPr>
      <w:r>
        <w:t>Communication</w:t>
      </w:r>
      <w:r w:rsidR="00DC3E28">
        <w:t>, éducation et sensibilisation du public.</w:t>
      </w:r>
    </w:p>
    <w:p w14:paraId="48E07332" w14:textId="77777777" w:rsidR="005003C7" w:rsidRDefault="00DC3E28">
      <w:pPr>
        <w:pStyle w:val="Para1"/>
        <w:ind w:left="1134" w:hanging="567"/>
      </w:pPr>
      <w:r>
        <w:t>Besoins scientifiques et techniques pour appuyer la mise en œuvre du Cadre mondial de la biodiversité de Kunming-Montréal, y compris ses incidences sur les programmes de travail de la Convention.</w:t>
      </w:r>
    </w:p>
    <w:p w14:paraId="65B02392" w14:textId="77777777" w:rsidR="005003C7" w:rsidRDefault="00DC3E28">
      <w:pPr>
        <w:pStyle w:val="Para1"/>
      </w:pPr>
      <w:r>
        <w:t>Intégration de la biodiversité dans et entre les secteurs.</w:t>
      </w:r>
    </w:p>
    <w:p w14:paraId="31519326" w14:textId="42B82B26" w:rsidR="005003C7" w:rsidRDefault="00E36ABC">
      <w:pPr>
        <w:pStyle w:val="Para1"/>
      </w:pPr>
      <w:r>
        <w:t>V</w:t>
      </w:r>
      <w:r w:rsidR="009D3077">
        <w:t>aleurs</w:t>
      </w:r>
      <w:r w:rsidR="009626FE">
        <w:t xml:space="preserve"> </w:t>
      </w:r>
      <w:r>
        <w:t xml:space="preserve">diverses </w:t>
      </w:r>
      <w:r w:rsidR="00DC3E28">
        <w:t>de la biodiversité.</w:t>
      </w:r>
    </w:p>
    <w:p w14:paraId="2186DCFE" w14:textId="235AF0E8" w:rsidR="005003C7" w:rsidRDefault="00E36ABC">
      <w:pPr>
        <w:pStyle w:val="Para1"/>
      </w:pPr>
      <w:r>
        <w:t>G</w:t>
      </w:r>
      <w:r w:rsidR="00DC3E28">
        <w:t>estion durable de la faune sauvage.</w:t>
      </w:r>
    </w:p>
    <w:p w14:paraId="4DD8BAFD" w14:textId="6D564652" w:rsidR="005003C7" w:rsidRDefault="00E36ABC">
      <w:pPr>
        <w:pStyle w:val="Para1"/>
      </w:pPr>
      <w:r>
        <w:t>B</w:t>
      </w:r>
      <w:r w:rsidR="009626FE">
        <w:t xml:space="preserve">iodiversité marine et côtière, </w:t>
      </w:r>
      <w:r w:rsidR="00DC3E28">
        <w:t>et biodiversité insulaire.</w:t>
      </w:r>
    </w:p>
    <w:p w14:paraId="0E8A5707" w14:textId="7533C497" w:rsidR="005003C7" w:rsidRDefault="00E36ABC">
      <w:pPr>
        <w:pStyle w:val="Para1"/>
      </w:pPr>
      <w:r>
        <w:lastRenderedPageBreak/>
        <w:t>E</w:t>
      </w:r>
      <w:r w:rsidR="00DC3E28">
        <w:t>spèces exotiques envahissantes.</w:t>
      </w:r>
    </w:p>
    <w:p w14:paraId="6C395639" w14:textId="3AD0985B" w:rsidR="005003C7" w:rsidRDefault="00E36ABC">
      <w:pPr>
        <w:pStyle w:val="Para1"/>
      </w:pPr>
      <w:r>
        <w:t>B</w:t>
      </w:r>
      <w:r w:rsidR="00DC3E28">
        <w:t>iodiversité et santé.</w:t>
      </w:r>
    </w:p>
    <w:p w14:paraId="6EADA8C3" w14:textId="77A5F3B1" w:rsidR="005003C7" w:rsidRDefault="00E36ABC">
      <w:pPr>
        <w:pStyle w:val="Para1"/>
      </w:pPr>
      <w:r>
        <w:t>C</w:t>
      </w:r>
      <w:r w:rsidR="00DC3E28">
        <w:t>onservation des plantes.</w:t>
      </w:r>
    </w:p>
    <w:p w14:paraId="17303BCD" w14:textId="1563CA08" w:rsidR="005003C7" w:rsidRDefault="00E36ABC">
      <w:pPr>
        <w:pStyle w:val="Para1"/>
      </w:pPr>
      <w:r>
        <w:t>B</w:t>
      </w:r>
      <w:r w:rsidR="00DC3E28">
        <w:t xml:space="preserve">iologie </w:t>
      </w:r>
      <w:r w:rsidR="009626FE">
        <w:t>de synthès</w:t>
      </w:r>
      <w:r w:rsidR="00DC3E28">
        <w:t>e.</w:t>
      </w:r>
    </w:p>
    <w:p w14:paraId="3072DDCC" w14:textId="3966FA17" w:rsidR="005003C7" w:rsidRDefault="00E36ABC">
      <w:pPr>
        <w:pStyle w:val="Para1"/>
      </w:pPr>
      <w:r>
        <w:t>B</w:t>
      </w:r>
      <w:r w:rsidR="00DC3E28">
        <w:t>iodiversité et changement</w:t>
      </w:r>
      <w:r>
        <w:t>s</w:t>
      </w:r>
      <w:r w:rsidR="00DC3E28">
        <w:t xml:space="preserve"> climatique</w:t>
      </w:r>
      <w:r>
        <w:t>s</w:t>
      </w:r>
      <w:r w:rsidR="00DC3E28">
        <w:t>.</w:t>
      </w:r>
    </w:p>
    <w:p w14:paraId="41B3A909" w14:textId="77777777" w:rsidR="005003C7" w:rsidRDefault="00DC3E28">
      <w:pPr>
        <w:pStyle w:val="Para1"/>
      </w:pPr>
      <w:r>
        <w:t>Responsabilité et réparation (</w:t>
      </w:r>
      <w:r w:rsidR="009626FE">
        <w:t>paragraphe 2 de l’article 14</w:t>
      </w:r>
      <w:r>
        <w:t>).</w:t>
      </w:r>
    </w:p>
    <w:p w14:paraId="24689484" w14:textId="77777777" w:rsidR="005003C7" w:rsidRPr="00894D8B" w:rsidRDefault="00DC3E28">
      <w:pPr>
        <w:pStyle w:val="Para1"/>
      </w:pPr>
      <w:r>
        <w:t>Examen de l</w:t>
      </w:r>
      <w:r w:rsidR="009D3077">
        <w:t>’</w:t>
      </w:r>
      <w:r>
        <w:t>efficacité des processus relevant de la Convention et de ses Protocoles.</w:t>
      </w:r>
    </w:p>
    <w:p w14:paraId="5B16420D" w14:textId="77777777" w:rsidR="005003C7" w:rsidRPr="00894D8B" w:rsidRDefault="00DC3E28">
      <w:pPr>
        <w:pStyle w:val="Para1"/>
      </w:pPr>
      <w:r>
        <w:t>Programme de travail pluriannuel de la Conférence des Parties.</w:t>
      </w:r>
    </w:p>
    <w:p w14:paraId="7FF0CC1A" w14:textId="77777777" w:rsidR="005003C7" w:rsidRDefault="009626FE">
      <w:pPr>
        <w:pStyle w:val="Para1"/>
      </w:pPr>
      <w:r>
        <w:t>Q</w:t>
      </w:r>
      <w:r w:rsidR="00DC3E28">
        <w:t>uestions</w:t>
      </w:r>
      <w:r>
        <w:t xml:space="preserve"> diverses</w:t>
      </w:r>
      <w:r w:rsidR="00DC3E28">
        <w:t>.</w:t>
      </w:r>
    </w:p>
    <w:p w14:paraId="53D30A6A" w14:textId="77777777" w:rsidR="005003C7" w:rsidRDefault="00DC3E28">
      <w:pPr>
        <w:pStyle w:val="Para1"/>
      </w:pPr>
      <w:r>
        <w:t>Adoption du rapport.</w:t>
      </w:r>
    </w:p>
    <w:p w14:paraId="62435FD8" w14:textId="77777777" w:rsidR="005003C7" w:rsidRDefault="00DC3E28">
      <w:pPr>
        <w:pStyle w:val="Para1"/>
      </w:pPr>
      <w:r>
        <w:t>Clôture de la réunion.</w:t>
      </w:r>
    </w:p>
    <w:p w14:paraId="4DC0CB6B" w14:textId="77777777" w:rsidR="005003C7" w:rsidRDefault="00DC3E28">
      <w:pPr>
        <w:pStyle w:val="Para1"/>
        <w:numPr>
          <w:ilvl w:val="0"/>
          <w:numId w:val="0"/>
        </w:numPr>
        <w:ind w:left="567"/>
        <w:jc w:val="center"/>
      </w:pPr>
      <w:r>
        <w:t>_________</w:t>
      </w:r>
    </w:p>
    <w:sectPr w:rsidR="005003C7" w:rsidSect="00341026">
      <w:headerReference w:type="even" r:id="rId13"/>
      <w:headerReference w:type="default" r:id="rId14"/>
      <w:footerReference w:type="even" r:id="rId15"/>
      <w:footerReference w:type="default" r:id="rId16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92417F" w14:textId="77777777" w:rsidR="007C0BB2" w:rsidRDefault="007C0BB2">
      <w:r>
        <w:separator/>
      </w:r>
    </w:p>
  </w:endnote>
  <w:endnote w:type="continuationSeparator" w:id="0">
    <w:p w14:paraId="02C053DF" w14:textId="77777777" w:rsidR="007C0BB2" w:rsidRDefault="007C0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1660355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5D7BFD46" w14:textId="77777777" w:rsidR="005003C7" w:rsidRDefault="00DC3E28">
            <w:pPr>
              <w:pStyle w:val="Footer"/>
            </w:pP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 w:rsidR="00893BFB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  <w:r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 w:rsidR="00893BFB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6451193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F840760" w14:textId="77777777" w:rsidR="005003C7" w:rsidRDefault="00DC3E28">
            <w:pPr>
              <w:pStyle w:val="Footer"/>
              <w:jc w:val="right"/>
            </w:pP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  <w:r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DD588D" w14:textId="77777777" w:rsidR="007C0BB2" w:rsidRDefault="007C0BB2">
      <w:r>
        <w:separator/>
      </w:r>
    </w:p>
  </w:footnote>
  <w:footnote w:type="continuationSeparator" w:id="0">
    <w:p w14:paraId="5C36E743" w14:textId="77777777" w:rsidR="007C0BB2" w:rsidRDefault="007C0B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1" w:name="_Hlk137802784"/>
  <w:bookmarkStart w:id="2" w:name="_Hlk137802785"/>
  <w:p w14:paraId="23EE4BE3" w14:textId="77777777" w:rsidR="005003C7" w:rsidRDefault="00DC3E28">
    <w:pPr>
      <w:pStyle w:val="Header"/>
      <w:spacing w:after="240"/>
    </w:pPr>
    <w:r>
      <w:rPr>
        <w:szCs w:val="20"/>
      </w:rPr>
      <w:fldChar w:fldCharType="begin"/>
    </w:r>
    <w:r>
      <w:rPr>
        <w:szCs w:val="20"/>
      </w:rPr>
      <w:instrText xml:space="preserve"> HYPERLINK \h </w:instrText>
    </w:r>
    <w:r>
      <w:rPr>
        <w:szCs w:val="20"/>
      </w:rPr>
    </w:r>
    <w:r>
      <w:rPr>
        <w:szCs w:val="20"/>
      </w:rPr>
      <w:fldChar w:fldCharType="separate"/>
    </w:r>
    <w:r>
      <w:rPr>
        <w:szCs w:val="20"/>
      </w:rPr>
      <w:t>CBD/COP/16/1</w:t>
    </w:r>
    <w:r>
      <w:rPr>
        <w:szCs w:val="20"/>
      </w:rPr>
      <w:fldChar w:fldCharType="end"/>
    </w:r>
    <w:bookmarkEnd w:id="1"/>
    <w:bookmarkEnd w:id="2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06B95FF6" w14:textId="77777777" w:rsidR="005003C7" w:rsidRDefault="00DC3E28">
        <w:pPr>
          <w:pStyle w:val="Header"/>
          <w:spacing w:after="240"/>
          <w:jc w:val="right"/>
          <w:rPr>
            <w:szCs w:val="20"/>
          </w:rPr>
        </w:pPr>
        <w:r>
          <w:rPr>
            <w:szCs w:val="20"/>
          </w:rPr>
          <w:t>CBD/COP/16/1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" w15:restartNumberingAfterBreak="0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67961CE"/>
    <w:multiLevelType w:val="hybridMultilevel"/>
    <w:tmpl w:val="053E7C0E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6" w15:restartNumberingAfterBreak="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99F7710"/>
    <w:multiLevelType w:val="hybridMultilevel"/>
    <w:tmpl w:val="863C2618"/>
    <w:lvl w:ilvl="0" w:tplc="3DF441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943BEE"/>
    <w:multiLevelType w:val="multilevel"/>
    <w:tmpl w:val="96C47404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9" w15:restartNumberingAfterBreak="0">
    <w:nsid w:val="5E180578"/>
    <w:multiLevelType w:val="hybridMultilevel"/>
    <w:tmpl w:val="251AB796"/>
    <w:lvl w:ilvl="0" w:tplc="8862B882">
      <w:start w:val="1"/>
      <w:numFmt w:val="lowerLetter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0" w15:restartNumberingAfterBreak="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8B70991"/>
    <w:multiLevelType w:val="hybridMultilevel"/>
    <w:tmpl w:val="900A58B2"/>
    <w:lvl w:ilvl="0" w:tplc="1EF4DB82">
      <w:start w:val="1"/>
      <w:numFmt w:val="decimal"/>
      <w:pStyle w:val="Para1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6FF7321D"/>
    <w:multiLevelType w:val="multilevel"/>
    <w:tmpl w:val="16C6F6D4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15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BFF494A"/>
    <w:multiLevelType w:val="hybridMultilevel"/>
    <w:tmpl w:val="B8C27F8A"/>
    <w:lvl w:ilvl="0" w:tplc="48DEED9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2005855">
    <w:abstractNumId w:val="4"/>
  </w:num>
  <w:num w:numId="2" w16cid:durableId="1444693154">
    <w:abstractNumId w:val="12"/>
  </w:num>
  <w:num w:numId="3" w16cid:durableId="2020884055">
    <w:abstractNumId w:val="15"/>
  </w:num>
  <w:num w:numId="4" w16cid:durableId="1479230525">
    <w:abstractNumId w:val="0"/>
  </w:num>
  <w:num w:numId="5" w16cid:durableId="460657390">
    <w:abstractNumId w:val="1"/>
  </w:num>
  <w:num w:numId="6" w16cid:durableId="1510868288">
    <w:abstractNumId w:val="1"/>
  </w:num>
  <w:num w:numId="7" w16cid:durableId="786701136">
    <w:abstractNumId w:val="3"/>
  </w:num>
  <w:num w:numId="8" w16cid:durableId="23790940">
    <w:abstractNumId w:val="7"/>
  </w:num>
  <w:num w:numId="9" w16cid:durableId="1770201299">
    <w:abstractNumId w:val="11"/>
  </w:num>
  <w:num w:numId="10" w16cid:durableId="1107895382">
    <w:abstractNumId w:val="10"/>
  </w:num>
  <w:num w:numId="11" w16cid:durableId="382022066">
    <w:abstractNumId w:val="6"/>
  </w:num>
  <w:num w:numId="12" w16cid:durableId="1527675954">
    <w:abstractNumId w:val="2"/>
  </w:num>
  <w:num w:numId="13" w16cid:durableId="1262495604">
    <w:abstractNumId w:val="2"/>
    <w:lvlOverride w:ilvl="0">
      <w:startOverride w:val="1"/>
    </w:lvlOverride>
  </w:num>
  <w:num w:numId="14" w16cid:durableId="1990939364">
    <w:abstractNumId w:val="9"/>
  </w:num>
  <w:num w:numId="15" w16cid:durableId="1944074652">
    <w:abstractNumId w:val="9"/>
    <w:lvlOverride w:ilvl="0">
      <w:startOverride w:val="1"/>
    </w:lvlOverride>
  </w:num>
  <w:num w:numId="16" w16cid:durableId="487210159">
    <w:abstractNumId w:val="12"/>
    <w:lvlOverride w:ilvl="0">
      <w:startOverride w:val="1"/>
    </w:lvlOverride>
  </w:num>
  <w:num w:numId="17" w16cid:durableId="2134396106">
    <w:abstractNumId w:val="9"/>
    <w:lvlOverride w:ilvl="0">
      <w:startOverride w:val="1"/>
    </w:lvlOverride>
  </w:num>
  <w:num w:numId="18" w16cid:durableId="1159225166">
    <w:abstractNumId w:val="16"/>
  </w:num>
  <w:num w:numId="19" w16cid:durableId="27145285">
    <w:abstractNumId w:val="12"/>
    <w:lvlOverride w:ilvl="0">
      <w:startOverride w:val="1"/>
    </w:lvlOverride>
  </w:num>
  <w:num w:numId="20" w16cid:durableId="825171886">
    <w:abstractNumId w:val="12"/>
    <w:lvlOverride w:ilvl="0">
      <w:startOverride w:val="1"/>
    </w:lvlOverride>
  </w:num>
  <w:num w:numId="21" w16cid:durableId="1182278126">
    <w:abstractNumId w:val="8"/>
  </w:num>
  <w:num w:numId="22" w16cid:durableId="1438720099">
    <w:abstractNumId w:val="5"/>
  </w:num>
  <w:num w:numId="23" w16cid:durableId="718674527">
    <w:abstractNumId w:val="13"/>
  </w:num>
  <w:num w:numId="24" w16cid:durableId="841891427">
    <w:abstractNumId w:val="13"/>
  </w:num>
  <w:num w:numId="25" w16cid:durableId="828836850">
    <w:abstractNumId w:val="13"/>
  </w:num>
  <w:num w:numId="26" w16cid:durableId="1022560225">
    <w:abstractNumId w:val="13"/>
  </w:num>
  <w:num w:numId="27" w16cid:durableId="792867808">
    <w:abstractNumId w:val="13"/>
  </w:num>
  <w:num w:numId="28" w16cid:durableId="620112008">
    <w:abstractNumId w:val="13"/>
  </w:num>
  <w:num w:numId="29" w16cid:durableId="1790124508">
    <w:abstractNumId w:val="14"/>
  </w:num>
  <w:num w:numId="30" w16cid:durableId="2084839640">
    <w:abstractNumId w:val="14"/>
  </w:num>
  <w:num w:numId="31" w16cid:durableId="1374689595">
    <w:abstractNumId w:val="14"/>
  </w:num>
  <w:num w:numId="32" w16cid:durableId="16097017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1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17F"/>
    <w:rsid w:val="000104DF"/>
    <w:rsid w:val="00024EC1"/>
    <w:rsid w:val="00040598"/>
    <w:rsid w:val="00041040"/>
    <w:rsid w:val="00041E6C"/>
    <w:rsid w:val="00063386"/>
    <w:rsid w:val="00066E7C"/>
    <w:rsid w:val="000A0922"/>
    <w:rsid w:val="000B6E11"/>
    <w:rsid w:val="00132581"/>
    <w:rsid w:val="0013448D"/>
    <w:rsid w:val="00157526"/>
    <w:rsid w:val="0016600B"/>
    <w:rsid w:val="00184909"/>
    <w:rsid w:val="001D7501"/>
    <w:rsid w:val="00251B4E"/>
    <w:rsid w:val="00293A71"/>
    <w:rsid w:val="002B00CA"/>
    <w:rsid w:val="002B0A3E"/>
    <w:rsid w:val="002B559C"/>
    <w:rsid w:val="002B7335"/>
    <w:rsid w:val="002D1606"/>
    <w:rsid w:val="002D360B"/>
    <w:rsid w:val="002E0EB6"/>
    <w:rsid w:val="002F1C60"/>
    <w:rsid w:val="002F2154"/>
    <w:rsid w:val="00310608"/>
    <w:rsid w:val="00323F22"/>
    <w:rsid w:val="00332F62"/>
    <w:rsid w:val="00334413"/>
    <w:rsid w:val="00341026"/>
    <w:rsid w:val="00346B03"/>
    <w:rsid w:val="003476A9"/>
    <w:rsid w:val="00374A7D"/>
    <w:rsid w:val="00396504"/>
    <w:rsid w:val="003A4DFF"/>
    <w:rsid w:val="003C6F10"/>
    <w:rsid w:val="0040017F"/>
    <w:rsid w:val="0041155B"/>
    <w:rsid w:val="00411E75"/>
    <w:rsid w:val="00430EE7"/>
    <w:rsid w:val="00435247"/>
    <w:rsid w:val="00436541"/>
    <w:rsid w:val="004379A0"/>
    <w:rsid w:val="00441498"/>
    <w:rsid w:val="00452DEE"/>
    <w:rsid w:val="004701EE"/>
    <w:rsid w:val="00470FE6"/>
    <w:rsid w:val="0047763B"/>
    <w:rsid w:val="00480A8D"/>
    <w:rsid w:val="004A2A2D"/>
    <w:rsid w:val="004E2907"/>
    <w:rsid w:val="004F7087"/>
    <w:rsid w:val="005003C7"/>
    <w:rsid w:val="005152FC"/>
    <w:rsid w:val="0051733C"/>
    <w:rsid w:val="005251B4"/>
    <w:rsid w:val="00525E54"/>
    <w:rsid w:val="00526987"/>
    <w:rsid w:val="00537248"/>
    <w:rsid w:val="00540001"/>
    <w:rsid w:val="005511BF"/>
    <w:rsid w:val="005742A0"/>
    <w:rsid w:val="00580DCA"/>
    <w:rsid w:val="0058285A"/>
    <w:rsid w:val="00595A79"/>
    <w:rsid w:val="005A0202"/>
    <w:rsid w:val="005A206E"/>
    <w:rsid w:val="005C0058"/>
    <w:rsid w:val="005E2605"/>
    <w:rsid w:val="005E2B85"/>
    <w:rsid w:val="006169E9"/>
    <w:rsid w:val="006312A1"/>
    <w:rsid w:val="00657ED6"/>
    <w:rsid w:val="006667BC"/>
    <w:rsid w:val="00697D62"/>
    <w:rsid w:val="006A56F7"/>
    <w:rsid w:val="006B293D"/>
    <w:rsid w:val="007171F7"/>
    <w:rsid w:val="0074131B"/>
    <w:rsid w:val="00747718"/>
    <w:rsid w:val="0075018F"/>
    <w:rsid w:val="0076622F"/>
    <w:rsid w:val="00780DBC"/>
    <w:rsid w:val="00791575"/>
    <w:rsid w:val="007B2C13"/>
    <w:rsid w:val="007C0BB2"/>
    <w:rsid w:val="007C68B8"/>
    <w:rsid w:val="007C77BC"/>
    <w:rsid w:val="007E23DE"/>
    <w:rsid w:val="007E62EA"/>
    <w:rsid w:val="007F5251"/>
    <w:rsid w:val="008047BA"/>
    <w:rsid w:val="00822FA2"/>
    <w:rsid w:val="008453A5"/>
    <w:rsid w:val="0085321E"/>
    <w:rsid w:val="00853D26"/>
    <w:rsid w:val="00863548"/>
    <w:rsid w:val="00863F78"/>
    <w:rsid w:val="00874541"/>
    <w:rsid w:val="00893BFB"/>
    <w:rsid w:val="00894D8B"/>
    <w:rsid w:val="008A5137"/>
    <w:rsid w:val="008D68CC"/>
    <w:rsid w:val="008E0581"/>
    <w:rsid w:val="008E1343"/>
    <w:rsid w:val="008E5B79"/>
    <w:rsid w:val="008F74C5"/>
    <w:rsid w:val="00907BFC"/>
    <w:rsid w:val="009156EA"/>
    <w:rsid w:val="009253F0"/>
    <w:rsid w:val="00935461"/>
    <w:rsid w:val="00937A30"/>
    <w:rsid w:val="009459E3"/>
    <w:rsid w:val="00961FB0"/>
    <w:rsid w:val="009626FE"/>
    <w:rsid w:val="00977BA4"/>
    <w:rsid w:val="0098219F"/>
    <w:rsid w:val="009850FE"/>
    <w:rsid w:val="00995DDC"/>
    <w:rsid w:val="00996E32"/>
    <w:rsid w:val="009A1BAB"/>
    <w:rsid w:val="009C1114"/>
    <w:rsid w:val="009D3077"/>
    <w:rsid w:val="009D335C"/>
    <w:rsid w:val="009D7310"/>
    <w:rsid w:val="00A00234"/>
    <w:rsid w:val="00A01281"/>
    <w:rsid w:val="00A02388"/>
    <w:rsid w:val="00A30360"/>
    <w:rsid w:val="00A54FA0"/>
    <w:rsid w:val="00A96B21"/>
    <w:rsid w:val="00AD3463"/>
    <w:rsid w:val="00AD7E2F"/>
    <w:rsid w:val="00AE1A95"/>
    <w:rsid w:val="00AE5ACF"/>
    <w:rsid w:val="00B107E6"/>
    <w:rsid w:val="00B36EA9"/>
    <w:rsid w:val="00B47684"/>
    <w:rsid w:val="00B47BB1"/>
    <w:rsid w:val="00B566EF"/>
    <w:rsid w:val="00B63DC2"/>
    <w:rsid w:val="00B81FC5"/>
    <w:rsid w:val="00B864A4"/>
    <w:rsid w:val="00B940EB"/>
    <w:rsid w:val="00BC4BBE"/>
    <w:rsid w:val="00BD0D63"/>
    <w:rsid w:val="00BD3FED"/>
    <w:rsid w:val="00BF1B79"/>
    <w:rsid w:val="00BF47C8"/>
    <w:rsid w:val="00C046B9"/>
    <w:rsid w:val="00C2354A"/>
    <w:rsid w:val="00C44464"/>
    <w:rsid w:val="00C97556"/>
    <w:rsid w:val="00CA738D"/>
    <w:rsid w:val="00CE05F3"/>
    <w:rsid w:val="00CF70AB"/>
    <w:rsid w:val="00D3059B"/>
    <w:rsid w:val="00D3066D"/>
    <w:rsid w:val="00D37044"/>
    <w:rsid w:val="00D55730"/>
    <w:rsid w:val="00D60046"/>
    <w:rsid w:val="00D64A59"/>
    <w:rsid w:val="00D71FFB"/>
    <w:rsid w:val="00D72DFC"/>
    <w:rsid w:val="00DB262B"/>
    <w:rsid w:val="00DB6931"/>
    <w:rsid w:val="00DC3E28"/>
    <w:rsid w:val="00DD1F79"/>
    <w:rsid w:val="00DE2A07"/>
    <w:rsid w:val="00DF7AB2"/>
    <w:rsid w:val="00E1597C"/>
    <w:rsid w:val="00E20E92"/>
    <w:rsid w:val="00E315FE"/>
    <w:rsid w:val="00E36ABC"/>
    <w:rsid w:val="00E63AE4"/>
    <w:rsid w:val="00E63BF4"/>
    <w:rsid w:val="00E74A49"/>
    <w:rsid w:val="00E817D1"/>
    <w:rsid w:val="00E83C15"/>
    <w:rsid w:val="00E85A8E"/>
    <w:rsid w:val="00E939E0"/>
    <w:rsid w:val="00EA0314"/>
    <w:rsid w:val="00EB1243"/>
    <w:rsid w:val="00ED3849"/>
    <w:rsid w:val="00EE1B30"/>
    <w:rsid w:val="00EF50A9"/>
    <w:rsid w:val="00EF5F07"/>
    <w:rsid w:val="00EF76BC"/>
    <w:rsid w:val="00F06C87"/>
    <w:rsid w:val="00F16350"/>
    <w:rsid w:val="00F258FB"/>
    <w:rsid w:val="00F75F90"/>
    <w:rsid w:val="00FA18C9"/>
    <w:rsid w:val="00FA5A9E"/>
    <w:rsid w:val="00FC0F20"/>
    <w:rsid w:val="00FC2884"/>
    <w:rsid w:val="00FD1D73"/>
    <w:rsid w:val="00FD2587"/>
    <w:rsid w:val="00FF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AF8ED2"/>
  <w15:chartTrackingRefBased/>
  <w15:docId w15:val="{B3869C89-C45A-4CFB-A413-08F542AE5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F20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FC0F20"/>
    <w:pPr>
      <w:keepNext/>
      <w:keepLines/>
      <w:numPr>
        <w:numId w:val="28"/>
      </w:numPr>
      <w:tabs>
        <w:tab w:val="clear" w:pos="567"/>
      </w:tabs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FC0F20"/>
    <w:pPr>
      <w:keepNext/>
      <w:keepLines/>
      <w:numPr>
        <w:ilvl w:val="1"/>
        <w:numId w:val="28"/>
      </w:numPr>
      <w:tabs>
        <w:tab w:val="clear" w:pos="567"/>
      </w:tabs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FC0F20"/>
    <w:pPr>
      <w:keepNext/>
      <w:keepLines/>
      <w:numPr>
        <w:ilvl w:val="2"/>
        <w:numId w:val="28"/>
      </w:numPr>
      <w:tabs>
        <w:tab w:val="clear" w:pos="567"/>
      </w:tabs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FC0F20"/>
    <w:pPr>
      <w:keepNext/>
      <w:numPr>
        <w:ilvl w:val="3"/>
        <w:numId w:val="28"/>
      </w:numPr>
      <w:tabs>
        <w:tab w:val="clear" w:pos="567"/>
      </w:tabs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FC0F20"/>
    <w:pPr>
      <w:keepNext/>
      <w:numPr>
        <w:ilvl w:val="4"/>
        <w:numId w:val="2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FC0F20"/>
    <w:pPr>
      <w:keepNext/>
      <w:keepLines/>
      <w:numPr>
        <w:ilvl w:val="5"/>
        <w:numId w:val="3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FC0F20"/>
    <w:pPr>
      <w:keepNext/>
      <w:keepLines/>
      <w:widowControl w:val="0"/>
      <w:numPr>
        <w:ilvl w:val="6"/>
        <w:numId w:val="3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FC0F20"/>
    <w:pPr>
      <w:keepNext/>
      <w:keepLines/>
      <w:widowControl w:val="0"/>
      <w:numPr>
        <w:ilvl w:val="7"/>
        <w:numId w:val="32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FC0F20"/>
    <w:pPr>
      <w:keepNext/>
      <w:widowControl w:val="0"/>
      <w:numPr>
        <w:ilvl w:val="8"/>
        <w:numId w:val="32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FC0F20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FC0F20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FC0F20"/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fr-FR"/>
    </w:rPr>
  </w:style>
  <w:style w:type="character" w:customStyle="1" w:styleId="Heading1Char">
    <w:name w:val="Heading 1 Char"/>
    <w:basedOn w:val="DefaultParagraphFont"/>
    <w:link w:val="Heading1"/>
    <w:uiPriority w:val="9"/>
    <w:rsid w:val="00FC0F20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C0F20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C0F20"/>
    <w:rPr>
      <w:rFonts w:ascii="Times New Roman" w:eastAsia="SimSun" w:hAnsi="Times New Roman" w:cs="Times New Roman"/>
      <w:kern w:val="0"/>
      <w:sz w:val="18"/>
      <w:szCs w:val="20"/>
      <w:lang w:val="fr-FR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FC0F20"/>
    <w:rPr>
      <w:vertAlign w:val="superscript"/>
    </w:rPr>
  </w:style>
  <w:style w:type="paragraph" w:customStyle="1" w:styleId="Footnote">
    <w:name w:val="Footnote"/>
    <w:basedOn w:val="FootnoteText"/>
    <w:qFormat/>
    <w:rsid w:val="00FC0F20"/>
    <w:rPr>
      <w:szCs w:val="18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fr-FR"/>
      <w14:ligatures w14:val="none"/>
    </w:rPr>
  </w:style>
  <w:style w:type="paragraph" w:customStyle="1" w:styleId="Para1">
    <w:name w:val="Para 1"/>
    <w:basedOn w:val="Normal"/>
    <w:qFormat/>
    <w:rsid w:val="00480A8D"/>
    <w:pPr>
      <w:numPr>
        <w:numId w:val="2"/>
      </w:numPr>
      <w:spacing w:before="120" w:after="120"/>
      <w:ind w:left="567" w:firstLine="0"/>
    </w:pPr>
  </w:style>
  <w:style w:type="character" w:customStyle="1" w:styleId="Heading2Char">
    <w:name w:val="Heading 2 Char"/>
    <w:basedOn w:val="DefaultParagraphFont"/>
    <w:link w:val="Heading2"/>
    <w:uiPriority w:val="9"/>
    <w:rsid w:val="00FC0F20"/>
    <w:rPr>
      <w:rFonts w:ascii="Times New Roman Bold" w:eastAsiaTheme="majorEastAsia" w:hAnsi="Times New Roman Bold" w:cstheme="majorBidi"/>
      <w:b/>
      <w:kern w:val="0"/>
      <w:sz w:val="24"/>
      <w:szCs w:val="26"/>
      <w:lang w:val="fr-FR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</w:rPr>
  </w:style>
  <w:style w:type="paragraph" w:styleId="Header">
    <w:name w:val="header"/>
    <w:basedOn w:val="Normal"/>
    <w:link w:val="HeaderChar"/>
    <w:rsid w:val="00FC0F20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FC0F20"/>
    <w:rPr>
      <w:rFonts w:ascii="Times New Roman" w:eastAsia="SimSun" w:hAnsi="Times New Roman" w:cs="Times New Roman"/>
      <w:kern w:val="0"/>
      <w:sz w:val="20"/>
      <w:lang w:val="fr-FR"/>
      <w14:ligatures w14:val="none"/>
    </w:rPr>
  </w:style>
  <w:style w:type="paragraph" w:styleId="Footer">
    <w:name w:val="footer"/>
    <w:basedOn w:val="Normal"/>
    <w:link w:val="FooterChar"/>
    <w:uiPriority w:val="99"/>
    <w:rsid w:val="00FC0F20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FC0F20"/>
    <w:rPr>
      <w:rFonts w:ascii="Times New Roman" w:eastAsia="SimSun" w:hAnsi="Times New Roman" w:cs="Times New Roman"/>
      <w:kern w:val="0"/>
      <w:sz w:val="20"/>
      <w:lang w:val="fr-FR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FC0F20"/>
    <w:rPr>
      <w:rFonts w:ascii="Times New Roman" w:eastAsiaTheme="majorEastAsia" w:hAnsi="Times New Roman" w:cs="Times New Roman"/>
      <w:b/>
      <w:bCs/>
      <w:kern w:val="0"/>
      <w:lang w:val="fr-FR"/>
      <w14:ligatures w14:val="none"/>
    </w:rPr>
  </w:style>
  <w:style w:type="paragraph" w:customStyle="1" w:styleId="Para2">
    <w:name w:val="Para 2"/>
    <w:qFormat/>
    <w:rsid w:val="005C0058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FC0F20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5C0058"/>
    <w:pPr>
      <w:spacing w:before="120" w:after="120"/>
      <w:ind w:left="1134"/>
    </w:pPr>
  </w:style>
  <w:style w:type="character" w:customStyle="1" w:styleId="Heading4Char">
    <w:name w:val="Heading 4 Char"/>
    <w:basedOn w:val="DefaultParagraphFont"/>
    <w:link w:val="Heading4"/>
    <w:uiPriority w:val="9"/>
    <w:rsid w:val="00FC0F20"/>
    <w:rPr>
      <w:rFonts w:ascii="Times New Roman" w:eastAsiaTheme="majorEastAsia" w:hAnsi="Times New Roman" w:cs="Times New Roman"/>
      <w:b/>
      <w:bCs/>
      <w:kern w:val="0"/>
      <w:lang w:val="fr-FR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FC0F20"/>
    <w:rPr>
      <w:rFonts w:ascii="Times New Roman" w:eastAsiaTheme="majorEastAsia" w:hAnsi="Times New Roman" w:cs="Times New Roman"/>
      <w:i/>
      <w:iCs/>
      <w:kern w:val="0"/>
      <w:lang w:val="fr-FR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C0F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C0F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C0F20"/>
    <w:rPr>
      <w:rFonts w:ascii="Times New Roman" w:eastAsia="SimSun" w:hAnsi="Times New Roman" w:cs="Times New Roman"/>
      <w:kern w:val="0"/>
      <w:sz w:val="20"/>
      <w:szCs w:val="20"/>
      <w:lang w:val="fr-FR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0F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0F20"/>
    <w:rPr>
      <w:rFonts w:ascii="Times New Roman" w:eastAsia="SimSun" w:hAnsi="Times New Roman" w:cs="Times New Roman"/>
      <w:b/>
      <w:bCs/>
      <w:kern w:val="0"/>
      <w:sz w:val="20"/>
      <w:szCs w:val="20"/>
      <w:lang w:val="fr-FR"/>
      <w14:ligatures w14:val="none"/>
    </w:rPr>
  </w:style>
  <w:style w:type="paragraph" w:styleId="Revision">
    <w:name w:val="Revision"/>
    <w:hidden/>
    <w:uiPriority w:val="99"/>
    <w:semiHidden/>
    <w:rsid w:val="00EF76BC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EDistrNormal">
    <w:name w:val="AE_DistrNormal"/>
    <w:basedOn w:val="Normal"/>
    <w:unhideWhenUsed/>
    <w:rsid w:val="00FC0F20"/>
    <w:pPr>
      <w:jc w:val="left"/>
    </w:pPr>
  </w:style>
  <w:style w:type="paragraph" w:customStyle="1" w:styleId="AASmallLogo">
    <w:name w:val="AA_SmallLogo"/>
    <w:basedOn w:val="AEDistrNormal"/>
    <w:unhideWhenUsed/>
    <w:rsid w:val="00FC0F20"/>
    <w:pPr>
      <w:spacing w:before="40"/>
    </w:pPr>
    <w:rPr>
      <w:sz w:val="4"/>
    </w:rPr>
  </w:style>
  <w:style w:type="paragraph" w:customStyle="1" w:styleId="ABSymbol">
    <w:name w:val="AB_Symbol"/>
    <w:basedOn w:val="Normal"/>
    <w:qFormat/>
    <w:rsid w:val="00FC0F20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AFCorNotNormal">
    <w:name w:val="AF_CorNotNormal"/>
    <w:basedOn w:val="Normal"/>
    <w:unhideWhenUsed/>
    <w:rsid w:val="00FC0F20"/>
  </w:style>
  <w:style w:type="paragraph" w:customStyle="1" w:styleId="ACLargeLogo">
    <w:name w:val="AC_LargeLogo"/>
    <w:basedOn w:val="AFCorNotNormal"/>
    <w:next w:val="Normal"/>
    <w:unhideWhenUsed/>
    <w:rsid w:val="00FC0F20"/>
    <w:pPr>
      <w:spacing w:before="120"/>
      <w:contextualSpacing/>
      <w:jc w:val="left"/>
    </w:pPr>
    <w:rPr>
      <w:sz w:val="8"/>
    </w:rPr>
  </w:style>
  <w:style w:type="paragraph" w:customStyle="1" w:styleId="AEDistrNormal6pt">
    <w:name w:val="AE_DistrNormal6pt"/>
    <w:basedOn w:val="AEDistrNormal"/>
    <w:next w:val="AFCorNotNormal"/>
    <w:unhideWhenUsed/>
    <w:qFormat/>
    <w:rsid w:val="00FC0F20"/>
    <w:pPr>
      <w:spacing w:before="120"/>
    </w:pPr>
  </w:style>
  <w:style w:type="paragraph" w:customStyle="1" w:styleId="AENormal">
    <w:name w:val="AE_Normal"/>
    <w:basedOn w:val="Normal"/>
    <w:rsid w:val="00FC0F20"/>
  </w:style>
  <w:style w:type="paragraph" w:customStyle="1" w:styleId="AFCorNot12Bold">
    <w:name w:val="AF_CorNot12Bold"/>
    <w:basedOn w:val="AFCorNotNormal"/>
    <w:next w:val="AFCorNotNormal"/>
    <w:unhideWhenUsed/>
    <w:qFormat/>
    <w:rsid w:val="00FC0F20"/>
    <w:pPr>
      <w:jc w:val="left"/>
    </w:pPr>
    <w:rPr>
      <w:b/>
      <w:sz w:val="24"/>
    </w:rPr>
  </w:style>
  <w:style w:type="paragraph" w:customStyle="1" w:styleId="AFCorNotBold">
    <w:name w:val="AF_CorNotBold"/>
    <w:basedOn w:val="AFCorNotNormal"/>
    <w:next w:val="AFCorNotNormal"/>
    <w:unhideWhenUsed/>
    <w:qFormat/>
    <w:rsid w:val="00FC0F20"/>
    <w:rPr>
      <w:b/>
    </w:rPr>
  </w:style>
  <w:style w:type="paragraph" w:customStyle="1" w:styleId="AISpacer">
    <w:name w:val="AI_Spacer"/>
    <w:next w:val="Normal"/>
    <w:unhideWhenUsed/>
    <w:qFormat/>
    <w:rsid w:val="00FC0F20"/>
    <w:pPr>
      <w:spacing w:after="0" w:line="240" w:lineRule="auto"/>
    </w:pPr>
    <w:rPr>
      <w:rFonts w:ascii="Times New Roman" w:eastAsia="SimSun" w:hAnsi="Times New Roman" w:cs="Times New Roman"/>
      <w:kern w:val="0"/>
      <w:sz w:val="2"/>
      <w14:ligatures w14:val="none"/>
    </w:rPr>
  </w:style>
  <w:style w:type="paragraph" w:customStyle="1" w:styleId="CBDAgendaItem">
    <w:name w:val="CBD_AgendaItem"/>
    <w:basedOn w:val="Normal"/>
    <w:qFormat/>
    <w:rsid w:val="00FC0F20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Normal">
    <w:name w:val="CBD_Normal"/>
    <w:unhideWhenUsed/>
    <w:qFormat/>
    <w:rsid w:val="00FC0F2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14:ligatures w14:val="none"/>
    </w:rPr>
  </w:style>
  <w:style w:type="paragraph" w:customStyle="1" w:styleId="CBDAnnex">
    <w:name w:val="CBD_Annex"/>
    <w:basedOn w:val="CBDNormal"/>
    <w:next w:val="Normal"/>
    <w:qFormat/>
    <w:rsid w:val="00FC0F20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DesicionAnnex">
    <w:name w:val="CBD_DesicionAnnex"/>
    <w:basedOn w:val="CBDNormal"/>
    <w:next w:val="Normal"/>
    <w:qFormat/>
    <w:rsid w:val="00FC0F20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12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paragraph" w:customStyle="1" w:styleId="CBDDesicionText">
    <w:name w:val="CBD_DesicionText"/>
    <w:basedOn w:val="CBDNormal"/>
    <w:qFormat/>
    <w:rsid w:val="00FC0F20"/>
    <w:pPr>
      <w:spacing w:after="120"/>
      <w:ind w:left="567"/>
    </w:pPr>
  </w:style>
  <w:style w:type="paragraph" w:customStyle="1" w:styleId="CBDFigureTitle">
    <w:name w:val="CBD_FigureTitle"/>
    <w:basedOn w:val="CBDNormal"/>
    <w:next w:val="Normal"/>
    <w:qFormat/>
    <w:rsid w:val="00FC0F20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ooter">
    <w:name w:val="CBD_Footer"/>
    <w:basedOn w:val="CBDNormal"/>
    <w:qFormat/>
    <w:rsid w:val="00FC0F20"/>
    <w:rPr>
      <w:sz w:val="20"/>
    </w:rPr>
  </w:style>
  <w:style w:type="paragraph" w:customStyle="1" w:styleId="CBDFootnoteText">
    <w:name w:val="CBD_Footnote_Text"/>
    <w:basedOn w:val="CBDNormal"/>
    <w:qFormat/>
    <w:rsid w:val="00FC0F20"/>
    <w:pPr>
      <w:jc w:val="left"/>
    </w:pPr>
    <w:rPr>
      <w:sz w:val="18"/>
    </w:rPr>
  </w:style>
  <w:style w:type="paragraph" w:customStyle="1" w:styleId="CBDH1">
    <w:name w:val="CBD_H1"/>
    <w:basedOn w:val="CBDNormal"/>
    <w:qFormat/>
    <w:rsid w:val="00FC0F20"/>
    <w:pPr>
      <w:keepNext/>
      <w:keepLines/>
      <w:spacing w:before="240" w:after="120"/>
      <w:ind w:left="567" w:hanging="567"/>
      <w:jc w:val="left"/>
    </w:pPr>
    <w:rPr>
      <w:b/>
      <w:sz w:val="28"/>
    </w:rPr>
  </w:style>
  <w:style w:type="paragraph" w:customStyle="1" w:styleId="CBDNormalNumber">
    <w:name w:val="CBD_Normal_Number"/>
    <w:basedOn w:val="CBDNormal"/>
    <w:qFormat/>
    <w:rsid w:val="00FC0F20"/>
    <w:pPr>
      <w:numPr>
        <w:numId w:val="22"/>
      </w:numPr>
      <w:tabs>
        <w:tab w:val="left" w:pos="3969"/>
      </w:tabs>
      <w:spacing w:after="120"/>
      <w:jc w:val="left"/>
    </w:pPr>
  </w:style>
  <w:style w:type="paragraph" w:customStyle="1" w:styleId="CBDH2">
    <w:name w:val="CBD_H2"/>
    <w:basedOn w:val="CBDNormalNumber"/>
    <w:qFormat/>
    <w:rsid w:val="00FC0F20"/>
    <w:pPr>
      <w:keepNext/>
      <w:keepLines/>
      <w:numPr>
        <w:numId w:val="0"/>
      </w:numPr>
      <w:spacing w:before="120"/>
      <w:ind w:left="567" w:hanging="567"/>
    </w:pPr>
    <w:rPr>
      <w:b/>
      <w:sz w:val="24"/>
    </w:rPr>
  </w:style>
  <w:style w:type="paragraph" w:customStyle="1" w:styleId="CBDH3">
    <w:name w:val="CBD_H3"/>
    <w:basedOn w:val="CBDNormal"/>
    <w:qFormat/>
    <w:rsid w:val="00FC0F20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FC0F20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FC0F20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Header">
    <w:name w:val="CBD_Header"/>
    <w:basedOn w:val="CBDNormal"/>
    <w:next w:val="CBDFooter"/>
    <w:qFormat/>
    <w:rsid w:val="00FC0F20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numbering" w:customStyle="1" w:styleId="ListCBD">
    <w:name w:val="ListCBD"/>
    <w:basedOn w:val="NoList"/>
    <w:uiPriority w:val="99"/>
    <w:rsid w:val="00FC0F20"/>
    <w:pPr>
      <w:numPr>
        <w:numId w:val="22"/>
      </w:numPr>
    </w:pPr>
  </w:style>
  <w:style w:type="numbering" w:customStyle="1" w:styleId="CBDHeadings">
    <w:name w:val="CBD_Headings"/>
    <w:basedOn w:val="ListCBD"/>
    <w:uiPriority w:val="99"/>
    <w:rsid w:val="00FC0F20"/>
    <w:pPr>
      <w:numPr>
        <w:numId w:val="23"/>
      </w:numPr>
    </w:pPr>
  </w:style>
  <w:style w:type="paragraph" w:customStyle="1" w:styleId="CBDNormalNoNumber">
    <w:name w:val="CBD_Normal_NoNumber"/>
    <w:basedOn w:val="CBDNormal"/>
    <w:qFormat/>
    <w:rsid w:val="00FC0F20"/>
    <w:pPr>
      <w:spacing w:after="120"/>
    </w:pPr>
  </w:style>
  <w:style w:type="paragraph" w:customStyle="1" w:styleId="CBDSubTitle">
    <w:name w:val="CBD_SubTitle"/>
    <w:basedOn w:val="CBDNormal"/>
    <w:qFormat/>
    <w:rsid w:val="00FC0F20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ableNormal">
    <w:name w:val="CBD_TableNormal"/>
    <w:basedOn w:val="CBDNormal"/>
    <w:qFormat/>
    <w:rsid w:val="00FC0F20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FC0F20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FC0F20"/>
    <w:pPr>
      <w:keepNext/>
      <w:keepLines/>
      <w:spacing w:before="240" w:after="240"/>
      <w:ind w:left="567"/>
      <w:jc w:val="left"/>
    </w:pPr>
    <w:rPr>
      <w:b/>
      <w:sz w:val="28"/>
    </w:rPr>
  </w:style>
  <w:style w:type="character" w:customStyle="1" w:styleId="Heading6Char">
    <w:name w:val="Heading 6 Char"/>
    <w:basedOn w:val="DefaultParagraphFont"/>
    <w:link w:val="Heading6"/>
    <w:semiHidden/>
    <w:rsid w:val="00FC0F20"/>
    <w:rPr>
      <w:rFonts w:ascii="Times New Roman" w:eastAsia="SimSun" w:hAnsi="Times New Roman" w:cs="Times New Roman"/>
      <w:bCs/>
      <w:kern w:val="0"/>
      <w:sz w:val="24"/>
      <w:lang w:val="fr-FR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FC0F20"/>
    <w:rPr>
      <w:rFonts w:ascii="Times New Roman" w:eastAsia="SimSun" w:hAnsi="Times New Roman" w:cs="Times New Roman"/>
      <w:b/>
      <w:snapToGrid w:val="0"/>
      <w:kern w:val="0"/>
      <w:u w:val="single"/>
      <w:lang w:val="fr-FR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FC0F20"/>
    <w:rPr>
      <w:rFonts w:ascii="Times New Roman" w:eastAsia="SimSun" w:hAnsi="Times New Roman" w:cs="Times New Roman"/>
      <w:b/>
      <w:snapToGrid w:val="0"/>
      <w:kern w:val="0"/>
      <w:u w:val="single"/>
      <w:lang w:val="fr-FR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FC0F20"/>
    <w:rPr>
      <w:rFonts w:ascii="Times New Roman" w:eastAsia="SimSun" w:hAnsi="Times New Roman" w:cs="Times New Roman"/>
      <w:snapToGrid w:val="0"/>
      <w:kern w:val="0"/>
      <w:u w:val="single"/>
      <w:lang w:val="fr-FR"/>
      <w14:ligatures w14:val="none"/>
    </w:rPr>
  </w:style>
  <w:style w:type="character" w:styleId="Hyperlink">
    <w:name w:val="Hyperlink"/>
    <w:basedOn w:val="DefaultParagraphFont"/>
    <w:uiPriority w:val="99"/>
    <w:unhideWhenUsed/>
    <w:rsid w:val="00FC0F20"/>
    <w:rPr>
      <w:rFonts w:ascii="Times New Roman" w:hAnsi="Times New Roman"/>
      <w:color w:val="0563C1" w:themeColor="hyperlink"/>
      <w:u w:val="single"/>
    </w:rPr>
  </w:style>
  <w:style w:type="paragraph" w:styleId="List">
    <w:name w:val="List"/>
    <w:basedOn w:val="Normal"/>
    <w:semiHidden/>
    <w:rsid w:val="00FC0F20"/>
    <w:pPr>
      <w:contextualSpacing/>
    </w:pPr>
  </w:style>
  <w:style w:type="paragraph" w:styleId="ListParagraph">
    <w:name w:val="List Paragraph"/>
    <w:basedOn w:val="Normal"/>
    <w:uiPriority w:val="34"/>
    <w:qFormat/>
    <w:rsid w:val="00FC0F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ryn.garforth\Downloads\template-cop-16-en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8CC262-15E7-4A1D-A358-084572AEB2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C4793D-6811-4322-83AE-49E1186920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template-cop-16-en.dotm</Template>
  <TotalTime>17</TotalTime>
  <Pages>2</Pages>
  <Words>327</Words>
  <Characters>1891</Characters>
  <Application>Microsoft Office Word</Application>
  <DocSecurity>0</DocSecurity>
  <Lines>30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Ordre du jour provisoire</vt:lpstr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Ordre du jour provisoire</dc:title>
  <dc:subject>CBD/COP/16/1</dc:subject>
  <dc:creator>Secretariat of the Convention on Biological Diversity</dc:creator>
  <cp:keywords>Conférence des Parties à la Convention sur la diversité biologique</cp:keywords>
  <dc:description/>
  <cp:lastModifiedBy>Tatiana Zavarzina</cp:lastModifiedBy>
  <cp:revision>11</cp:revision>
  <cp:lastPrinted>2024-05-15T14:57:00Z</cp:lastPrinted>
  <dcterms:created xsi:type="dcterms:W3CDTF">2024-07-02T16:24:00Z</dcterms:created>
  <dcterms:modified xsi:type="dcterms:W3CDTF">2024-09-06T12:00:00Z</dcterms:modified>
</cp:coreProperties>
</file>