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A5323" w:rsidRPr="00B6433F" w14:paraId="341FC081" w14:textId="77777777" w:rsidTr="000B2A93">
        <w:trPr>
          <w:trHeight w:val="851"/>
        </w:trPr>
        <w:tc>
          <w:tcPr>
            <w:tcW w:w="976" w:type="dxa"/>
            <w:tcBorders>
              <w:bottom w:val="single" w:sz="12" w:space="0" w:color="auto"/>
            </w:tcBorders>
          </w:tcPr>
          <w:p w14:paraId="77F8088C" w14:textId="77777777" w:rsidR="002410FB" w:rsidRPr="00B6433F" w:rsidRDefault="002410FB" w:rsidP="000B2A93">
            <w:pPr>
              <w:suppressLineNumbers/>
              <w:suppressAutoHyphens/>
              <w:kinsoku w:val="0"/>
              <w:overflowPunct w:val="0"/>
              <w:autoSpaceDE w:val="0"/>
              <w:autoSpaceDN w:val="0"/>
              <w:adjustRightInd w:val="0"/>
              <w:snapToGrid w:val="0"/>
              <w:rPr>
                <w:snapToGrid w:val="0"/>
                <w:kern w:val="22"/>
              </w:rPr>
            </w:pPr>
            <w:r>
              <w:rPr>
                <w:noProof/>
                <w:snapToGrid w:val="0"/>
              </w:rPr>
              <w:drawing>
                <wp:inline distT="0" distB="0" distL="0" distR="0" wp14:anchorId="672AB6A2" wp14:editId="6CAD6580">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16CCA1D" w14:textId="08F73A28" w:rsidR="002410FB" w:rsidRPr="00B6433F" w:rsidRDefault="001339AB" w:rsidP="000B2A93">
            <w:pPr>
              <w:suppressLineNumbers/>
              <w:suppressAutoHyphens/>
              <w:kinsoku w:val="0"/>
              <w:overflowPunct w:val="0"/>
              <w:autoSpaceDE w:val="0"/>
              <w:autoSpaceDN w:val="0"/>
              <w:adjustRightInd w:val="0"/>
              <w:snapToGrid w:val="0"/>
              <w:rPr>
                <w:snapToGrid w:val="0"/>
                <w:kern w:val="22"/>
              </w:rPr>
            </w:pPr>
            <w:r w:rsidRPr="001339AB">
              <w:rPr>
                <w:noProof/>
                <w:lang w:val="fr-FR" w:eastAsia="fr-FR"/>
              </w:rPr>
              <w:drawing>
                <wp:inline distT="0" distB="0" distL="0" distR="0" wp14:anchorId="0F7ED685" wp14:editId="0FF86974">
                  <wp:extent cx="866775" cy="371475"/>
                  <wp:effectExtent l="0" t="0" r="9525" b="9525"/>
                  <wp:docPr id="3"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459279B3" w14:textId="77777777" w:rsidR="002410FB" w:rsidRPr="00B6433F" w:rsidRDefault="002410FB" w:rsidP="000B2A9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sz w:val="32"/>
                <w:szCs w:val="32"/>
              </w:rPr>
              <w:t>CBD</w:t>
            </w:r>
          </w:p>
        </w:tc>
      </w:tr>
    </w:tbl>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C9161D" w:rsidRPr="00B6433F" w14:paraId="0B3D5B7D" w14:textId="77777777" w:rsidTr="00CF1848">
        <w:tc>
          <w:tcPr>
            <w:tcW w:w="6117" w:type="dxa"/>
            <w:tcBorders>
              <w:top w:val="single" w:sz="12" w:space="0" w:color="auto"/>
              <w:bottom w:val="single" w:sz="36" w:space="0" w:color="auto"/>
            </w:tcBorders>
            <w:vAlign w:val="center"/>
          </w:tcPr>
          <w:p w14:paraId="3B88EF77" w14:textId="2605C473" w:rsidR="00C9161D" w:rsidRPr="00B6433F" w:rsidRDefault="001339AB" w:rsidP="00490BF5">
            <w:pPr>
              <w:suppressLineNumbers/>
              <w:suppressAutoHyphens/>
              <w:kinsoku w:val="0"/>
              <w:overflowPunct w:val="0"/>
              <w:autoSpaceDE w:val="0"/>
              <w:autoSpaceDN w:val="0"/>
              <w:adjustRightInd w:val="0"/>
              <w:snapToGrid w:val="0"/>
              <w:rPr>
                <w:snapToGrid w:val="0"/>
                <w:kern w:val="22"/>
              </w:rPr>
            </w:pPr>
            <w:r w:rsidRPr="0022601E">
              <w:rPr>
                <w:noProof/>
                <w:lang w:val="fr-FR" w:eastAsia="fr-FR"/>
              </w:rPr>
              <w:drawing>
                <wp:inline distT="0" distB="0" distL="0" distR="0" wp14:anchorId="464E43EC" wp14:editId="43908DE6">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577290" w14:textId="77777777"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Distr.</w:t>
            </w:r>
          </w:p>
          <w:p w14:paraId="28D2B8FC" w14:textId="76B6FB99" w:rsidR="00C9161D" w:rsidRPr="00B6433F" w:rsidRDefault="00000000" w:rsidP="00490BF5">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Статус"/>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0614D4" w:rsidRPr="00B6433F">
                  <w:rPr>
                    <w:caps/>
                    <w:snapToGrid w:val="0"/>
                    <w:kern w:val="22"/>
                    <w:szCs w:val="22"/>
                  </w:rPr>
                  <w:t>GENERAL</w:t>
                </w:r>
              </w:sdtContent>
            </w:sdt>
          </w:p>
          <w:p w14:paraId="370F57A4" w14:textId="77777777"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62A1FBFA" w14:textId="1A51FADF" w:rsidR="00C9161D" w:rsidRPr="00B6433F" w:rsidRDefault="00000000"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CBD/NP/MOP/3/6."/>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0614D4" w:rsidRPr="00B6433F">
                  <w:rPr>
                    <w:snapToGrid w:val="0"/>
                    <w:kern w:val="22"/>
                  </w:rPr>
                  <w:t>CBD/COP/15/</w:t>
                </w:r>
                <w:r w:rsidR="0088085D" w:rsidRPr="00B6433F">
                  <w:rPr>
                    <w:snapToGrid w:val="0"/>
                    <w:kern w:val="22"/>
                  </w:rPr>
                  <w:t>11</w:t>
                </w:r>
              </w:sdtContent>
            </w:sdt>
          </w:p>
          <w:p w14:paraId="7B4C9802" w14:textId="22A15D9D" w:rsidR="00C9161D" w:rsidRPr="00B6433F" w:rsidRDefault="0014747D"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1 November 2022</w:t>
            </w:r>
          </w:p>
          <w:p w14:paraId="44707E09" w14:textId="77777777" w:rsidR="00C9161D" w:rsidRPr="00B6433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2A9FFC1B" w14:textId="77777777" w:rsidR="00C9161D" w:rsidRPr="00B6433F" w:rsidRDefault="006B2290"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 xml:space="preserve">RUSSIAN </w:t>
            </w:r>
            <w:r>
              <w:rPr>
                <w:snapToGrid w:val="0"/>
                <w:szCs w:val="22"/>
              </w:rPr>
              <w:br/>
              <w:t>ORIGINAL: ENGLISH</w:t>
            </w:r>
          </w:p>
          <w:p w14:paraId="569773AB" w14:textId="77777777" w:rsidR="00C9161D" w:rsidRPr="00B6433F" w:rsidRDefault="00C9161D" w:rsidP="00490BF5">
            <w:pPr>
              <w:suppressLineNumbers/>
              <w:suppressAutoHyphens/>
              <w:kinsoku w:val="0"/>
              <w:overflowPunct w:val="0"/>
              <w:autoSpaceDE w:val="0"/>
              <w:autoSpaceDN w:val="0"/>
              <w:adjustRightInd w:val="0"/>
              <w:snapToGrid w:val="0"/>
              <w:rPr>
                <w:snapToGrid w:val="0"/>
                <w:kern w:val="22"/>
              </w:rPr>
            </w:pPr>
          </w:p>
        </w:tc>
      </w:tr>
    </w:tbl>
    <w:p w14:paraId="129F2F81" w14:textId="77777777" w:rsidR="00300280" w:rsidRPr="00B6433F"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Pr>
          <w:caps/>
          <w:snapToGrid w:val="0"/>
          <w:szCs w:val="22"/>
        </w:rPr>
        <w:t>КОНФЕРЕНЦИЯ СТОРОН КОНВЕНЦИИ О БИОЛОГИЧЕСКОМ РАЗНООБРАЗИИ</w:t>
      </w:r>
    </w:p>
    <w:p w14:paraId="7FEE28BF" w14:textId="3545FC64" w:rsidR="00300280" w:rsidRPr="00B6433F"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Pr>
          <w:snapToGrid w:val="0"/>
          <w:szCs w:val="22"/>
        </w:rPr>
        <w:t>Пятнадцатое совещание – Часть II</w:t>
      </w:r>
    </w:p>
    <w:p w14:paraId="0D3B0717" w14:textId="0F40333F" w:rsidR="00300280" w:rsidRPr="008A31B4" w:rsidRDefault="002A75CE" w:rsidP="00D76083">
      <w:pPr>
        <w:suppressLineNumbers/>
        <w:suppressAutoHyphens/>
        <w:kinsoku w:val="0"/>
        <w:overflowPunct w:val="0"/>
        <w:autoSpaceDE w:val="0"/>
        <w:autoSpaceDN w:val="0"/>
        <w:adjustRightInd w:val="0"/>
        <w:snapToGrid w:val="0"/>
        <w:spacing w:line="260" w:lineRule="atLeast"/>
        <w:ind w:left="170" w:right="4257" w:hanging="170"/>
        <w:jc w:val="left"/>
        <w:rPr>
          <w:rFonts w:eastAsia="Malgun Gothic"/>
          <w:caps/>
          <w:snapToGrid w:val="0"/>
          <w:kern w:val="22"/>
          <w:szCs w:val="22"/>
        </w:rPr>
      </w:pPr>
      <w:r>
        <w:rPr>
          <w:snapToGrid w:val="0"/>
          <w:szCs w:val="22"/>
        </w:rPr>
        <w:t xml:space="preserve">Монреаль, Канада, 7-19 декабря 2022 года </w:t>
      </w:r>
    </w:p>
    <w:p w14:paraId="46A32228" w14:textId="43536B88" w:rsidR="00855A78" w:rsidRPr="00F94BA0" w:rsidRDefault="00291CC6" w:rsidP="00D76083">
      <w:pPr>
        <w:suppressLineNumbers/>
        <w:suppressAutoHyphens/>
        <w:kinsoku w:val="0"/>
        <w:overflowPunct w:val="0"/>
        <w:autoSpaceDE w:val="0"/>
        <w:autoSpaceDN w:val="0"/>
        <w:adjustRightInd w:val="0"/>
        <w:snapToGrid w:val="0"/>
        <w:spacing w:line="260" w:lineRule="atLeast"/>
        <w:ind w:left="170" w:right="4682" w:hanging="170"/>
        <w:jc w:val="left"/>
        <w:rPr>
          <w:snapToGrid w:val="0"/>
          <w:kern w:val="22"/>
          <w:szCs w:val="22"/>
        </w:rPr>
      </w:pPr>
      <w:r>
        <w:rPr>
          <w:snapToGrid w:val="0"/>
          <w:szCs w:val="22"/>
        </w:rPr>
        <w:t xml:space="preserve">Пункт 12 повестки дня </w:t>
      </w:r>
    </w:p>
    <w:p w14:paraId="7B6245A0" w14:textId="0E8F41F0" w:rsidR="00C9161D" w:rsidRPr="00F94BA0" w:rsidRDefault="00C9161D" w:rsidP="00490BF5">
      <w:pPr>
        <w:suppressLineNumbers/>
        <w:suppressAutoHyphens/>
        <w:kinsoku w:val="0"/>
        <w:overflowPunct w:val="0"/>
        <w:autoSpaceDE w:val="0"/>
        <w:autoSpaceDN w:val="0"/>
        <w:adjustRightInd w:val="0"/>
        <w:snapToGrid w:val="0"/>
        <w:rPr>
          <w:snapToGrid w:val="0"/>
          <w:kern w:val="22"/>
          <w:szCs w:val="22"/>
        </w:rPr>
      </w:pPr>
    </w:p>
    <w:bookmarkStart w:id="0" w:name="_Hlk526097937"/>
    <w:p w14:paraId="0415F6F3" w14:textId="0D2034BD" w:rsidR="00C9161D" w:rsidRPr="000C76E7" w:rsidRDefault="00000000" w:rsidP="00FD18AB">
      <w:pPr>
        <w:keepNext/>
        <w:suppressLineNumbers/>
        <w:suppressAutoHyphens/>
        <w:kinsoku w:val="0"/>
        <w:overflowPunct w:val="0"/>
        <w:autoSpaceDE w:val="0"/>
        <w:autoSpaceDN w:val="0"/>
        <w:adjustRightInd w:val="0"/>
        <w:snapToGrid w:val="0"/>
        <w:spacing w:before="240" w:after="120"/>
        <w:jc w:val="center"/>
        <w:rPr>
          <w:rFonts w:ascii="Times New Roman Bold" w:hAnsi="Times New Roman Bold"/>
          <w:b/>
          <w:caps/>
          <w:snapToGrid w:val="0"/>
          <w:kern w:val="22"/>
          <w:szCs w:val="22"/>
        </w:rPr>
      </w:pPr>
      <w:sdt>
        <w:sdtPr>
          <w:rPr>
            <w:rFonts w:ascii="Times New Roman Bold" w:hAnsi="Times New Roman Bold"/>
            <w:b/>
            <w:caps/>
            <w:snapToGrid w:val="0"/>
            <w:kern w:val="22"/>
            <w:szCs w:val="22"/>
          </w:rPr>
          <w:alias w:val="Название"/>
          <w:tag w:val=""/>
          <w:id w:val="-156000213"/>
          <w:placeholder>
            <w:docPart w:val="ADDF6D64457143E18A619ADE8084FC3B"/>
          </w:placeholder>
          <w:dataBinding w:prefixMappings="xmlns:ns0='http://purl.org/dc/elements/1.1/' xmlns:ns1='http://schemas.openxmlformats.org/package/2006/metadata/core-properties' " w:xpath="/ns1:coreProperties[1]/ns0:title[1]" w:storeItemID="{6C3C8BC8-F283-45AE-878A-BAB7291924A1}"/>
          <w:text/>
        </w:sdtPr>
        <w:sdtContent>
          <w:r w:rsidR="000C3863" w:rsidRPr="000C3863">
            <w:rPr>
              <w:rFonts w:ascii="Times New Roman Bold" w:hAnsi="Times New Roman Bold"/>
              <w:b/>
              <w:caps/>
              <w:snapToGrid w:val="0"/>
              <w:kern w:val="22"/>
              <w:szCs w:val="22"/>
            </w:rPr>
            <w:t>Мобилизация ресурсов: ИТОГОВЫЙ анализ информации, представленной посредством структуры представления финансовой отчетности</w:t>
          </w:r>
        </w:sdtContent>
      </w:sdt>
    </w:p>
    <w:bookmarkEnd w:id="0"/>
    <w:p w14:paraId="59AF8A70" w14:textId="77777777" w:rsidR="00855A78" w:rsidRPr="006912ED" w:rsidRDefault="00855A78" w:rsidP="00FD18AB">
      <w:pPr>
        <w:keepNext/>
        <w:spacing w:before="240" w:after="120"/>
        <w:jc w:val="center"/>
        <w:rPr>
          <w:i/>
          <w:lang w:val="fr-FR"/>
        </w:rPr>
      </w:pPr>
      <w:r>
        <w:rPr>
          <w:i/>
          <w:iCs/>
        </w:rPr>
        <w:t>Записка Исполнительного секретаря</w:t>
      </w:r>
    </w:p>
    <w:p w14:paraId="3E5ED370" w14:textId="77777777" w:rsidR="00855A78" w:rsidRPr="008154AF" w:rsidRDefault="00855A78" w:rsidP="00FD18AB">
      <w:pPr>
        <w:keepNext/>
        <w:suppressLineNumbers/>
        <w:tabs>
          <w:tab w:val="left" w:pos="360"/>
        </w:tabs>
        <w:suppressAutoHyphens/>
        <w:kinsoku w:val="0"/>
        <w:overflowPunct w:val="0"/>
        <w:autoSpaceDE w:val="0"/>
        <w:autoSpaceDN w:val="0"/>
        <w:adjustRightInd w:val="0"/>
        <w:snapToGrid w:val="0"/>
        <w:spacing w:before="240" w:after="120"/>
        <w:jc w:val="center"/>
        <w:outlineLvl w:val="0"/>
        <w:rPr>
          <w:b/>
          <w:caps/>
          <w:snapToGrid w:val="0"/>
          <w:kern w:val="22"/>
          <w:szCs w:val="22"/>
        </w:rPr>
      </w:pPr>
      <w:r>
        <w:rPr>
          <w:b/>
          <w:caps/>
          <w:snapToGrid w:val="0"/>
          <w:szCs w:val="22"/>
        </w:rPr>
        <w:t>I.</w:t>
      </w:r>
      <w:r>
        <w:rPr>
          <w:b/>
          <w:caps/>
          <w:snapToGrid w:val="0"/>
          <w:szCs w:val="22"/>
        </w:rPr>
        <w:tab/>
        <w:t>Введение</w:t>
      </w:r>
    </w:p>
    <w:p w14:paraId="25E3BC65" w14:textId="582AA07F" w:rsidR="001528D5" w:rsidRPr="00956E89" w:rsidRDefault="00301110" w:rsidP="00C264EE">
      <w:pPr>
        <w:pStyle w:val="Para1"/>
        <w:numPr>
          <w:ilvl w:val="0"/>
          <w:numId w:val="25"/>
        </w:numPr>
        <w:tabs>
          <w:tab w:val="clear" w:pos="360"/>
        </w:tabs>
        <w:kinsoku w:val="0"/>
        <w:overflowPunct w:val="0"/>
        <w:autoSpaceDE w:val="0"/>
        <w:autoSpaceDN w:val="0"/>
        <w:snapToGrid w:val="0"/>
        <w:rPr>
          <w:szCs w:val="22"/>
        </w:rPr>
      </w:pPr>
      <w:r>
        <w:t xml:space="preserve">На своем 12-м совещании Конференция Сторон приняла целевые задачи по мобилизации ресурсов в рамках выполнения Айтинской целевой задачи 20 в области биоразнообразия Стратегического плана в области сохранения и устойчивого использования биоразнообразия на 2011-2020 годы (пункт 1 решения </w:t>
      </w:r>
      <w:hyperlink r:id="rId15" w:history="1">
        <w:r w:rsidRPr="006912ED">
          <w:rPr>
            <w:rStyle w:val="Lienhypertexte"/>
            <w:sz w:val="22"/>
          </w:rPr>
          <w:t>XII/3</w:t>
        </w:r>
      </w:hyperlink>
      <w:r>
        <w:t xml:space="preserve">), а также пересмотренную структуру представления финансовой отчетности, предназначенную для использования Сторонами для представления отчетности об их вкладе в достижение этих целевых задач (см. решение XII/3, пункты 24 и 25 и приложение II). Для удобства целевые задачи приводятся в приложении I настоящего документа. На последующих совещаниях Вспомогательного органа по осуществлению и Конференции Сторон Стороны продолжали отслеживать выполнение целевых задач по мобилизации ресурсов на основе регулярных докладов Исполнительного секретаря, содержащих обобщенную сводную информацию, представленную Сторонами </w:t>
      </w:r>
      <w:r w:rsidR="00031AA3">
        <w:t>посредством</w:t>
      </w:r>
      <w:r>
        <w:t xml:space="preserve"> структуры представления финансовой отчетности</w:t>
      </w:r>
      <w:r w:rsidR="00A40AEC">
        <w:rPr>
          <w:rStyle w:val="Appelnotedebasdep"/>
          <w:kern w:val="22"/>
          <w:szCs w:val="22"/>
        </w:rPr>
        <w:footnoteReference w:id="2"/>
      </w:r>
      <w:r>
        <w:t>. В пятом издании Глобальной перспективы в области биоразнообразия содержится общая оценка результатов выполнения Айтинской целевой задачи 20 в области биоразнообразия и связанных с ней целевых задач на основе этой информации, а также других источников.</w:t>
      </w:r>
    </w:p>
    <w:p w14:paraId="703C0B5F" w14:textId="7743AACE" w:rsidR="007F406B" w:rsidRPr="00000DA0" w:rsidRDefault="001528D5" w:rsidP="00C264EE">
      <w:pPr>
        <w:pStyle w:val="Para1"/>
        <w:numPr>
          <w:ilvl w:val="0"/>
          <w:numId w:val="25"/>
        </w:numPr>
        <w:tabs>
          <w:tab w:val="clear" w:pos="360"/>
        </w:tabs>
        <w:kinsoku w:val="0"/>
        <w:overflowPunct w:val="0"/>
        <w:autoSpaceDE w:val="0"/>
        <w:autoSpaceDN w:val="0"/>
        <w:snapToGrid w:val="0"/>
        <w:rPr>
          <w:szCs w:val="22"/>
        </w:rPr>
      </w:pPr>
      <w:r>
        <w:t>Обновленная информация из структуры представления финансовой отчетности была включена в первый доклад, представленный группой экспертов по мобилизации ресурсов Вспомогательному органу по осуществлению на его третьем совещании (CBD/SBI/3/5/Add.1). Вспомогательный орган в ходе первой части своего третьего совещания, прошедшего с 16 мая по 13 июня 2021 года, рассмотрел доклады группы экспертов и соответствующий проект рекомендации. В настоящем документе содержится окончательная информаци</w:t>
      </w:r>
      <w:r w:rsidR="00031AA3">
        <w:t>я</w:t>
      </w:r>
      <w:r w:rsidR="00467EA9" w:rsidRPr="00E575AF">
        <w:rPr>
          <w:rStyle w:val="Appelnotedebasdep"/>
          <w:kern w:val="22"/>
          <w:szCs w:val="22"/>
        </w:rPr>
        <w:footnoteReference w:id="3"/>
      </w:r>
      <w:r>
        <w:t>, обновленная с учетом дополнительных материалов, представленных Сторонами</w:t>
      </w:r>
      <w:r w:rsidR="00185E56" w:rsidRPr="00000DA0">
        <w:rPr>
          <w:rStyle w:val="Appelnotedebasdep"/>
          <w:kern w:val="22"/>
          <w:szCs w:val="22"/>
        </w:rPr>
        <w:footnoteReference w:id="4"/>
      </w:r>
      <w:r>
        <w:t xml:space="preserve">. </w:t>
      </w:r>
    </w:p>
    <w:p w14:paraId="04177FDD" w14:textId="254CD659" w:rsidR="006C5F4A" w:rsidRPr="00C264EE" w:rsidRDefault="007F406B" w:rsidP="00C264EE">
      <w:pPr>
        <w:pStyle w:val="Para1"/>
        <w:numPr>
          <w:ilvl w:val="0"/>
          <w:numId w:val="25"/>
        </w:numPr>
        <w:tabs>
          <w:tab w:val="clear" w:pos="360"/>
        </w:tabs>
        <w:kinsoku w:val="0"/>
        <w:overflowPunct w:val="0"/>
        <w:autoSpaceDE w:val="0"/>
        <w:autoSpaceDN w:val="0"/>
        <w:snapToGrid w:val="0"/>
        <w:rPr>
          <w:szCs w:val="22"/>
        </w:rPr>
      </w:pPr>
      <w:r>
        <w:t xml:space="preserve">Документ CBD/SBI/3/5, посвященный мобилизации ресурсов, и представленный в нем проект рекомендации содержали ряд рекомендации в отношении упрощенной и более эффективной </w:t>
      </w:r>
      <w:r>
        <w:lastRenderedPageBreak/>
        <w:t>структуры представления финансовой отчетности. Этот документ был выпущен в июне 2020 года, когда проект механизма мониторинга глобальной рамочной программы в области биоразнообразия на период после 2020 года находился в процессе</w:t>
      </w:r>
      <w:r w:rsidR="00031AA3">
        <w:t xml:space="preserve"> разработки</w:t>
      </w:r>
      <w:r>
        <w:t>, и в своем окончательном варианте он уже содержит несколько предложенных основных и дополнительных индикаторов мобилизации ресурсов.</w:t>
      </w:r>
    </w:p>
    <w:p w14:paraId="29130B1B" w14:textId="72B14C1A" w:rsidR="00856752" w:rsidRDefault="00B87D49" w:rsidP="00C264EE">
      <w:pPr>
        <w:pStyle w:val="Para1"/>
        <w:numPr>
          <w:ilvl w:val="0"/>
          <w:numId w:val="25"/>
        </w:numPr>
        <w:tabs>
          <w:tab w:val="clear" w:pos="360"/>
        </w:tabs>
        <w:kinsoku w:val="0"/>
        <w:overflowPunct w:val="0"/>
        <w:autoSpaceDE w:val="0"/>
        <w:autoSpaceDN w:val="0"/>
        <w:snapToGrid w:val="0"/>
        <w:rPr>
          <w:kern w:val="22"/>
          <w:szCs w:val="22"/>
        </w:rPr>
      </w:pPr>
      <w:r>
        <w:t xml:space="preserve">В этой связи настоящий доклад преследует две цели: (а) представить краткую сводную информацию, позволяющую оценить, были ли выполнены и/или в какой степени выполнены целевые задачи по мобилизации ресурсов, принятые Конференцией Сторон на ее 12-м совещании; и (б) на основе представленной методологической информации и практического опыта в области представления финансовой отчетности, накопленного после 12-го совещания Конференции Сторон, извлечь ряд выводов, которые могут лечь в основу вариантов </w:t>
      </w:r>
      <w:r w:rsidR="00031AA3">
        <w:t>упрощенного</w:t>
      </w:r>
      <w:r>
        <w:t xml:space="preserve"> и эффективного мониторинга выполнен</w:t>
      </w:r>
      <w:r w:rsidR="00031AA3">
        <w:t>ия</w:t>
      </w:r>
      <w:r>
        <w:t xml:space="preserve"> любых новых целевых задач по мобилизации ресурсов. </w:t>
      </w:r>
    </w:p>
    <w:p w14:paraId="44F61DB4" w14:textId="03311633" w:rsidR="00AC14A0" w:rsidRPr="0082741A" w:rsidRDefault="00AC14A0" w:rsidP="00C264EE">
      <w:pPr>
        <w:pStyle w:val="Heading1multiline"/>
        <w:spacing w:before="120"/>
        <w:ind w:left="1844" w:right="994" w:hanging="562"/>
        <w:jc w:val="center"/>
      </w:pPr>
      <w:r>
        <w:t>II.</w:t>
      </w:r>
      <w:r>
        <w:tab/>
        <w:t>ОБЩЕЕ ЗАМЕЧЕНИЕ В ОТНОШЕНИИ ПРЕДСТАВЛЕНИЯ ОТЧЕТНОСТИ</w:t>
      </w:r>
    </w:p>
    <w:p w14:paraId="7727E296" w14:textId="5CBE33F6" w:rsidR="00855A78" w:rsidRPr="0082741A" w:rsidRDefault="00A77AED" w:rsidP="00C264EE">
      <w:pPr>
        <w:pStyle w:val="Para1"/>
        <w:numPr>
          <w:ilvl w:val="0"/>
          <w:numId w:val="25"/>
        </w:numPr>
        <w:tabs>
          <w:tab w:val="clear" w:pos="360"/>
        </w:tabs>
        <w:kinsoku w:val="0"/>
        <w:overflowPunct w:val="0"/>
        <w:autoSpaceDE w:val="0"/>
        <w:autoSpaceDN w:val="0"/>
        <w:snapToGrid w:val="0"/>
        <w:rPr>
          <w:kern w:val="22"/>
          <w:szCs w:val="22"/>
        </w:rPr>
      </w:pPr>
      <w:r>
        <w:t xml:space="preserve">По состоянию на 5 сентября 2022 года 97 Сторон представили информацию </w:t>
      </w:r>
      <w:r w:rsidR="00031AA3">
        <w:t xml:space="preserve">посредством </w:t>
      </w:r>
      <w:r>
        <w:t xml:space="preserve">структуры представления финансовой отчетности, предоставив </w:t>
      </w:r>
      <w:r w:rsidR="009B155E">
        <w:t>исходные</w:t>
      </w:r>
      <w:r w:rsidR="009B155E">
        <w:t xml:space="preserve"> показате</w:t>
      </w:r>
      <w:r w:rsidR="009B155E">
        <w:t>ли</w:t>
      </w:r>
      <w:r w:rsidR="009B155E">
        <w:t xml:space="preserve"> </w:t>
      </w:r>
      <w:r>
        <w:t xml:space="preserve">и первые результаты, достигнутые до 2015 года, из них 51 Сторона также предоставила информацию о дальнейшем прогрессе в период до 2020 года. Со сводным перечнем Сторон, представивших информацию </w:t>
      </w:r>
      <w:r w:rsidR="00031AA3">
        <w:t xml:space="preserve">посредством </w:t>
      </w:r>
      <w:r>
        <w:t xml:space="preserve">структуры представления финансовой отчетности, можно ознакомиться </w:t>
      </w:r>
      <w:r w:rsidR="00031AA3">
        <w:t>благодаря</w:t>
      </w:r>
      <w:r>
        <w:t xml:space="preserve"> онлайново</w:t>
      </w:r>
      <w:r w:rsidR="00031AA3">
        <w:t>му</w:t>
      </w:r>
      <w:r>
        <w:t xml:space="preserve"> анализатор</w:t>
      </w:r>
      <w:r w:rsidR="00031AA3">
        <w:t>у</w:t>
      </w:r>
      <w:r>
        <w:t xml:space="preserve"> структуры представления финансовой отчетности</w:t>
      </w:r>
      <w:r w:rsidR="007C2167" w:rsidRPr="0082741A">
        <w:rPr>
          <w:rStyle w:val="Appelnotedebasdep"/>
          <w:kern w:val="22"/>
          <w:szCs w:val="22"/>
        </w:rPr>
        <w:footnoteReference w:id="5"/>
      </w:r>
      <w:r>
        <w:t>.</w:t>
      </w:r>
    </w:p>
    <w:p w14:paraId="7813A472" w14:textId="35EBF37F" w:rsidR="00E416FB" w:rsidRPr="00077D46" w:rsidRDefault="003F3DA7" w:rsidP="00C264EE">
      <w:pPr>
        <w:pStyle w:val="Para1"/>
        <w:numPr>
          <w:ilvl w:val="0"/>
          <w:numId w:val="25"/>
        </w:numPr>
        <w:tabs>
          <w:tab w:val="clear" w:pos="360"/>
        </w:tabs>
        <w:kinsoku w:val="0"/>
        <w:overflowPunct w:val="0"/>
        <w:autoSpaceDE w:val="0"/>
        <w:autoSpaceDN w:val="0"/>
        <w:snapToGrid w:val="0"/>
        <w:rPr>
          <w:kern w:val="22"/>
          <w:szCs w:val="22"/>
        </w:rPr>
      </w:pPr>
      <w:r>
        <w:t>Кроме того, по состоянию на 5 сентября 2022 года 192 Стороны представили свои пятые национальные доклады, а 189 Сторон представили свои шестые национальные доклады. Пробелы в отчетных данных, связанные со структурой представления финансовой отчетности, отмечались и обсуждались в предыдущих сводных докладах; речь шла, главным образом, о технических трудностях и проблемах, связанны</w:t>
      </w:r>
      <w:r w:rsidR="009F3596">
        <w:t>х</w:t>
      </w:r>
      <w:r>
        <w:t xml:space="preserve"> с выполнением ряда целевых задач по мобилизации ресурсов</w:t>
      </w:r>
      <w:r w:rsidR="001F71ED" w:rsidRPr="00077D46">
        <w:rPr>
          <w:rStyle w:val="Appelnotedebasdep"/>
          <w:kern w:val="22"/>
          <w:szCs w:val="22"/>
        </w:rPr>
        <w:footnoteReference w:id="6"/>
      </w:r>
      <w:r>
        <w:t>.</w:t>
      </w:r>
    </w:p>
    <w:p w14:paraId="55AB0C84" w14:textId="1568E5DE" w:rsidR="00855A78" w:rsidRPr="00527C37" w:rsidRDefault="000E762D" w:rsidP="00C264EE">
      <w:pPr>
        <w:pStyle w:val="Titre1"/>
        <w:suppressLineNumbers/>
        <w:tabs>
          <w:tab w:val="clear" w:pos="720"/>
        </w:tabs>
        <w:suppressAutoHyphens/>
        <w:kinsoku w:val="0"/>
        <w:overflowPunct w:val="0"/>
        <w:autoSpaceDE w:val="0"/>
        <w:autoSpaceDN w:val="0"/>
        <w:adjustRightInd w:val="0"/>
        <w:snapToGrid w:val="0"/>
        <w:spacing w:before="120"/>
        <w:rPr>
          <w:snapToGrid w:val="0"/>
          <w:kern w:val="22"/>
          <w:szCs w:val="22"/>
        </w:rPr>
      </w:pPr>
      <w:r>
        <w:t>I</w:t>
      </w:r>
      <w:r>
        <w:rPr>
          <w:snapToGrid w:val="0"/>
          <w:szCs w:val="22"/>
        </w:rPr>
        <w:t>II.</w:t>
      </w:r>
      <w:r>
        <w:rPr>
          <w:snapToGrid w:val="0"/>
          <w:szCs w:val="22"/>
        </w:rPr>
        <w:tab/>
        <w:t>МЕЖДУНАРОДНЫЕ ПОТОКИ ФИНАНСОВЫХ РЕСУРСОВ</w:t>
      </w:r>
    </w:p>
    <w:p w14:paraId="71BD0974" w14:textId="58B73659" w:rsidR="00CB7C40" w:rsidRPr="006C5E8D" w:rsidRDefault="00ED4460" w:rsidP="00C264EE">
      <w:pPr>
        <w:pStyle w:val="Para1"/>
        <w:numPr>
          <w:ilvl w:val="0"/>
          <w:numId w:val="25"/>
        </w:numPr>
        <w:tabs>
          <w:tab w:val="clear" w:pos="360"/>
        </w:tabs>
        <w:kinsoku w:val="0"/>
        <w:overflowPunct w:val="0"/>
        <w:autoSpaceDE w:val="0"/>
        <w:autoSpaceDN w:val="0"/>
        <w:snapToGrid w:val="0"/>
        <w:rPr>
          <w:kern w:val="22"/>
          <w:szCs w:val="22"/>
        </w:rPr>
      </w:pPr>
      <w:r>
        <w:t xml:space="preserve">Целевая задача, принятая в пункте 1(a) решения XII/3 (далее «целевая задача (a)»), призывала, используя в качестве основного показателя среднегодовые объемы финансирования биоразнообразия за 2006-2010 годы, увеличить вдвое к 2015 году совокупный объем международных потоков финансовых ресурсов на цели финансирования биоразнообразия в развивающиеся страны, и, в частности, в наименее развитые страны и малые островные развивающиеся государства, а также в страны с переходной экономикой, и как минимум поддерживать их на этом уровне до 2020 года. </w:t>
      </w:r>
    </w:p>
    <w:p w14:paraId="4E9834F5" w14:textId="2E2915FF" w:rsidR="00855A78" w:rsidRPr="000412F5" w:rsidRDefault="00855A78" w:rsidP="00C264EE">
      <w:pPr>
        <w:pStyle w:val="Para1"/>
        <w:numPr>
          <w:ilvl w:val="0"/>
          <w:numId w:val="25"/>
        </w:numPr>
        <w:tabs>
          <w:tab w:val="clear" w:pos="360"/>
        </w:tabs>
        <w:kinsoku w:val="0"/>
        <w:overflowPunct w:val="0"/>
        <w:autoSpaceDE w:val="0"/>
        <w:autoSpaceDN w:val="0"/>
        <w:snapToGrid w:val="0"/>
        <w:rPr>
          <w:kern w:val="22"/>
          <w:szCs w:val="22"/>
        </w:rPr>
      </w:pPr>
      <w:r>
        <w:t>В общей сложности 32 Стороны, включая 26 из 30 членов Комитета содействия развитию (КСР) Организации экономического сотрудничества и развития (ОЭСР), предоставили информацию о выделяемом ими объеме таких ресурсов. Тридцать Сторон (25 член</w:t>
      </w:r>
      <w:r w:rsidR="00563B04">
        <w:t>ов</w:t>
      </w:r>
      <w:r>
        <w:t xml:space="preserve"> КСР и 5 стран, не входящих в КСР) предоставили </w:t>
      </w:r>
      <w:r w:rsidR="009B155E">
        <w:t>исходные показател</w:t>
      </w:r>
      <w:r w:rsidR="009B155E">
        <w:t>и</w:t>
      </w:r>
      <w:r>
        <w:t>. Из 25 членов КСР 9 являются крупнейшими донорами двусторонней помощи в области биоразнообразия</w:t>
      </w:r>
      <w:r w:rsidRPr="000412F5">
        <w:rPr>
          <w:rStyle w:val="Appelnotedebasdep"/>
          <w:kern w:val="22"/>
          <w:szCs w:val="22"/>
        </w:rPr>
        <w:footnoteReference w:id="7"/>
      </w:r>
      <w:r>
        <w:t xml:space="preserve"> в период базовых лет (за исключением второго крупнейшего донора в этот период, который не является Стороной Конвенции). Из-за нехватки данных или изменения статуса некоторые страны не предоставили </w:t>
      </w:r>
      <w:r w:rsidR="009B155E">
        <w:t>исходные показател</w:t>
      </w:r>
      <w:r w:rsidR="009B155E">
        <w:t>и</w:t>
      </w:r>
      <w:r>
        <w:t>, но сообщили о последующих результатах (Бразилия, Болгария, Мальта, Словакия, Чили).</w:t>
      </w:r>
    </w:p>
    <w:p w14:paraId="1BA1EDBF" w14:textId="571B852E" w:rsidR="00D0444D" w:rsidRPr="007201FF" w:rsidRDefault="00264438" w:rsidP="00C264EE">
      <w:pPr>
        <w:pStyle w:val="Para1"/>
        <w:numPr>
          <w:ilvl w:val="0"/>
          <w:numId w:val="25"/>
        </w:numPr>
        <w:tabs>
          <w:tab w:val="clear" w:pos="360"/>
        </w:tabs>
        <w:kinsoku w:val="0"/>
        <w:overflowPunct w:val="0"/>
        <w:autoSpaceDE w:val="0"/>
        <w:autoSpaceDN w:val="0"/>
        <w:snapToGrid w:val="0"/>
        <w:rPr>
          <w:kern w:val="22"/>
          <w:szCs w:val="22"/>
        </w:rPr>
      </w:pPr>
      <w:r>
        <w:t xml:space="preserve">С тем, чтобы можно было агрегировать представленные данные, соответствующие вопросы в структуре представления финансовой отчетности и соответствующие таблицы касались только тех стран, которые </w:t>
      </w:r>
      <w:r>
        <w:rPr>
          <w:i/>
          <w:iCs/>
        </w:rPr>
        <w:t>предоставляли</w:t>
      </w:r>
      <w:r>
        <w:t xml:space="preserve"> финансовые ресурсы на цели финансирования биоразнообразия в </w:t>
      </w:r>
      <w:r>
        <w:lastRenderedPageBreak/>
        <w:t xml:space="preserve">развивающиеся страны, в частности в наименее развитые страны и малые островные развивающиеся государства, а также в страны с переходной экономикой. Однако, учитывая, что остальная часть структуры представления финансовой отчетности касается всех стран, это разделение зачастую вводит в заблуждение, поскольку некоторые страны указывали в соответствующих таблицах </w:t>
      </w:r>
      <w:r>
        <w:rPr>
          <w:i/>
          <w:iCs/>
        </w:rPr>
        <w:t>полученные</w:t>
      </w:r>
      <w:r>
        <w:t xml:space="preserve"> ресурсы, и потребовалось немало времени и усилий, чтобы выявить, провести проверку и, насколько возможно, решить эту проб</w:t>
      </w:r>
      <w:r w:rsidR="009B155E">
        <w:t>лем</w:t>
      </w:r>
      <w:r>
        <w:t>у.</w:t>
      </w:r>
    </w:p>
    <w:p w14:paraId="23F9E207" w14:textId="1D9611CF" w:rsidR="00431DAA" w:rsidRPr="007201FF" w:rsidRDefault="00AB1CEB" w:rsidP="00C264EE">
      <w:pPr>
        <w:pStyle w:val="Para1"/>
        <w:numPr>
          <w:ilvl w:val="0"/>
          <w:numId w:val="25"/>
        </w:numPr>
        <w:tabs>
          <w:tab w:val="clear" w:pos="360"/>
        </w:tabs>
        <w:kinsoku w:val="0"/>
        <w:overflowPunct w:val="0"/>
        <w:autoSpaceDE w:val="0"/>
        <w:autoSpaceDN w:val="0"/>
        <w:snapToGrid w:val="0"/>
        <w:rPr>
          <w:kern w:val="22"/>
          <w:szCs w:val="22"/>
        </w:rPr>
      </w:pPr>
      <w:r>
        <w:t xml:space="preserve">В таблице 1 ниже представлена сводная информация о глобальном прогрессе в выполнении целевой задачи (a) решения XII/3 (увеличить вдвое к 2015 году совокупный объем международных потоков финансовых ресурсов на цели финансирования биоразнообразия, и как минимум поддерживать их на этом уровне до 2020 года). В таблице в приложении II представлена конкретная информация по странам. Коэффициенты рассчитываются на основе </w:t>
      </w:r>
      <w:r w:rsidR="009B155E">
        <w:t>исходны</w:t>
      </w:r>
      <w:r w:rsidR="009B155E">
        <w:t>х</w:t>
      </w:r>
      <w:r w:rsidR="009B155E">
        <w:t xml:space="preserve"> </w:t>
      </w:r>
      <w:r>
        <w:t xml:space="preserve">показателей тех Сторон, которые предоставили данные за конкретный год; то есть в таблицу включена </w:t>
      </w:r>
      <w:r w:rsidR="0092026E">
        <w:t xml:space="preserve">только </w:t>
      </w:r>
      <w:r>
        <w:t xml:space="preserve">информация Сторон, в отношении которых имеются </w:t>
      </w:r>
      <w:r w:rsidR="009B155E">
        <w:t xml:space="preserve">исходные </w:t>
      </w:r>
      <w:r>
        <w:t>данные. Чем более поздним является год, тем больше отмечается пробелов в отчетных данных; в связи с чем данные за отдельные годы следует сравнивать с осторожностью и избегать сравнения данны</w:t>
      </w:r>
      <w:r w:rsidR="0092026E">
        <w:t>х</w:t>
      </w:r>
      <w:r>
        <w:t xml:space="preserve"> за 2019 и 2020 годы. Данные за 2019 и 2020 годы в целом следует интерпретировать с особой осторожностью, поскольку Стороны, представившие данные за эти годы, </w:t>
      </w:r>
      <w:r w:rsidR="00AE3B5D">
        <w:t>представляют</w:t>
      </w:r>
      <w:r>
        <w:t xml:space="preserve"> лишь 39% и 30% от </w:t>
      </w:r>
      <w:r w:rsidR="009B155E">
        <w:t>исходн</w:t>
      </w:r>
      <w:r w:rsidR="009B155E">
        <w:t>ого</w:t>
      </w:r>
      <w:r w:rsidR="009B155E">
        <w:t xml:space="preserve"> </w:t>
      </w:r>
      <w:r w:rsidR="00AE3B5D">
        <w:t>уровня</w:t>
      </w:r>
      <w:r>
        <w:t xml:space="preserve">, соответственно. Несмотря на то, что Стороны, которые уже представили данные за 2019 и 2020 годы, в совокупности увеличили свои международные потоки более чем в два раза, на данном этапе эти результаты нельзя экстраполировать на другие страны. </w:t>
      </w:r>
    </w:p>
    <w:tbl>
      <w:tblPr>
        <w:tblStyle w:val="Grilledutableau"/>
        <w:tblW w:w="0" w:type="auto"/>
        <w:tblLook w:val="04A0" w:firstRow="1" w:lastRow="0" w:firstColumn="1" w:lastColumn="0" w:noHBand="0" w:noVBand="1"/>
      </w:tblPr>
      <w:tblGrid>
        <w:gridCol w:w="4111"/>
        <w:gridCol w:w="787"/>
        <w:gridCol w:w="862"/>
        <w:gridCol w:w="810"/>
        <w:gridCol w:w="824"/>
        <w:gridCol w:w="1041"/>
        <w:gridCol w:w="1041"/>
      </w:tblGrid>
      <w:tr w:rsidR="008419B0" w14:paraId="08C963F2" w14:textId="77777777" w:rsidTr="005C70F5">
        <w:tc>
          <w:tcPr>
            <w:tcW w:w="9476" w:type="dxa"/>
            <w:gridSpan w:val="7"/>
            <w:tcBorders>
              <w:top w:val="nil"/>
              <w:left w:val="nil"/>
              <w:bottom w:val="single" w:sz="4" w:space="0" w:color="auto"/>
              <w:right w:val="nil"/>
            </w:tcBorders>
          </w:tcPr>
          <w:p w14:paraId="118A7C25" w14:textId="1A396ACB" w:rsidR="008419B0" w:rsidRPr="00E06110" w:rsidRDefault="008419B0" w:rsidP="003D5DF3">
            <w:pPr>
              <w:pStyle w:val="Para1"/>
              <w:keepNext/>
              <w:numPr>
                <w:ilvl w:val="0"/>
                <w:numId w:val="0"/>
              </w:numPr>
              <w:kinsoku w:val="0"/>
              <w:overflowPunct w:val="0"/>
              <w:autoSpaceDE w:val="0"/>
              <w:autoSpaceDN w:val="0"/>
              <w:snapToGrid w:val="0"/>
              <w:spacing w:after="60"/>
              <w:jc w:val="left"/>
              <w:rPr>
                <w:b/>
                <w:bCs/>
                <w:kern w:val="22"/>
                <w:szCs w:val="22"/>
              </w:rPr>
            </w:pPr>
            <w:r>
              <w:rPr>
                <w:b/>
                <w:bCs/>
                <w:szCs w:val="22"/>
              </w:rPr>
              <w:t>Таблица 1. Глобальный прогресс в выполнении целевой задачи (a)</w:t>
            </w:r>
          </w:p>
        </w:tc>
      </w:tr>
      <w:tr w:rsidR="00294B91" w14:paraId="7956B130" w14:textId="77777777" w:rsidTr="005C70F5">
        <w:tc>
          <w:tcPr>
            <w:tcW w:w="4111" w:type="dxa"/>
            <w:tcBorders>
              <w:top w:val="single" w:sz="4" w:space="0" w:color="auto"/>
            </w:tcBorders>
          </w:tcPr>
          <w:p w14:paraId="2D85DA02" w14:textId="3561765E" w:rsidR="00084A0A" w:rsidRPr="005E7CD0" w:rsidRDefault="008419B0" w:rsidP="005E28C3">
            <w:pPr>
              <w:pStyle w:val="Para1"/>
              <w:numPr>
                <w:ilvl w:val="0"/>
                <w:numId w:val="0"/>
              </w:numPr>
              <w:kinsoku w:val="0"/>
              <w:overflowPunct w:val="0"/>
              <w:autoSpaceDE w:val="0"/>
              <w:autoSpaceDN w:val="0"/>
              <w:snapToGrid w:val="0"/>
              <w:spacing w:before="60" w:after="60"/>
              <w:rPr>
                <w:kern w:val="22"/>
                <w:szCs w:val="22"/>
              </w:rPr>
            </w:pPr>
            <w:r>
              <w:t>Год</w:t>
            </w:r>
          </w:p>
        </w:tc>
        <w:tc>
          <w:tcPr>
            <w:tcW w:w="787" w:type="dxa"/>
            <w:tcBorders>
              <w:top w:val="single" w:sz="4" w:space="0" w:color="auto"/>
            </w:tcBorders>
          </w:tcPr>
          <w:p w14:paraId="03093BB9" w14:textId="7AD7A6F2" w:rsidR="00084A0A" w:rsidRPr="00A31DA9" w:rsidRDefault="00084A0A" w:rsidP="005E28C3">
            <w:pPr>
              <w:pStyle w:val="Para1"/>
              <w:numPr>
                <w:ilvl w:val="0"/>
                <w:numId w:val="0"/>
              </w:numPr>
              <w:kinsoku w:val="0"/>
              <w:overflowPunct w:val="0"/>
              <w:autoSpaceDE w:val="0"/>
              <w:autoSpaceDN w:val="0"/>
              <w:snapToGrid w:val="0"/>
              <w:spacing w:before="60" w:after="60"/>
              <w:jc w:val="right"/>
              <w:rPr>
                <w:kern w:val="22"/>
                <w:szCs w:val="22"/>
              </w:rPr>
            </w:pPr>
            <w:r>
              <w:t>2015</w:t>
            </w:r>
          </w:p>
        </w:tc>
        <w:tc>
          <w:tcPr>
            <w:tcW w:w="862" w:type="dxa"/>
            <w:tcBorders>
              <w:top w:val="single" w:sz="4" w:space="0" w:color="auto"/>
            </w:tcBorders>
          </w:tcPr>
          <w:p w14:paraId="1444D624" w14:textId="2AF7C926" w:rsidR="00084A0A" w:rsidRDefault="00084A0A" w:rsidP="005E28C3">
            <w:pPr>
              <w:pStyle w:val="Para1"/>
              <w:numPr>
                <w:ilvl w:val="0"/>
                <w:numId w:val="0"/>
              </w:numPr>
              <w:kinsoku w:val="0"/>
              <w:overflowPunct w:val="0"/>
              <w:autoSpaceDE w:val="0"/>
              <w:autoSpaceDN w:val="0"/>
              <w:snapToGrid w:val="0"/>
              <w:spacing w:before="60" w:after="60"/>
              <w:jc w:val="right"/>
              <w:rPr>
                <w:kern w:val="22"/>
                <w:szCs w:val="22"/>
              </w:rPr>
            </w:pPr>
            <w:r>
              <w:t>2016</w:t>
            </w:r>
          </w:p>
        </w:tc>
        <w:tc>
          <w:tcPr>
            <w:tcW w:w="810" w:type="dxa"/>
            <w:tcBorders>
              <w:top w:val="single" w:sz="4" w:space="0" w:color="auto"/>
            </w:tcBorders>
          </w:tcPr>
          <w:p w14:paraId="2FD7E3D2" w14:textId="444ECAFD" w:rsidR="00084A0A" w:rsidRDefault="00084A0A" w:rsidP="005E28C3">
            <w:pPr>
              <w:pStyle w:val="Para1"/>
              <w:numPr>
                <w:ilvl w:val="0"/>
                <w:numId w:val="0"/>
              </w:numPr>
              <w:kinsoku w:val="0"/>
              <w:overflowPunct w:val="0"/>
              <w:autoSpaceDE w:val="0"/>
              <w:autoSpaceDN w:val="0"/>
              <w:snapToGrid w:val="0"/>
              <w:spacing w:before="60" w:after="60"/>
              <w:jc w:val="right"/>
              <w:rPr>
                <w:kern w:val="22"/>
                <w:szCs w:val="22"/>
              </w:rPr>
            </w:pPr>
            <w:r>
              <w:t>2017</w:t>
            </w:r>
          </w:p>
        </w:tc>
        <w:tc>
          <w:tcPr>
            <w:tcW w:w="824" w:type="dxa"/>
            <w:tcBorders>
              <w:top w:val="single" w:sz="4" w:space="0" w:color="auto"/>
            </w:tcBorders>
          </w:tcPr>
          <w:p w14:paraId="084BB760" w14:textId="0912CA64" w:rsidR="00084A0A" w:rsidRDefault="00EE359D" w:rsidP="005E28C3">
            <w:pPr>
              <w:pStyle w:val="Para1"/>
              <w:numPr>
                <w:ilvl w:val="0"/>
                <w:numId w:val="0"/>
              </w:numPr>
              <w:kinsoku w:val="0"/>
              <w:overflowPunct w:val="0"/>
              <w:autoSpaceDE w:val="0"/>
              <w:autoSpaceDN w:val="0"/>
              <w:snapToGrid w:val="0"/>
              <w:spacing w:before="60" w:after="60"/>
              <w:jc w:val="right"/>
              <w:rPr>
                <w:kern w:val="22"/>
                <w:szCs w:val="22"/>
              </w:rPr>
            </w:pPr>
            <w:r>
              <w:t>2018</w:t>
            </w:r>
          </w:p>
        </w:tc>
        <w:tc>
          <w:tcPr>
            <w:tcW w:w="1041" w:type="dxa"/>
            <w:tcBorders>
              <w:top w:val="single" w:sz="4" w:space="0" w:color="auto"/>
            </w:tcBorders>
          </w:tcPr>
          <w:p w14:paraId="5BC6874F" w14:textId="63C68E5B" w:rsidR="00084A0A" w:rsidRDefault="00EE359D" w:rsidP="005E28C3">
            <w:pPr>
              <w:pStyle w:val="Para1"/>
              <w:numPr>
                <w:ilvl w:val="0"/>
                <w:numId w:val="0"/>
              </w:numPr>
              <w:kinsoku w:val="0"/>
              <w:overflowPunct w:val="0"/>
              <w:autoSpaceDE w:val="0"/>
              <w:autoSpaceDN w:val="0"/>
              <w:snapToGrid w:val="0"/>
              <w:spacing w:before="60" w:after="60"/>
              <w:jc w:val="right"/>
              <w:rPr>
                <w:kern w:val="22"/>
                <w:szCs w:val="22"/>
              </w:rPr>
            </w:pPr>
            <w:r>
              <w:t>2019</w:t>
            </w:r>
          </w:p>
        </w:tc>
        <w:tc>
          <w:tcPr>
            <w:tcW w:w="1041" w:type="dxa"/>
            <w:tcBorders>
              <w:top w:val="single" w:sz="4" w:space="0" w:color="auto"/>
            </w:tcBorders>
          </w:tcPr>
          <w:p w14:paraId="6A41CCB2" w14:textId="5FA7A19D" w:rsidR="00084A0A" w:rsidRDefault="00EE359D" w:rsidP="005E28C3">
            <w:pPr>
              <w:pStyle w:val="Para1"/>
              <w:numPr>
                <w:ilvl w:val="0"/>
                <w:numId w:val="0"/>
              </w:numPr>
              <w:kinsoku w:val="0"/>
              <w:overflowPunct w:val="0"/>
              <w:autoSpaceDE w:val="0"/>
              <w:autoSpaceDN w:val="0"/>
              <w:snapToGrid w:val="0"/>
              <w:spacing w:before="60" w:after="60"/>
              <w:jc w:val="right"/>
              <w:rPr>
                <w:kern w:val="22"/>
                <w:szCs w:val="22"/>
              </w:rPr>
            </w:pPr>
            <w:r>
              <w:t>2020</w:t>
            </w:r>
          </w:p>
        </w:tc>
      </w:tr>
      <w:tr w:rsidR="00294B91" w14:paraId="11C9202F" w14:textId="77777777" w:rsidTr="005C70F5">
        <w:tc>
          <w:tcPr>
            <w:tcW w:w="4111" w:type="dxa"/>
          </w:tcPr>
          <w:p w14:paraId="0DD86731" w14:textId="2D0D0219" w:rsidR="00084A0A" w:rsidRPr="005E7CD0" w:rsidRDefault="00C64FBF" w:rsidP="005E28C3">
            <w:pPr>
              <w:pStyle w:val="Para1"/>
              <w:numPr>
                <w:ilvl w:val="0"/>
                <w:numId w:val="0"/>
              </w:numPr>
              <w:kinsoku w:val="0"/>
              <w:overflowPunct w:val="0"/>
              <w:autoSpaceDE w:val="0"/>
              <w:autoSpaceDN w:val="0"/>
              <w:snapToGrid w:val="0"/>
              <w:spacing w:before="60" w:after="60"/>
              <w:rPr>
                <w:kern w:val="22"/>
                <w:szCs w:val="22"/>
              </w:rPr>
            </w:pPr>
            <w:r>
              <w:t>Коэффициент*</w:t>
            </w:r>
          </w:p>
        </w:tc>
        <w:tc>
          <w:tcPr>
            <w:tcW w:w="787" w:type="dxa"/>
          </w:tcPr>
          <w:p w14:paraId="41FB73E1" w14:textId="5FB077CE" w:rsidR="00084A0A" w:rsidRPr="00A31DA9" w:rsidRDefault="00FA0407" w:rsidP="005E28C3">
            <w:pPr>
              <w:pStyle w:val="Para1"/>
              <w:numPr>
                <w:ilvl w:val="0"/>
                <w:numId w:val="0"/>
              </w:numPr>
              <w:kinsoku w:val="0"/>
              <w:overflowPunct w:val="0"/>
              <w:autoSpaceDE w:val="0"/>
              <w:autoSpaceDN w:val="0"/>
              <w:snapToGrid w:val="0"/>
              <w:spacing w:before="60" w:after="60"/>
              <w:jc w:val="right"/>
              <w:rPr>
                <w:kern w:val="22"/>
                <w:szCs w:val="22"/>
              </w:rPr>
            </w:pPr>
            <w:r>
              <w:t>1,66</w:t>
            </w:r>
          </w:p>
        </w:tc>
        <w:tc>
          <w:tcPr>
            <w:tcW w:w="862" w:type="dxa"/>
          </w:tcPr>
          <w:p w14:paraId="6699579A" w14:textId="42D88627" w:rsidR="00084A0A" w:rsidRDefault="00E734EE" w:rsidP="005E28C3">
            <w:pPr>
              <w:pStyle w:val="Para1"/>
              <w:numPr>
                <w:ilvl w:val="0"/>
                <w:numId w:val="0"/>
              </w:numPr>
              <w:kinsoku w:val="0"/>
              <w:overflowPunct w:val="0"/>
              <w:autoSpaceDE w:val="0"/>
              <w:autoSpaceDN w:val="0"/>
              <w:snapToGrid w:val="0"/>
              <w:spacing w:before="60" w:after="60"/>
              <w:jc w:val="right"/>
              <w:rPr>
                <w:kern w:val="22"/>
                <w:szCs w:val="22"/>
              </w:rPr>
            </w:pPr>
            <w:r>
              <w:t>1,23</w:t>
            </w:r>
          </w:p>
        </w:tc>
        <w:tc>
          <w:tcPr>
            <w:tcW w:w="810" w:type="dxa"/>
          </w:tcPr>
          <w:p w14:paraId="23C2991F" w14:textId="0C2EBBEC" w:rsidR="00084A0A" w:rsidRDefault="00E734EE" w:rsidP="005E28C3">
            <w:pPr>
              <w:pStyle w:val="Para1"/>
              <w:numPr>
                <w:ilvl w:val="0"/>
                <w:numId w:val="0"/>
              </w:numPr>
              <w:kinsoku w:val="0"/>
              <w:overflowPunct w:val="0"/>
              <w:autoSpaceDE w:val="0"/>
              <w:autoSpaceDN w:val="0"/>
              <w:snapToGrid w:val="0"/>
              <w:spacing w:before="60" w:after="60"/>
              <w:jc w:val="right"/>
              <w:rPr>
                <w:kern w:val="22"/>
                <w:szCs w:val="22"/>
              </w:rPr>
            </w:pPr>
            <w:r>
              <w:t>1,34</w:t>
            </w:r>
          </w:p>
        </w:tc>
        <w:tc>
          <w:tcPr>
            <w:tcW w:w="824" w:type="dxa"/>
          </w:tcPr>
          <w:p w14:paraId="7B78FC7F" w14:textId="7C25BDB6" w:rsidR="00084A0A" w:rsidRDefault="003F1FB0" w:rsidP="005E28C3">
            <w:pPr>
              <w:pStyle w:val="Para1"/>
              <w:numPr>
                <w:ilvl w:val="0"/>
                <w:numId w:val="0"/>
              </w:numPr>
              <w:kinsoku w:val="0"/>
              <w:overflowPunct w:val="0"/>
              <w:autoSpaceDE w:val="0"/>
              <w:autoSpaceDN w:val="0"/>
              <w:snapToGrid w:val="0"/>
              <w:spacing w:before="60" w:after="60"/>
              <w:jc w:val="right"/>
              <w:rPr>
                <w:kern w:val="22"/>
                <w:szCs w:val="22"/>
              </w:rPr>
            </w:pPr>
            <w:r>
              <w:t>1,39</w:t>
            </w:r>
          </w:p>
        </w:tc>
        <w:tc>
          <w:tcPr>
            <w:tcW w:w="1041" w:type="dxa"/>
          </w:tcPr>
          <w:p w14:paraId="6B7B83DA" w14:textId="67164CA0" w:rsidR="00084A0A" w:rsidRDefault="003F1FB0" w:rsidP="005E28C3">
            <w:pPr>
              <w:pStyle w:val="Para1"/>
              <w:numPr>
                <w:ilvl w:val="0"/>
                <w:numId w:val="0"/>
              </w:numPr>
              <w:kinsoku w:val="0"/>
              <w:overflowPunct w:val="0"/>
              <w:autoSpaceDE w:val="0"/>
              <w:autoSpaceDN w:val="0"/>
              <w:snapToGrid w:val="0"/>
              <w:spacing w:before="60" w:after="60"/>
              <w:jc w:val="right"/>
              <w:rPr>
                <w:kern w:val="22"/>
                <w:szCs w:val="22"/>
              </w:rPr>
            </w:pPr>
            <w:r>
              <w:t>2,52**</w:t>
            </w:r>
          </w:p>
        </w:tc>
        <w:tc>
          <w:tcPr>
            <w:tcW w:w="1041" w:type="dxa"/>
          </w:tcPr>
          <w:p w14:paraId="7C7E3BCD" w14:textId="5D868445" w:rsidR="00084A0A" w:rsidRDefault="003F1FB0" w:rsidP="005E28C3">
            <w:pPr>
              <w:pStyle w:val="Para1"/>
              <w:numPr>
                <w:ilvl w:val="0"/>
                <w:numId w:val="0"/>
              </w:numPr>
              <w:kinsoku w:val="0"/>
              <w:overflowPunct w:val="0"/>
              <w:autoSpaceDE w:val="0"/>
              <w:autoSpaceDN w:val="0"/>
              <w:snapToGrid w:val="0"/>
              <w:spacing w:before="60" w:after="60"/>
              <w:jc w:val="right"/>
              <w:rPr>
                <w:kern w:val="22"/>
                <w:szCs w:val="22"/>
              </w:rPr>
            </w:pPr>
            <w:r>
              <w:t>2,83**</w:t>
            </w:r>
          </w:p>
        </w:tc>
      </w:tr>
      <w:tr w:rsidR="00294B91" w14:paraId="6CBE1F2D" w14:textId="77777777" w:rsidTr="005C70F5">
        <w:tc>
          <w:tcPr>
            <w:tcW w:w="4111" w:type="dxa"/>
          </w:tcPr>
          <w:p w14:paraId="6BE47686" w14:textId="5FE3A26D" w:rsidR="00084A0A" w:rsidRPr="005E7CD0" w:rsidRDefault="004170ED" w:rsidP="00AE3B5D">
            <w:pPr>
              <w:pStyle w:val="Para1"/>
              <w:numPr>
                <w:ilvl w:val="0"/>
                <w:numId w:val="0"/>
              </w:numPr>
              <w:kinsoku w:val="0"/>
              <w:overflowPunct w:val="0"/>
              <w:autoSpaceDE w:val="0"/>
              <w:autoSpaceDN w:val="0"/>
              <w:snapToGrid w:val="0"/>
              <w:spacing w:before="60" w:after="60"/>
              <w:jc w:val="left"/>
              <w:rPr>
                <w:kern w:val="22"/>
                <w:szCs w:val="22"/>
              </w:rPr>
            </w:pPr>
            <w:r>
              <w:t>Число Сторон, представивших отчетность</w:t>
            </w:r>
          </w:p>
        </w:tc>
        <w:tc>
          <w:tcPr>
            <w:tcW w:w="787" w:type="dxa"/>
          </w:tcPr>
          <w:p w14:paraId="36A3EF83" w14:textId="76119982" w:rsidR="00084A0A" w:rsidRPr="00A31DA9" w:rsidRDefault="009525B9" w:rsidP="005E28C3">
            <w:pPr>
              <w:pStyle w:val="Para1"/>
              <w:numPr>
                <w:ilvl w:val="0"/>
                <w:numId w:val="0"/>
              </w:numPr>
              <w:kinsoku w:val="0"/>
              <w:overflowPunct w:val="0"/>
              <w:autoSpaceDE w:val="0"/>
              <w:autoSpaceDN w:val="0"/>
              <w:snapToGrid w:val="0"/>
              <w:spacing w:before="60" w:after="60"/>
              <w:jc w:val="right"/>
              <w:rPr>
                <w:kern w:val="22"/>
                <w:szCs w:val="22"/>
              </w:rPr>
            </w:pPr>
            <w:r>
              <w:t>28</w:t>
            </w:r>
          </w:p>
        </w:tc>
        <w:tc>
          <w:tcPr>
            <w:tcW w:w="862" w:type="dxa"/>
          </w:tcPr>
          <w:p w14:paraId="4A283FBE" w14:textId="1DEFC05F"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rPr>
            </w:pPr>
            <w:r>
              <w:t>19</w:t>
            </w:r>
          </w:p>
        </w:tc>
        <w:tc>
          <w:tcPr>
            <w:tcW w:w="810" w:type="dxa"/>
          </w:tcPr>
          <w:p w14:paraId="05223CFC" w14:textId="3536F14C"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rPr>
            </w:pPr>
            <w:r>
              <w:t>19</w:t>
            </w:r>
          </w:p>
        </w:tc>
        <w:tc>
          <w:tcPr>
            <w:tcW w:w="824" w:type="dxa"/>
          </w:tcPr>
          <w:p w14:paraId="0D8A44AD" w14:textId="1C3380C7"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rPr>
            </w:pPr>
            <w:r>
              <w:t>15</w:t>
            </w:r>
          </w:p>
        </w:tc>
        <w:tc>
          <w:tcPr>
            <w:tcW w:w="1041" w:type="dxa"/>
          </w:tcPr>
          <w:p w14:paraId="0C794C03" w14:textId="74F0B539"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rPr>
            </w:pPr>
            <w:r>
              <w:t>14</w:t>
            </w:r>
          </w:p>
        </w:tc>
        <w:tc>
          <w:tcPr>
            <w:tcW w:w="1041" w:type="dxa"/>
          </w:tcPr>
          <w:p w14:paraId="2465B42E" w14:textId="5165538D" w:rsidR="00084A0A" w:rsidRDefault="009525B9" w:rsidP="005E28C3">
            <w:pPr>
              <w:pStyle w:val="Para1"/>
              <w:numPr>
                <w:ilvl w:val="0"/>
                <w:numId w:val="0"/>
              </w:numPr>
              <w:kinsoku w:val="0"/>
              <w:overflowPunct w:val="0"/>
              <w:autoSpaceDE w:val="0"/>
              <w:autoSpaceDN w:val="0"/>
              <w:snapToGrid w:val="0"/>
              <w:spacing w:before="60" w:after="60"/>
              <w:jc w:val="right"/>
              <w:rPr>
                <w:kern w:val="22"/>
                <w:szCs w:val="22"/>
              </w:rPr>
            </w:pPr>
            <w:r>
              <w:t>9</w:t>
            </w:r>
          </w:p>
        </w:tc>
      </w:tr>
      <w:tr w:rsidR="00294B91" w14:paraId="344238AD" w14:textId="77777777" w:rsidTr="005C70F5">
        <w:tc>
          <w:tcPr>
            <w:tcW w:w="4111" w:type="dxa"/>
            <w:tcBorders>
              <w:bottom w:val="single" w:sz="4" w:space="0" w:color="auto"/>
            </w:tcBorders>
          </w:tcPr>
          <w:p w14:paraId="54BEF2B7" w14:textId="54CC1E17" w:rsidR="00084A0A" w:rsidRPr="005E7CD0" w:rsidRDefault="009B155E" w:rsidP="00C264EE">
            <w:pPr>
              <w:pStyle w:val="Para1"/>
              <w:numPr>
                <w:ilvl w:val="0"/>
                <w:numId w:val="0"/>
              </w:numPr>
              <w:kinsoku w:val="0"/>
              <w:overflowPunct w:val="0"/>
              <w:autoSpaceDE w:val="0"/>
              <w:autoSpaceDN w:val="0"/>
              <w:snapToGrid w:val="0"/>
              <w:spacing w:before="60" w:after="60"/>
              <w:jc w:val="left"/>
              <w:rPr>
                <w:kern w:val="22"/>
                <w:szCs w:val="22"/>
              </w:rPr>
            </w:pPr>
            <w:r>
              <w:t>И</w:t>
            </w:r>
            <w:r>
              <w:t>сходны</w:t>
            </w:r>
            <w:r>
              <w:t>й</w:t>
            </w:r>
            <w:r>
              <w:t xml:space="preserve"> </w:t>
            </w:r>
            <w:r w:rsidR="0022796E">
              <w:t xml:space="preserve">показатель представивших отчетность Сторон в каждом году в процентном соотношении к общему </w:t>
            </w:r>
            <w:r>
              <w:t>исходно</w:t>
            </w:r>
            <w:r>
              <w:t>му</w:t>
            </w:r>
            <w:r>
              <w:t xml:space="preserve"> </w:t>
            </w:r>
            <w:r w:rsidR="0022796E">
              <w:t xml:space="preserve">уровню </w:t>
            </w:r>
          </w:p>
        </w:tc>
        <w:tc>
          <w:tcPr>
            <w:tcW w:w="787" w:type="dxa"/>
            <w:tcBorders>
              <w:bottom w:val="single" w:sz="4" w:space="0" w:color="auto"/>
            </w:tcBorders>
          </w:tcPr>
          <w:p w14:paraId="3C722994" w14:textId="4E45D9FA" w:rsidR="00084A0A" w:rsidRPr="00E93F51" w:rsidRDefault="00A87D93" w:rsidP="005E28C3">
            <w:pPr>
              <w:pStyle w:val="Para1"/>
              <w:numPr>
                <w:ilvl w:val="0"/>
                <w:numId w:val="0"/>
              </w:numPr>
              <w:kinsoku w:val="0"/>
              <w:overflowPunct w:val="0"/>
              <w:autoSpaceDE w:val="0"/>
              <w:autoSpaceDN w:val="0"/>
              <w:snapToGrid w:val="0"/>
              <w:spacing w:before="60" w:after="60"/>
              <w:jc w:val="right"/>
              <w:rPr>
                <w:kern w:val="22"/>
                <w:szCs w:val="22"/>
              </w:rPr>
            </w:pPr>
            <w:r>
              <w:t>99,5%</w:t>
            </w:r>
          </w:p>
        </w:tc>
        <w:tc>
          <w:tcPr>
            <w:tcW w:w="862" w:type="dxa"/>
            <w:tcBorders>
              <w:bottom w:val="single" w:sz="4" w:space="0" w:color="auto"/>
            </w:tcBorders>
          </w:tcPr>
          <w:p w14:paraId="02B1D71B" w14:textId="68C81D1E" w:rsidR="00084A0A" w:rsidRPr="00E93F51" w:rsidRDefault="00370037" w:rsidP="005E28C3">
            <w:pPr>
              <w:pStyle w:val="Para1"/>
              <w:numPr>
                <w:ilvl w:val="0"/>
                <w:numId w:val="0"/>
              </w:numPr>
              <w:kinsoku w:val="0"/>
              <w:overflowPunct w:val="0"/>
              <w:autoSpaceDE w:val="0"/>
              <w:autoSpaceDN w:val="0"/>
              <w:snapToGrid w:val="0"/>
              <w:spacing w:before="60" w:after="60"/>
              <w:jc w:val="right"/>
              <w:rPr>
                <w:kern w:val="22"/>
                <w:szCs w:val="22"/>
              </w:rPr>
            </w:pPr>
            <w:r>
              <w:t>92,3%</w:t>
            </w:r>
          </w:p>
        </w:tc>
        <w:tc>
          <w:tcPr>
            <w:tcW w:w="810" w:type="dxa"/>
            <w:tcBorders>
              <w:bottom w:val="single" w:sz="4" w:space="0" w:color="auto"/>
            </w:tcBorders>
          </w:tcPr>
          <w:p w14:paraId="7B95CD18" w14:textId="6011FBD0" w:rsidR="00084A0A" w:rsidRPr="00E93F51" w:rsidRDefault="00370037" w:rsidP="005E28C3">
            <w:pPr>
              <w:pStyle w:val="Para1"/>
              <w:numPr>
                <w:ilvl w:val="0"/>
                <w:numId w:val="0"/>
              </w:numPr>
              <w:kinsoku w:val="0"/>
              <w:overflowPunct w:val="0"/>
              <w:autoSpaceDE w:val="0"/>
              <w:autoSpaceDN w:val="0"/>
              <w:snapToGrid w:val="0"/>
              <w:spacing w:before="60" w:after="60"/>
              <w:jc w:val="right"/>
              <w:rPr>
                <w:kern w:val="22"/>
                <w:szCs w:val="22"/>
              </w:rPr>
            </w:pPr>
            <w:r>
              <w:t>91,9%</w:t>
            </w:r>
          </w:p>
        </w:tc>
        <w:tc>
          <w:tcPr>
            <w:tcW w:w="824" w:type="dxa"/>
            <w:tcBorders>
              <w:bottom w:val="single" w:sz="4" w:space="0" w:color="auto"/>
            </w:tcBorders>
          </w:tcPr>
          <w:p w14:paraId="3CEA0AF5" w14:textId="142BEFDF" w:rsidR="00084A0A" w:rsidRPr="00E93F51" w:rsidRDefault="001E319A" w:rsidP="005E28C3">
            <w:pPr>
              <w:pStyle w:val="Para1"/>
              <w:numPr>
                <w:ilvl w:val="0"/>
                <w:numId w:val="0"/>
              </w:numPr>
              <w:kinsoku w:val="0"/>
              <w:overflowPunct w:val="0"/>
              <w:autoSpaceDE w:val="0"/>
              <w:autoSpaceDN w:val="0"/>
              <w:snapToGrid w:val="0"/>
              <w:spacing w:before="60" w:after="60"/>
              <w:jc w:val="right"/>
              <w:rPr>
                <w:kern w:val="22"/>
                <w:szCs w:val="22"/>
              </w:rPr>
            </w:pPr>
            <w:r>
              <w:t>85,4%</w:t>
            </w:r>
          </w:p>
        </w:tc>
        <w:tc>
          <w:tcPr>
            <w:tcW w:w="1041" w:type="dxa"/>
            <w:tcBorders>
              <w:bottom w:val="single" w:sz="4" w:space="0" w:color="auto"/>
            </w:tcBorders>
          </w:tcPr>
          <w:p w14:paraId="79B31F82" w14:textId="2CF63454" w:rsidR="00084A0A" w:rsidRPr="00E93F51" w:rsidRDefault="001E319A" w:rsidP="005E28C3">
            <w:pPr>
              <w:pStyle w:val="Para1"/>
              <w:numPr>
                <w:ilvl w:val="0"/>
                <w:numId w:val="0"/>
              </w:numPr>
              <w:kinsoku w:val="0"/>
              <w:overflowPunct w:val="0"/>
              <w:autoSpaceDE w:val="0"/>
              <w:autoSpaceDN w:val="0"/>
              <w:snapToGrid w:val="0"/>
              <w:spacing w:before="60" w:after="60"/>
              <w:jc w:val="right"/>
              <w:rPr>
                <w:kern w:val="22"/>
                <w:szCs w:val="22"/>
              </w:rPr>
            </w:pPr>
            <w:r>
              <w:t>38,8%</w:t>
            </w:r>
          </w:p>
        </w:tc>
        <w:tc>
          <w:tcPr>
            <w:tcW w:w="1041" w:type="dxa"/>
            <w:tcBorders>
              <w:bottom w:val="single" w:sz="4" w:space="0" w:color="auto"/>
            </w:tcBorders>
          </w:tcPr>
          <w:p w14:paraId="67CCBB81" w14:textId="727B52FE" w:rsidR="00084A0A" w:rsidRPr="00E93F51" w:rsidRDefault="001E319A" w:rsidP="005E28C3">
            <w:pPr>
              <w:pStyle w:val="Para1"/>
              <w:numPr>
                <w:ilvl w:val="0"/>
                <w:numId w:val="0"/>
              </w:numPr>
              <w:kinsoku w:val="0"/>
              <w:overflowPunct w:val="0"/>
              <w:autoSpaceDE w:val="0"/>
              <w:autoSpaceDN w:val="0"/>
              <w:snapToGrid w:val="0"/>
              <w:spacing w:before="60" w:after="60"/>
              <w:jc w:val="right"/>
              <w:rPr>
                <w:kern w:val="22"/>
                <w:szCs w:val="22"/>
              </w:rPr>
            </w:pPr>
            <w:r>
              <w:t>30,5%</w:t>
            </w:r>
          </w:p>
        </w:tc>
      </w:tr>
      <w:tr w:rsidR="00F2097B" w14:paraId="45F073FE" w14:textId="77777777" w:rsidTr="005C70F5">
        <w:tc>
          <w:tcPr>
            <w:tcW w:w="9476" w:type="dxa"/>
            <w:gridSpan w:val="7"/>
            <w:tcBorders>
              <w:top w:val="single" w:sz="4" w:space="0" w:color="auto"/>
              <w:left w:val="nil"/>
              <w:bottom w:val="nil"/>
              <w:right w:val="nil"/>
            </w:tcBorders>
          </w:tcPr>
          <w:p w14:paraId="507F7D22" w14:textId="6BBE95EE" w:rsidR="00F2097B" w:rsidRPr="00C264EE" w:rsidRDefault="001E4EA7" w:rsidP="00C264EE">
            <w:pPr>
              <w:pStyle w:val="Para1"/>
              <w:numPr>
                <w:ilvl w:val="0"/>
                <w:numId w:val="0"/>
              </w:numPr>
              <w:kinsoku w:val="0"/>
              <w:overflowPunct w:val="0"/>
              <w:autoSpaceDE w:val="0"/>
              <w:autoSpaceDN w:val="0"/>
              <w:snapToGrid w:val="0"/>
              <w:spacing w:before="0" w:after="60"/>
              <w:rPr>
                <w:i/>
                <w:iCs/>
                <w:kern w:val="22"/>
                <w:sz w:val="20"/>
                <w:szCs w:val="20"/>
              </w:rPr>
            </w:pPr>
            <w:r>
              <w:rPr>
                <w:i/>
                <w:iCs/>
                <w:sz w:val="20"/>
                <w:szCs w:val="20"/>
              </w:rPr>
              <w:t>Рассчитано на основе данных анализатора структуры представления финансовой отчетности.</w:t>
            </w:r>
          </w:p>
        </w:tc>
      </w:tr>
      <w:tr w:rsidR="00BF76FC" w:rsidRPr="00A21F60" w14:paraId="5A4B9552" w14:textId="77777777" w:rsidTr="005C70F5">
        <w:tc>
          <w:tcPr>
            <w:tcW w:w="9476" w:type="dxa"/>
            <w:gridSpan w:val="7"/>
            <w:tcBorders>
              <w:top w:val="nil"/>
              <w:left w:val="nil"/>
              <w:bottom w:val="nil"/>
              <w:right w:val="nil"/>
            </w:tcBorders>
          </w:tcPr>
          <w:p w14:paraId="0822127C" w14:textId="686C92FC" w:rsidR="00BF76FC" w:rsidRPr="00C264EE" w:rsidRDefault="001F4E39" w:rsidP="0030446D">
            <w:pPr>
              <w:pStyle w:val="Para1"/>
              <w:numPr>
                <w:ilvl w:val="0"/>
                <w:numId w:val="0"/>
              </w:numPr>
              <w:kinsoku w:val="0"/>
              <w:overflowPunct w:val="0"/>
              <w:autoSpaceDE w:val="0"/>
              <w:autoSpaceDN w:val="0"/>
              <w:snapToGrid w:val="0"/>
              <w:spacing w:before="0" w:after="60"/>
              <w:rPr>
                <w:rFonts w:asciiTheme="majorBidi" w:hAnsiTheme="majorBidi" w:cstheme="majorBidi"/>
                <w:kern w:val="22"/>
                <w:sz w:val="20"/>
                <w:szCs w:val="20"/>
              </w:rPr>
            </w:pPr>
            <w:r>
              <w:rPr>
                <w:sz w:val="20"/>
                <w:szCs w:val="20"/>
              </w:rPr>
              <w:t xml:space="preserve">* Коэффициент = представленные годовые международные потоки, поделенные на представленный исходный уровень тех Сторон, которые предоставили данные за указанный год. </w:t>
            </w:r>
            <w:r>
              <w:rPr>
                <w:rFonts w:asciiTheme="majorBidi" w:hAnsiTheme="majorBidi"/>
                <w:sz w:val="20"/>
                <w:szCs w:val="20"/>
              </w:rPr>
              <w:t>Коэффициент ≥ 2 означает, что целевая задача по увеличению вдвое международных потоков была достигнута.</w:t>
            </w:r>
          </w:p>
          <w:p w14:paraId="41905CF9" w14:textId="284FBCF8" w:rsidR="00A87D93" w:rsidRPr="00C264EE" w:rsidRDefault="00E150A2" w:rsidP="0030446D">
            <w:pPr>
              <w:pStyle w:val="Para1"/>
              <w:numPr>
                <w:ilvl w:val="0"/>
                <w:numId w:val="0"/>
              </w:numPr>
              <w:kinsoku w:val="0"/>
              <w:overflowPunct w:val="0"/>
              <w:autoSpaceDE w:val="0"/>
              <w:autoSpaceDN w:val="0"/>
              <w:snapToGrid w:val="0"/>
              <w:spacing w:before="0" w:after="60"/>
              <w:rPr>
                <w:rFonts w:asciiTheme="majorBidi" w:hAnsiTheme="majorBidi" w:cstheme="majorBidi"/>
                <w:kern w:val="22"/>
                <w:sz w:val="20"/>
                <w:szCs w:val="20"/>
              </w:rPr>
            </w:pPr>
            <w:r>
              <w:rPr>
                <w:rFonts w:asciiTheme="majorBidi" w:hAnsiTheme="majorBidi"/>
                <w:sz w:val="20"/>
                <w:szCs w:val="20"/>
              </w:rPr>
              <w:t>** См. обсуждение в пункте 10.</w:t>
            </w:r>
          </w:p>
        </w:tc>
      </w:tr>
    </w:tbl>
    <w:p w14:paraId="3A3F13F0" w14:textId="6830D241" w:rsidR="00855A78" w:rsidRPr="00540EA5" w:rsidRDefault="00FF6B1C" w:rsidP="00C264EE">
      <w:pPr>
        <w:numPr>
          <w:ilvl w:val="0"/>
          <w:numId w:val="25"/>
        </w:numPr>
        <w:suppressLineNumbers/>
        <w:tabs>
          <w:tab w:val="clear" w:pos="360"/>
        </w:tabs>
        <w:suppressAutoHyphens/>
        <w:kinsoku w:val="0"/>
        <w:overflowPunct w:val="0"/>
        <w:autoSpaceDE w:val="0"/>
        <w:autoSpaceDN w:val="0"/>
        <w:adjustRightInd w:val="0"/>
        <w:snapToGrid w:val="0"/>
        <w:spacing w:before="120" w:after="120"/>
        <w:rPr>
          <w:snapToGrid w:val="0"/>
          <w:kern w:val="22"/>
          <w:szCs w:val="22"/>
        </w:rPr>
      </w:pPr>
      <w:r>
        <w:rPr>
          <w:snapToGrid w:val="0"/>
          <w:szCs w:val="22"/>
        </w:rPr>
        <w:t xml:space="preserve">Ряд стран, не являющихся членами КСР, сообщили о международных потоках, например, указав расходы в рамках конкретных проектов, связанных с биоразнообразием, в других странах и дополнили полученные показатели данными о членских взносах по соответствующим международным соглашениям и/или о добровольных взносах в Глобальный экологический фонд (ГЭФ). Представленные </w:t>
      </w:r>
      <w:r w:rsidR="000D039D">
        <w:rPr>
          <w:snapToGrid w:val="0"/>
          <w:szCs w:val="22"/>
        </w:rPr>
        <w:t>числовые</w:t>
      </w:r>
      <w:r>
        <w:rPr>
          <w:snapToGrid w:val="0"/>
          <w:szCs w:val="22"/>
        </w:rPr>
        <w:t xml:space="preserve"> значения, вероятно, являются консервативными; например, Бразилия отметила, что цифры включают только поддержку со стороны центрального правительства и проекты, реализуемы</w:t>
      </w:r>
      <w:r w:rsidR="000D039D">
        <w:rPr>
          <w:snapToGrid w:val="0"/>
          <w:szCs w:val="22"/>
        </w:rPr>
        <w:t>е</w:t>
      </w:r>
      <w:r>
        <w:rPr>
          <w:snapToGrid w:val="0"/>
          <w:szCs w:val="22"/>
        </w:rPr>
        <w:t xml:space="preserve"> в соседних странах.</w:t>
      </w:r>
    </w:p>
    <w:p w14:paraId="66E33D3F" w14:textId="24041142" w:rsidR="00957182" w:rsidRPr="001F437D" w:rsidRDefault="0050146D" w:rsidP="00C264EE">
      <w:pPr>
        <w:pStyle w:val="Para1"/>
        <w:numPr>
          <w:ilvl w:val="0"/>
          <w:numId w:val="25"/>
        </w:numPr>
        <w:tabs>
          <w:tab w:val="clear" w:pos="360"/>
        </w:tabs>
        <w:kinsoku w:val="0"/>
        <w:overflowPunct w:val="0"/>
        <w:autoSpaceDE w:val="0"/>
        <w:autoSpaceDN w:val="0"/>
        <w:snapToGrid w:val="0"/>
        <w:rPr>
          <w:kern w:val="22"/>
          <w:szCs w:val="22"/>
        </w:rPr>
      </w:pPr>
      <w:r>
        <w:t xml:space="preserve">Как показано в приложении II, к 2015 году следующие Стороны, по меньшей мере, увеличили вдвое международные потоки </w:t>
      </w:r>
      <w:r w:rsidR="008F4C49">
        <w:t>предоставляемы</w:t>
      </w:r>
      <w:r w:rsidR="008F4C49">
        <w:t>х</w:t>
      </w:r>
      <w:r w:rsidR="008F4C49">
        <w:t xml:space="preserve"> ими </w:t>
      </w:r>
      <w:r>
        <w:t xml:space="preserve">ресурсов: Германия, Китай, Латвия, Люксембург, Норвегия, Соединенное Королевство Великобритании и Северной Ирландии, Франция, Хорватия и Эстония. Венгрия по меньшей мере увеличила вдвое потоки в 2014 году, а Республика Корея – в 2016 году. Из вышеперечисленных стран Венгрия, Германия, Франция и Хорватия по меньшей мере поддерживали их на этом уровне до 2020 года. Учреждения ЕС увеличили вдвое объем </w:t>
      </w:r>
      <w:r>
        <w:lastRenderedPageBreak/>
        <w:t>финансовых потоков к 2017 году и поддерживали их на этом уровне до 2020 года. Швеция увеличила вдвое потоки к 2018 году и поддерживала их на этом уровне до 2020 года. Швейцария увеличила вдвое потоки к 2017 году и поддерживала их на этом уровне как минимум до 2018 года; Италия увеличила вдвое потоки к 2017 году.</w:t>
      </w:r>
    </w:p>
    <w:p w14:paraId="20ECC13F" w14:textId="754F5477" w:rsidR="00855A78" w:rsidRPr="00696B9C" w:rsidRDefault="00F07EB3" w:rsidP="00C264EE">
      <w:pPr>
        <w:pStyle w:val="Para1"/>
        <w:numPr>
          <w:ilvl w:val="0"/>
          <w:numId w:val="25"/>
        </w:numPr>
        <w:tabs>
          <w:tab w:val="clear" w:pos="360"/>
        </w:tabs>
        <w:kinsoku w:val="0"/>
        <w:overflowPunct w:val="0"/>
        <w:autoSpaceDE w:val="0"/>
        <w:autoSpaceDN w:val="0"/>
        <w:snapToGrid w:val="0"/>
        <w:rPr>
          <w:kern w:val="22"/>
          <w:szCs w:val="22"/>
        </w:rPr>
      </w:pPr>
      <w:r>
        <w:t xml:space="preserve">В Приложении II приведены </w:t>
      </w:r>
      <w:r w:rsidR="008F4C49">
        <w:rPr>
          <w:szCs w:val="22"/>
        </w:rPr>
        <w:t xml:space="preserve">числовые </w:t>
      </w:r>
      <w:r>
        <w:t xml:space="preserve">значения в долларах США. Из-за колебаний курсов валют суммы в национальных валютах будут выше (в случае повышения курса национальной валюты по отношению к доллару США по сравнению с </w:t>
      </w:r>
      <w:r w:rsidR="009B155E">
        <w:t>исходн</w:t>
      </w:r>
      <w:r w:rsidR="009B155E">
        <w:t>ым</w:t>
      </w:r>
      <w:r w:rsidR="009B155E">
        <w:t xml:space="preserve"> </w:t>
      </w:r>
      <w:r>
        <w:t>показателем) или ниже (в случае понижения курса). Например, если суммы выражены в евро, то учреждения Европейского союза с коэффициентом 2,05 на 2015 год увеличил</w:t>
      </w:r>
      <w:r w:rsidR="008F4C49">
        <w:t>и</w:t>
      </w:r>
      <w:r>
        <w:t xml:space="preserve"> объем потоков вдвое к 2015 году, а государства-члены Европейского союза в совокупности почти увеличили вдвое свои международные потоки финансовых ресурсов к 2015 году (коэффициент 1,9), достигли их увеличения вдвое к 2016 году и поддерживали их на этом уровне в последующие годы</w:t>
      </w:r>
      <w:r w:rsidR="00040067" w:rsidRPr="00696B9C">
        <w:rPr>
          <w:rStyle w:val="Appelnotedebasdep"/>
          <w:kern w:val="22"/>
          <w:szCs w:val="22"/>
        </w:rPr>
        <w:footnoteReference w:id="8"/>
      </w:r>
      <w:r w:rsidR="006912ED">
        <w:rPr>
          <w:lang w:val="fr-FR"/>
        </w:rPr>
        <w:t>.</w:t>
      </w:r>
    </w:p>
    <w:p w14:paraId="2FF6CEA1" w14:textId="7F684E57" w:rsidR="00180C4D" w:rsidRPr="00000DA0" w:rsidRDefault="001144CA" w:rsidP="00C264EE">
      <w:pPr>
        <w:pStyle w:val="Para1"/>
        <w:numPr>
          <w:ilvl w:val="0"/>
          <w:numId w:val="25"/>
        </w:numPr>
        <w:tabs>
          <w:tab w:val="clear" w:pos="360"/>
        </w:tabs>
        <w:kinsoku w:val="0"/>
        <w:overflowPunct w:val="0"/>
        <w:autoSpaceDE w:val="0"/>
        <w:autoSpaceDN w:val="0"/>
        <w:snapToGrid w:val="0"/>
        <w:rPr>
          <w:kern w:val="22"/>
          <w:szCs w:val="22"/>
        </w:rPr>
      </w:pPr>
      <w:r>
        <w:t>Данные о потоках частного финансирования носят фрагментарный характер. Все представившие отчетность Стороны заявили, что они приняли по крайней мере некоторые меры для поощрения частного сектора и организаций гражданского общества к оказанию международной поддержки, и предоставили соответствующую качественную и определенную количественную информацию. Однако в рамках цикла представления отчетности 2020 год только две страны (Австрия и Швейцария) представили количественную информацию в соответствующей колонке таблицы структуры представления финансовой отчетности. Еще несколько стран представили данные в рамках первого цикла, но эти попытки, очевидно, не получили дальнейшего продолжения.</w:t>
      </w:r>
    </w:p>
    <w:p w14:paraId="50BD08E0" w14:textId="1CF0F0F5" w:rsidR="002C50B2" w:rsidRPr="00000DA0" w:rsidRDefault="00AC41A4" w:rsidP="00C264EE">
      <w:pPr>
        <w:pStyle w:val="Para1"/>
        <w:numPr>
          <w:ilvl w:val="0"/>
          <w:numId w:val="25"/>
        </w:numPr>
        <w:tabs>
          <w:tab w:val="clear" w:pos="360"/>
        </w:tabs>
        <w:kinsoku w:val="0"/>
        <w:overflowPunct w:val="0"/>
        <w:autoSpaceDE w:val="0"/>
        <w:autoSpaceDN w:val="0"/>
        <w:snapToGrid w:val="0"/>
        <w:rPr>
          <w:kern w:val="22"/>
          <w:szCs w:val="22"/>
        </w:rPr>
      </w:pPr>
      <w:r>
        <w:t xml:space="preserve">Члены КСР использовали методологию рио-де-жанейрских показателей (часть Системы отчетности кредиторов </w:t>
      </w:r>
      <w:r w:rsidR="008F4C49">
        <w:t>(СОК)</w:t>
      </w:r>
      <w:r w:rsidR="008F4C49">
        <w:t xml:space="preserve"> </w:t>
      </w:r>
      <w:r>
        <w:t xml:space="preserve">ОЭСР) в качестве основы для своей отчетности о предоставленных ресурсах. В соответствии с методологией рио-де-жанейрских показателей КСР собирает данные государств-членов КСР об объеме двусторонней помощи </w:t>
      </w:r>
      <w:r w:rsidR="008F4C49">
        <w:t xml:space="preserve">в целях </w:t>
      </w:r>
      <w:r>
        <w:t>развити</w:t>
      </w:r>
      <w:r w:rsidR="008F4C49">
        <w:t>я</w:t>
      </w:r>
      <w:r>
        <w:t>, в ра</w:t>
      </w:r>
      <w:r w:rsidR="008F4C49">
        <w:t>м</w:t>
      </w:r>
      <w:r>
        <w:t xml:space="preserve">ках которой сохранение биоразнообразия обозначено в качестве «основной» или «значимой» цели. В Таблице 2 ниже представлена соответствующая информация о целевой помощи, связанной с биоразнообразием, на основе базы данных СОК. При </w:t>
      </w:r>
      <w:r w:rsidR="008F4C49">
        <w:t>анализе</w:t>
      </w:r>
      <w:r>
        <w:t xml:space="preserve"> данных следует учитывать, что:</w:t>
      </w:r>
    </w:p>
    <w:p w14:paraId="7F0A480C" w14:textId="6A44E5E5" w:rsidR="002C50B2" w:rsidRPr="00000DA0" w:rsidRDefault="002C50B2" w:rsidP="00C264EE">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szCs w:val="22"/>
        </w:rPr>
        <w:t>второй самый крупный донор помощи, связанной с биоразнообразием, не является Стороной Конвенции и в связи с этим не представляет отчетность в структуре представления финансовой отчетности, но включен в данные СОК;</w:t>
      </w:r>
    </w:p>
    <w:p w14:paraId="487AE9EC" w14:textId="42CAB381" w:rsidR="002C50B2" w:rsidRPr="00000DA0" w:rsidRDefault="002C50B2" w:rsidP="00C264EE">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szCs w:val="22"/>
        </w:rPr>
        <w:t xml:space="preserve">рио-де-жанейрские показатели биоразнообразия охватывают двустороннюю помощь, но большинство Сторон, использующих структуру </w:t>
      </w:r>
      <w:r w:rsidR="008F4C49">
        <w:rPr>
          <w:snapToGrid w:val="0"/>
          <w:szCs w:val="22"/>
        </w:rPr>
        <w:t xml:space="preserve">представления </w:t>
      </w:r>
      <w:r>
        <w:rPr>
          <w:snapToGrid w:val="0"/>
          <w:szCs w:val="22"/>
        </w:rPr>
        <w:t xml:space="preserve">финансовой отчетности для представления данных, также включают многостороннюю помощь </w:t>
      </w:r>
      <w:r w:rsidR="008F4C49">
        <w:rPr>
          <w:snapToGrid w:val="0"/>
          <w:szCs w:val="22"/>
        </w:rPr>
        <w:t xml:space="preserve">в целях </w:t>
      </w:r>
      <w:r>
        <w:rPr>
          <w:snapToGrid w:val="0"/>
          <w:szCs w:val="22"/>
        </w:rPr>
        <w:t>развити</w:t>
      </w:r>
      <w:r w:rsidR="008F4C49">
        <w:rPr>
          <w:snapToGrid w:val="0"/>
          <w:szCs w:val="22"/>
        </w:rPr>
        <w:t>я</w:t>
      </w:r>
      <w:r>
        <w:rPr>
          <w:snapToGrid w:val="0"/>
          <w:szCs w:val="22"/>
        </w:rPr>
        <w:t xml:space="preserve"> </w:t>
      </w:r>
      <w:r w:rsidR="008F4C49">
        <w:rPr>
          <w:snapToGrid w:val="0"/>
          <w:szCs w:val="22"/>
        </w:rPr>
        <w:t>в интересах</w:t>
      </w:r>
      <w:r>
        <w:rPr>
          <w:snapToGrid w:val="0"/>
          <w:szCs w:val="22"/>
        </w:rPr>
        <w:t xml:space="preserve"> биоразнообразия</w:t>
      </w:r>
      <w:r w:rsidR="00BD6514" w:rsidRPr="00000DA0">
        <w:rPr>
          <w:rStyle w:val="Appelnotedebasdep"/>
          <w:snapToGrid w:val="0"/>
          <w:kern w:val="22"/>
          <w:szCs w:val="22"/>
        </w:rPr>
        <w:footnoteReference w:id="9"/>
      </w:r>
      <w:r>
        <w:rPr>
          <w:snapToGrid w:val="0"/>
          <w:szCs w:val="22"/>
        </w:rPr>
        <w:t>;</w:t>
      </w:r>
    </w:p>
    <w:p w14:paraId="48A51847" w14:textId="622ABE5A" w:rsidR="004C40F6" w:rsidRPr="00000DA0" w:rsidRDefault="008F4C49" w:rsidP="00C264EE">
      <w:pPr>
        <w:numPr>
          <w:ilvl w:val="1"/>
          <w:numId w:val="19"/>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szCs w:val="22"/>
        </w:rPr>
        <w:t>х</w:t>
      </w:r>
      <w:r w:rsidR="002C50B2">
        <w:rPr>
          <w:snapToGrid w:val="0"/>
          <w:szCs w:val="22"/>
        </w:rPr>
        <w:t>отя большинство Сторон указывают произведенные фактические выплаты, приведенные в таблице 2 данные включают обязательства.</w:t>
      </w:r>
    </w:p>
    <w:p w14:paraId="2E8E266B" w14:textId="3511FECB" w:rsidR="00DF0AFA" w:rsidRPr="00B0379B" w:rsidRDefault="00015B1D" w:rsidP="00C264EE">
      <w:pPr>
        <w:pStyle w:val="Para1"/>
        <w:numPr>
          <w:ilvl w:val="0"/>
          <w:numId w:val="25"/>
        </w:numPr>
        <w:tabs>
          <w:tab w:val="clear" w:pos="360"/>
        </w:tabs>
        <w:kinsoku w:val="0"/>
        <w:overflowPunct w:val="0"/>
        <w:autoSpaceDE w:val="0"/>
        <w:autoSpaceDN w:val="0"/>
        <w:snapToGrid w:val="0"/>
        <w:rPr>
          <w:kern w:val="22"/>
          <w:szCs w:val="22"/>
        </w:rPr>
      </w:pPr>
      <w:r>
        <w:t>В структуре представления финансовой отчетности Стороны использовали различные методологии для агрегации потоков, в ра</w:t>
      </w:r>
      <w:r w:rsidR="0003077F">
        <w:t>м</w:t>
      </w:r>
      <w:r>
        <w:t xml:space="preserve">ках которых сохранение биоразнообразия обозначено в качестве «основной» или «значимой» цели, </w:t>
      </w:r>
      <w:r w:rsidR="0003077F">
        <w:t>главным образом</w:t>
      </w:r>
      <w:r>
        <w:t xml:space="preserve"> применяя один или несколько </w:t>
      </w:r>
      <w:r>
        <w:lastRenderedPageBreak/>
        <w:t>коэффициентов &lt;1 к «значимым» потокам</w:t>
      </w:r>
      <w:r w:rsidR="00E21EEF">
        <w:rPr>
          <w:rStyle w:val="Appelnotedebasdep"/>
        </w:rPr>
        <w:footnoteReference w:id="10"/>
      </w:r>
      <w:r>
        <w:t>. В ГПОБ-5 в справочных целях использовался коэффициент 0,4 как и в таблице 2 ниже</w:t>
      </w:r>
      <w:r w:rsidR="00E75C4E" w:rsidRPr="00B0379B">
        <w:rPr>
          <w:rStyle w:val="Appelnotedebasdep"/>
          <w:kern w:val="22"/>
          <w:szCs w:val="22"/>
        </w:rPr>
        <w:footnoteReference w:id="11"/>
      </w:r>
      <w:r w:rsidR="00E21EEF">
        <w:rPr>
          <w:lang w:val="fr-FR"/>
        </w:rPr>
        <w:t>.</w:t>
      </w:r>
    </w:p>
    <w:p w14:paraId="44F93844" w14:textId="7979B255" w:rsidR="00512CC3" w:rsidRDefault="00DF0AFA" w:rsidP="00C264EE">
      <w:pPr>
        <w:pStyle w:val="Para1"/>
        <w:numPr>
          <w:ilvl w:val="0"/>
          <w:numId w:val="25"/>
        </w:numPr>
        <w:tabs>
          <w:tab w:val="clear" w:pos="360"/>
        </w:tabs>
        <w:kinsoku w:val="0"/>
        <w:overflowPunct w:val="0"/>
        <w:autoSpaceDE w:val="0"/>
        <w:autoSpaceDN w:val="0"/>
        <w:snapToGrid w:val="0"/>
        <w:rPr>
          <w:kern w:val="22"/>
          <w:szCs w:val="22"/>
        </w:rPr>
      </w:pPr>
      <w:r>
        <w:t xml:space="preserve">С учетом вышеприведенных оговорок данные ОЭСР показывают, что (а) целевая задача увеличения объема вдвое была достигнута к 2015 году как для «основных», так и для «значимых» потоков, то есть вне зависимости от конкретного значения коэффициента, и (b) этот уровень поддерживался в </w:t>
      </w:r>
      <w:r w:rsidR="0003077F">
        <w:t>период</w:t>
      </w:r>
      <w:r>
        <w:t xml:space="preserve"> 2016-2020 годов для «значимого» потока, но не для «основного». Более того, расчет взвешенной суммы (100% для «основного» плюс любой процент для «значимых» потоков) показывает, что хотя целевая задача </w:t>
      </w:r>
      <w:r w:rsidR="006342C4">
        <w:t xml:space="preserve">по </w:t>
      </w:r>
      <w:r>
        <w:t>увеличени</w:t>
      </w:r>
      <w:r w:rsidR="006342C4">
        <w:t>ю</w:t>
      </w:r>
      <w:r>
        <w:t xml:space="preserve"> вдвое международных потоков к 2015 году была достигнута, этот увеличенный вдвое объем в среднем не поддерживался до 2020 года (среднее значение за 2016-2020 годы было ниже, чем в 2 раза по сравнению с </w:t>
      </w:r>
      <w:r w:rsidR="009B155E">
        <w:t>исходн</w:t>
      </w:r>
      <w:r w:rsidR="009B155E">
        <w:t>ым</w:t>
      </w:r>
      <w:r w:rsidR="009B155E">
        <w:t xml:space="preserve"> </w:t>
      </w:r>
      <w:r>
        <w:t>показателем для любого коэффициента от 0 до 1).</w:t>
      </w:r>
    </w:p>
    <w:p w14:paraId="561B3843" w14:textId="2D123416" w:rsidR="00D92AAB" w:rsidRPr="00000DA0" w:rsidRDefault="00D92AAB" w:rsidP="00C264EE">
      <w:pPr>
        <w:pStyle w:val="Para1"/>
        <w:keepNext/>
        <w:numPr>
          <w:ilvl w:val="0"/>
          <w:numId w:val="0"/>
        </w:numPr>
        <w:kinsoku w:val="0"/>
        <w:overflowPunct w:val="0"/>
        <w:autoSpaceDE w:val="0"/>
        <w:autoSpaceDN w:val="0"/>
        <w:snapToGrid w:val="0"/>
        <w:spacing w:after="60"/>
        <w:rPr>
          <w:kern w:val="22"/>
          <w:szCs w:val="22"/>
        </w:rPr>
      </w:pPr>
      <w:r>
        <w:rPr>
          <w:b/>
          <w:szCs w:val="22"/>
        </w:rPr>
        <w:t>Таблица 2. Двусторонняя официальная помощь в целях развития в интересах биоразнообразия</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93"/>
        <w:gridCol w:w="958"/>
        <w:gridCol w:w="976"/>
        <w:gridCol w:w="976"/>
        <w:gridCol w:w="976"/>
        <w:gridCol w:w="933"/>
        <w:gridCol w:w="851"/>
        <w:gridCol w:w="1144"/>
      </w:tblGrid>
      <w:tr w:rsidR="00D92AAB" w:rsidRPr="00BF3EF6" w14:paraId="57022C11" w14:textId="4E7D6F6E" w:rsidTr="00E21EEF">
        <w:trPr>
          <w:cantSplit/>
          <w:jc w:val="center"/>
        </w:trPr>
        <w:tc>
          <w:tcPr>
            <w:tcW w:w="1696" w:type="dxa"/>
            <w:tcBorders>
              <w:bottom w:val="single" w:sz="4" w:space="0" w:color="auto"/>
            </w:tcBorders>
            <w:shd w:val="clear" w:color="auto" w:fill="auto"/>
            <w:tcMar>
              <w:top w:w="14" w:type="dxa"/>
              <w:left w:w="29" w:type="dxa"/>
              <w:bottom w:w="14" w:type="dxa"/>
              <w:right w:w="29" w:type="dxa"/>
            </w:tcMar>
            <w:vAlign w:val="center"/>
          </w:tcPr>
          <w:p w14:paraId="4345EAFE"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center"/>
              <w:rPr>
                <w:snapToGrid w:val="0"/>
                <w:kern w:val="22"/>
                <w:sz w:val="20"/>
                <w:szCs w:val="20"/>
              </w:rPr>
            </w:pPr>
            <w:r>
              <w:rPr>
                <w:snapToGrid w:val="0"/>
                <w:sz w:val="20"/>
                <w:szCs w:val="20"/>
              </w:rPr>
              <w:t>Все члены КСР</w:t>
            </w:r>
          </w:p>
        </w:tc>
        <w:tc>
          <w:tcPr>
            <w:tcW w:w="993" w:type="dxa"/>
            <w:tcBorders>
              <w:bottom w:val="single" w:sz="4" w:space="0" w:color="auto"/>
            </w:tcBorders>
            <w:shd w:val="clear" w:color="auto" w:fill="auto"/>
            <w:tcMar>
              <w:top w:w="14" w:type="dxa"/>
              <w:left w:w="29" w:type="dxa"/>
              <w:bottom w:w="14" w:type="dxa"/>
              <w:right w:w="29" w:type="dxa"/>
            </w:tcMar>
            <w:vAlign w:val="center"/>
          </w:tcPr>
          <w:p w14:paraId="6C54E332" w14:textId="29B38AD9"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Средний показатель за 2006-2010 гг.</w:t>
            </w:r>
          </w:p>
        </w:tc>
        <w:tc>
          <w:tcPr>
            <w:tcW w:w="958" w:type="dxa"/>
            <w:tcBorders>
              <w:bottom w:val="single" w:sz="4" w:space="0" w:color="auto"/>
            </w:tcBorders>
            <w:shd w:val="clear" w:color="auto" w:fill="auto"/>
            <w:tcMar>
              <w:top w:w="14" w:type="dxa"/>
              <w:left w:w="29" w:type="dxa"/>
              <w:bottom w:w="14" w:type="dxa"/>
              <w:right w:w="29" w:type="dxa"/>
            </w:tcMar>
            <w:vAlign w:val="center"/>
          </w:tcPr>
          <w:p w14:paraId="0F9CD59A"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2015</w:t>
            </w:r>
          </w:p>
        </w:tc>
        <w:tc>
          <w:tcPr>
            <w:tcW w:w="976" w:type="dxa"/>
            <w:tcBorders>
              <w:bottom w:val="single" w:sz="4" w:space="0" w:color="auto"/>
            </w:tcBorders>
            <w:vAlign w:val="center"/>
          </w:tcPr>
          <w:p w14:paraId="0EBB1FBC"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2016</w:t>
            </w:r>
          </w:p>
        </w:tc>
        <w:tc>
          <w:tcPr>
            <w:tcW w:w="976" w:type="dxa"/>
            <w:tcBorders>
              <w:bottom w:val="single" w:sz="4" w:space="0" w:color="auto"/>
            </w:tcBorders>
            <w:vAlign w:val="center"/>
          </w:tcPr>
          <w:p w14:paraId="3BBD17E9"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2017</w:t>
            </w:r>
          </w:p>
        </w:tc>
        <w:tc>
          <w:tcPr>
            <w:tcW w:w="976" w:type="dxa"/>
            <w:tcBorders>
              <w:bottom w:val="single" w:sz="4" w:space="0" w:color="auto"/>
            </w:tcBorders>
            <w:vAlign w:val="center"/>
          </w:tcPr>
          <w:p w14:paraId="604B0A5A"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2018</w:t>
            </w:r>
          </w:p>
        </w:tc>
        <w:tc>
          <w:tcPr>
            <w:tcW w:w="933" w:type="dxa"/>
            <w:tcBorders>
              <w:bottom w:val="single" w:sz="4" w:space="0" w:color="auto"/>
            </w:tcBorders>
            <w:vAlign w:val="center"/>
          </w:tcPr>
          <w:p w14:paraId="39D90E30" w14:textId="77777777"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2019</w:t>
            </w:r>
          </w:p>
        </w:tc>
        <w:tc>
          <w:tcPr>
            <w:tcW w:w="851" w:type="dxa"/>
            <w:tcBorders>
              <w:bottom w:val="single" w:sz="4" w:space="0" w:color="auto"/>
            </w:tcBorders>
            <w:vAlign w:val="center"/>
          </w:tcPr>
          <w:p w14:paraId="374BF2E7" w14:textId="202AD48D"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2020</w:t>
            </w:r>
          </w:p>
        </w:tc>
        <w:tc>
          <w:tcPr>
            <w:tcW w:w="1144" w:type="dxa"/>
            <w:tcBorders>
              <w:bottom w:val="single" w:sz="4" w:space="0" w:color="auto"/>
            </w:tcBorders>
            <w:vAlign w:val="center"/>
          </w:tcPr>
          <w:p w14:paraId="3D28AB33" w14:textId="723EFA95" w:rsidR="00D92AAB" w:rsidRPr="00785769" w:rsidRDefault="00D92AAB" w:rsidP="00C264EE">
            <w:pPr>
              <w:keepNext/>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Средний показатель за 2016-2020 гг.</w:t>
            </w:r>
          </w:p>
        </w:tc>
      </w:tr>
      <w:tr w:rsidR="006730CB" w:rsidRPr="00BF3EF6" w14:paraId="56466EC5" w14:textId="77777777" w:rsidTr="00785769">
        <w:trPr>
          <w:cantSplit/>
          <w:jc w:val="center"/>
        </w:trPr>
        <w:tc>
          <w:tcPr>
            <w:tcW w:w="9503" w:type="dxa"/>
            <w:gridSpan w:val="9"/>
            <w:tcBorders>
              <w:top w:val="single" w:sz="4" w:space="0" w:color="auto"/>
              <w:left w:val="single" w:sz="4" w:space="0" w:color="auto"/>
              <w:bottom w:val="single" w:sz="4" w:space="0" w:color="auto"/>
              <w:right w:val="single" w:sz="4" w:space="0" w:color="auto"/>
            </w:tcBorders>
            <w:shd w:val="clear" w:color="auto" w:fill="auto"/>
            <w:tcMar>
              <w:top w:w="14" w:type="dxa"/>
              <w:left w:w="29" w:type="dxa"/>
              <w:bottom w:w="14" w:type="dxa"/>
              <w:right w:w="29" w:type="dxa"/>
            </w:tcMar>
            <w:vAlign w:val="bottom"/>
          </w:tcPr>
          <w:p w14:paraId="337CD00E" w14:textId="7CEB873C" w:rsidR="006730CB" w:rsidRPr="00C264EE" w:rsidRDefault="006730CB" w:rsidP="00C264EE">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Pr>
                <w:snapToGrid w:val="0"/>
                <w:sz w:val="20"/>
                <w:szCs w:val="20"/>
              </w:rPr>
              <w:t>«Основной» поток</w:t>
            </w:r>
          </w:p>
        </w:tc>
      </w:tr>
      <w:tr w:rsidR="00D92AAB" w:rsidRPr="00BF3EF6" w14:paraId="4BDAC0CD" w14:textId="5C3C8E01" w:rsidTr="00E21EEF">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14:paraId="405F7D60" w14:textId="77777777" w:rsidR="00E21EEF" w:rsidRDefault="00E21EEF" w:rsidP="00E21EEF">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snapToGrid w:val="0"/>
                <w:sz w:val="20"/>
                <w:szCs w:val="20"/>
              </w:rPr>
              <w:t>млн долл</w:t>
            </w:r>
            <w:r>
              <w:rPr>
                <w:snapToGrid w:val="0"/>
                <w:sz w:val="20"/>
                <w:szCs w:val="20"/>
                <w:lang w:val="fr-FR"/>
              </w:rPr>
              <w:t>.</w:t>
            </w:r>
            <w:r>
              <w:rPr>
                <w:snapToGrid w:val="0"/>
                <w:sz w:val="20"/>
                <w:szCs w:val="20"/>
              </w:rPr>
              <w:t xml:space="preserve"> США</w:t>
            </w:r>
          </w:p>
          <w:p w14:paraId="09615FD8" w14:textId="4B4D5FB2" w:rsidR="00D92AAB" w:rsidRPr="00C264EE" w:rsidRDefault="00990192" w:rsidP="00D92AA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i/>
                <w:iCs/>
                <w:snapToGrid w:val="0"/>
                <w:sz w:val="20"/>
                <w:szCs w:val="20"/>
              </w:rPr>
              <w:t>Коэффициент</w:t>
            </w:r>
          </w:p>
        </w:tc>
        <w:tc>
          <w:tcPr>
            <w:tcW w:w="993"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426D2E3C" w14:textId="77777777" w:rsidR="00D92AAB" w:rsidRDefault="00D92AAB" w:rsidP="00875DF6">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2 008</w:t>
            </w:r>
          </w:p>
          <w:p w14:paraId="4FA9772F" w14:textId="045B6CE5" w:rsidR="00990192" w:rsidRPr="00C264EE" w:rsidRDefault="00990192" w:rsidP="00875DF6">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95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6EAE0838" w14:textId="77777777" w:rsidR="00990192"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4 160</w:t>
            </w:r>
          </w:p>
          <w:p w14:paraId="334E2FCD" w14:textId="51BD8542" w:rsidR="00D92AAB" w:rsidRPr="00C264EE" w:rsidRDefault="00990192"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2,07</w:t>
            </w:r>
          </w:p>
        </w:tc>
        <w:tc>
          <w:tcPr>
            <w:tcW w:w="976" w:type="dxa"/>
            <w:tcBorders>
              <w:top w:val="single" w:sz="4" w:space="0" w:color="auto"/>
              <w:left w:val="single" w:sz="4" w:space="0" w:color="auto"/>
              <w:bottom w:val="nil"/>
              <w:right w:val="single" w:sz="4" w:space="0" w:color="auto"/>
            </w:tcBorders>
          </w:tcPr>
          <w:p w14:paraId="7412BA96"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2 958</w:t>
            </w:r>
          </w:p>
          <w:p w14:paraId="598C8A43" w14:textId="01992539"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1,47</w:t>
            </w:r>
          </w:p>
        </w:tc>
        <w:tc>
          <w:tcPr>
            <w:tcW w:w="976" w:type="dxa"/>
            <w:tcBorders>
              <w:top w:val="single" w:sz="4" w:space="0" w:color="auto"/>
              <w:left w:val="single" w:sz="4" w:space="0" w:color="auto"/>
              <w:bottom w:val="nil"/>
              <w:right w:val="single" w:sz="4" w:space="0" w:color="auto"/>
            </w:tcBorders>
          </w:tcPr>
          <w:p w14:paraId="39558615"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3 480</w:t>
            </w:r>
          </w:p>
          <w:p w14:paraId="7FA10E6B" w14:textId="1D931684"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1,73</w:t>
            </w:r>
          </w:p>
        </w:tc>
        <w:tc>
          <w:tcPr>
            <w:tcW w:w="976" w:type="dxa"/>
            <w:tcBorders>
              <w:top w:val="single" w:sz="4" w:space="0" w:color="auto"/>
              <w:left w:val="single" w:sz="4" w:space="0" w:color="auto"/>
              <w:bottom w:val="nil"/>
              <w:right w:val="single" w:sz="4" w:space="0" w:color="auto"/>
            </w:tcBorders>
          </w:tcPr>
          <w:p w14:paraId="5FC7743D"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2 762</w:t>
            </w:r>
          </w:p>
          <w:p w14:paraId="60B31628" w14:textId="45C7AB4E"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1,38</w:t>
            </w:r>
          </w:p>
        </w:tc>
        <w:tc>
          <w:tcPr>
            <w:tcW w:w="933" w:type="dxa"/>
            <w:tcBorders>
              <w:top w:val="single" w:sz="4" w:space="0" w:color="auto"/>
              <w:left w:val="single" w:sz="4" w:space="0" w:color="auto"/>
              <w:bottom w:val="nil"/>
              <w:right w:val="single" w:sz="4" w:space="0" w:color="auto"/>
            </w:tcBorders>
          </w:tcPr>
          <w:p w14:paraId="53100E54"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2 647</w:t>
            </w:r>
          </w:p>
          <w:p w14:paraId="5165DCF7" w14:textId="5A4B3BE6"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1,32</w:t>
            </w:r>
          </w:p>
        </w:tc>
        <w:tc>
          <w:tcPr>
            <w:tcW w:w="851" w:type="dxa"/>
            <w:tcBorders>
              <w:top w:val="single" w:sz="4" w:space="0" w:color="auto"/>
              <w:left w:val="single" w:sz="4" w:space="0" w:color="auto"/>
              <w:bottom w:val="nil"/>
              <w:right w:val="single" w:sz="4" w:space="0" w:color="auto"/>
            </w:tcBorders>
          </w:tcPr>
          <w:p w14:paraId="0B8D3CF4" w14:textId="77777777" w:rsidR="00D92AAB"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2 345</w:t>
            </w:r>
          </w:p>
          <w:p w14:paraId="24B47310" w14:textId="3D8B43EC"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1,17</w:t>
            </w:r>
          </w:p>
        </w:tc>
        <w:tc>
          <w:tcPr>
            <w:tcW w:w="1144" w:type="dxa"/>
            <w:tcBorders>
              <w:top w:val="single" w:sz="4" w:space="0" w:color="auto"/>
              <w:left w:val="single" w:sz="4" w:space="0" w:color="auto"/>
              <w:bottom w:val="nil"/>
              <w:right w:val="single" w:sz="4" w:space="0" w:color="auto"/>
            </w:tcBorders>
          </w:tcPr>
          <w:p w14:paraId="2EBA1671" w14:textId="77777777" w:rsidR="007B1AE0" w:rsidRDefault="00D92AAB" w:rsidP="0045238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2 838</w:t>
            </w:r>
          </w:p>
          <w:p w14:paraId="1A20AB56" w14:textId="7A426B54"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1,66</w:t>
            </w:r>
          </w:p>
        </w:tc>
      </w:tr>
      <w:tr w:rsidR="006730CB" w:rsidRPr="00BF3EF6" w14:paraId="04FBC665" w14:textId="77777777" w:rsidTr="00E904F4">
        <w:trPr>
          <w:cantSplit/>
          <w:jc w:val="center"/>
        </w:trPr>
        <w:tc>
          <w:tcPr>
            <w:tcW w:w="9503" w:type="dxa"/>
            <w:gridSpan w:val="9"/>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34C85899" w14:textId="6B9120DA" w:rsidR="006730CB" w:rsidRPr="00C264EE" w:rsidRDefault="006730CB" w:rsidP="00C264EE">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Pr>
                <w:snapToGrid w:val="0"/>
                <w:sz w:val="20"/>
                <w:szCs w:val="20"/>
              </w:rPr>
              <w:t>«Значимый» поток</w:t>
            </w:r>
          </w:p>
        </w:tc>
      </w:tr>
      <w:tr w:rsidR="006730CB" w:rsidRPr="00BF3EF6" w14:paraId="14F2FD7F" w14:textId="7259B617" w:rsidTr="00E21EEF">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246B20A2" w14:textId="442705F6" w:rsidR="00990192" w:rsidRDefault="006730CB" w:rsidP="006730CB">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snapToGrid w:val="0"/>
                <w:sz w:val="20"/>
                <w:szCs w:val="20"/>
              </w:rPr>
              <w:t>млн долл</w:t>
            </w:r>
            <w:r w:rsidR="00E21EEF">
              <w:rPr>
                <w:snapToGrid w:val="0"/>
                <w:sz w:val="20"/>
                <w:szCs w:val="20"/>
                <w:lang w:val="fr-FR"/>
              </w:rPr>
              <w:t>.</w:t>
            </w:r>
            <w:r>
              <w:rPr>
                <w:snapToGrid w:val="0"/>
                <w:sz w:val="20"/>
                <w:szCs w:val="20"/>
              </w:rPr>
              <w:t xml:space="preserve"> США</w:t>
            </w:r>
          </w:p>
          <w:p w14:paraId="222366D8" w14:textId="715FEE47" w:rsidR="00990192" w:rsidRPr="00C264EE" w:rsidRDefault="00990192" w:rsidP="00990192">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Pr>
                <w:i/>
                <w:iCs/>
                <w:snapToGrid w:val="0"/>
                <w:sz w:val="20"/>
                <w:szCs w:val="20"/>
              </w:rPr>
              <w:t>Коэффициент</w:t>
            </w:r>
          </w:p>
        </w:tc>
        <w:tc>
          <w:tcPr>
            <w:tcW w:w="993"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DE2F83E"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2 009</w:t>
            </w:r>
          </w:p>
          <w:p w14:paraId="386293BB" w14:textId="69B4886F" w:rsidR="00990192" w:rsidRPr="00C264EE" w:rsidRDefault="00990192"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95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83A158C"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4 613</w:t>
            </w:r>
          </w:p>
          <w:p w14:paraId="38CA2EB9" w14:textId="36EFF633"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2,30</w:t>
            </w:r>
          </w:p>
        </w:tc>
        <w:tc>
          <w:tcPr>
            <w:tcW w:w="976" w:type="dxa"/>
            <w:tcBorders>
              <w:top w:val="single" w:sz="4" w:space="0" w:color="auto"/>
              <w:left w:val="single" w:sz="4" w:space="0" w:color="auto"/>
              <w:bottom w:val="nil"/>
              <w:right w:val="single" w:sz="4" w:space="0" w:color="auto"/>
            </w:tcBorders>
            <w:vAlign w:val="bottom"/>
          </w:tcPr>
          <w:p w14:paraId="36EBFCED"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4 591</w:t>
            </w:r>
          </w:p>
          <w:p w14:paraId="3F6F351E" w14:textId="6B6A9AB2"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2,28</w:t>
            </w:r>
          </w:p>
        </w:tc>
        <w:tc>
          <w:tcPr>
            <w:tcW w:w="976" w:type="dxa"/>
            <w:tcBorders>
              <w:top w:val="single" w:sz="4" w:space="0" w:color="auto"/>
              <w:left w:val="single" w:sz="4" w:space="0" w:color="auto"/>
              <w:bottom w:val="nil"/>
              <w:right w:val="single" w:sz="4" w:space="0" w:color="auto"/>
            </w:tcBorders>
            <w:vAlign w:val="bottom"/>
          </w:tcPr>
          <w:p w14:paraId="6D2C2D8C"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5 359</w:t>
            </w:r>
          </w:p>
          <w:p w14:paraId="2855856F" w14:textId="6B13D36D"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2,67</w:t>
            </w:r>
          </w:p>
        </w:tc>
        <w:tc>
          <w:tcPr>
            <w:tcW w:w="976" w:type="dxa"/>
            <w:tcBorders>
              <w:top w:val="single" w:sz="4" w:space="0" w:color="auto"/>
              <w:left w:val="single" w:sz="4" w:space="0" w:color="auto"/>
              <w:bottom w:val="nil"/>
              <w:right w:val="single" w:sz="4" w:space="0" w:color="auto"/>
            </w:tcBorders>
            <w:vAlign w:val="bottom"/>
          </w:tcPr>
          <w:p w14:paraId="52ADB7B7"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5 238</w:t>
            </w:r>
          </w:p>
          <w:p w14:paraId="73ECBC60" w14:textId="736484B9"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2,61</w:t>
            </w:r>
          </w:p>
        </w:tc>
        <w:tc>
          <w:tcPr>
            <w:tcW w:w="933" w:type="dxa"/>
            <w:tcBorders>
              <w:top w:val="single" w:sz="4" w:space="0" w:color="auto"/>
              <w:left w:val="single" w:sz="4" w:space="0" w:color="auto"/>
              <w:bottom w:val="nil"/>
              <w:right w:val="single" w:sz="4" w:space="0" w:color="auto"/>
            </w:tcBorders>
            <w:vAlign w:val="bottom"/>
          </w:tcPr>
          <w:p w14:paraId="7CAA7045"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4 187</w:t>
            </w:r>
          </w:p>
          <w:p w14:paraId="5C03B2E6" w14:textId="4A7521F5"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2,08</w:t>
            </w:r>
          </w:p>
        </w:tc>
        <w:tc>
          <w:tcPr>
            <w:tcW w:w="851" w:type="dxa"/>
            <w:tcBorders>
              <w:top w:val="single" w:sz="4" w:space="0" w:color="auto"/>
              <w:left w:val="single" w:sz="4" w:space="0" w:color="auto"/>
              <w:bottom w:val="nil"/>
              <w:right w:val="single" w:sz="4" w:space="0" w:color="auto"/>
            </w:tcBorders>
            <w:vAlign w:val="bottom"/>
          </w:tcPr>
          <w:p w14:paraId="498163B9"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4 857</w:t>
            </w:r>
          </w:p>
          <w:p w14:paraId="5A9BA29D" w14:textId="28A2BB53"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2,42</w:t>
            </w:r>
          </w:p>
        </w:tc>
        <w:tc>
          <w:tcPr>
            <w:tcW w:w="1144" w:type="dxa"/>
            <w:tcBorders>
              <w:top w:val="single" w:sz="4" w:space="0" w:color="auto"/>
              <w:left w:val="single" w:sz="4" w:space="0" w:color="auto"/>
              <w:bottom w:val="nil"/>
              <w:right w:val="single" w:sz="4" w:space="0" w:color="auto"/>
            </w:tcBorders>
            <w:vAlign w:val="bottom"/>
          </w:tcPr>
          <w:p w14:paraId="4DC2BFFD" w14:textId="77777777" w:rsidR="006730CB"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4 846</w:t>
            </w:r>
          </w:p>
          <w:p w14:paraId="76AB84DE" w14:textId="264E613F" w:rsidR="00990192" w:rsidRPr="00C264EE" w:rsidRDefault="00990192" w:rsidP="00990192">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i/>
                <w:iCs/>
                <w:snapToGrid w:val="0"/>
                <w:sz w:val="20"/>
                <w:szCs w:val="20"/>
              </w:rPr>
              <w:t>2,46</w:t>
            </w:r>
          </w:p>
        </w:tc>
      </w:tr>
      <w:tr w:rsidR="006730CB" w:rsidRPr="00BF3EF6" w14:paraId="2EFF06D0" w14:textId="77777777" w:rsidTr="00FB7F48">
        <w:trPr>
          <w:cantSplit/>
          <w:jc w:val="center"/>
        </w:trPr>
        <w:tc>
          <w:tcPr>
            <w:tcW w:w="9503" w:type="dxa"/>
            <w:gridSpan w:val="9"/>
            <w:tcBorders>
              <w:top w:val="single" w:sz="4" w:space="0" w:color="auto"/>
              <w:bottom w:val="single" w:sz="4" w:space="0" w:color="auto"/>
            </w:tcBorders>
            <w:shd w:val="clear" w:color="auto" w:fill="auto"/>
            <w:tcMar>
              <w:top w:w="14" w:type="dxa"/>
              <w:left w:w="29" w:type="dxa"/>
              <w:bottom w:w="14" w:type="dxa"/>
              <w:right w:w="29" w:type="dxa"/>
            </w:tcMar>
            <w:vAlign w:val="center"/>
          </w:tcPr>
          <w:p w14:paraId="547887D0" w14:textId="75CF2C7D" w:rsidR="006730CB" w:rsidRPr="00C264EE" w:rsidRDefault="006730CB" w:rsidP="00C264EE">
            <w:pPr>
              <w:keepNext/>
              <w:suppressLineNumbers/>
              <w:suppressAutoHyphens/>
              <w:kinsoku w:val="0"/>
              <w:overflowPunct w:val="0"/>
              <w:autoSpaceDE w:val="0"/>
              <w:autoSpaceDN w:val="0"/>
              <w:adjustRightInd w:val="0"/>
              <w:snapToGrid w:val="0"/>
              <w:spacing w:before="40" w:after="40"/>
              <w:jc w:val="left"/>
              <w:rPr>
                <w:snapToGrid w:val="0"/>
                <w:kern w:val="22"/>
                <w:sz w:val="20"/>
                <w:szCs w:val="20"/>
              </w:rPr>
            </w:pPr>
            <w:r>
              <w:rPr>
                <w:snapToGrid w:val="0"/>
                <w:sz w:val="20"/>
                <w:szCs w:val="20"/>
              </w:rPr>
              <w:t>Взвешенная сумма (100% «основного» потока плюс 40% «значимого» потока)</w:t>
            </w:r>
          </w:p>
        </w:tc>
      </w:tr>
      <w:tr w:rsidR="006730CB" w:rsidRPr="00BF3EF6" w14:paraId="22169B40" w14:textId="2D1523DF" w:rsidTr="00E21EEF">
        <w:trPr>
          <w:cantSplit/>
          <w:jc w:val="center"/>
        </w:trPr>
        <w:tc>
          <w:tcPr>
            <w:tcW w:w="1696" w:type="dxa"/>
            <w:tcBorders>
              <w:top w:val="single" w:sz="4" w:space="0" w:color="auto"/>
              <w:bottom w:val="single" w:sz="4" w:space="0" w:color="auto"/>
            </w:tcBorders>
            <w:shd w:val="clear" w:color="auto" w:fill="auto"/>
            <w:tcMar>
              <w:top w:w="14" w:type="dxa"/>
              <w:left w:w="29" w:type="dxa"/>
              <w:bottom w:w="14" w:type="dxa"/>
              <w:right w:w="29" w:type="dxa"/>
            </w:tcMar>
            <w:vAlign w:val="bottom"/>
          </w:tcPr>
          <w:p w14:paraId="6F58E53E" w14:textId="77777777" w:rsidR="00E21EEF" w:rsidRPr="0087059F" w:rsidRDefault="00E21EEF" w:rsidP="00E21EEF">
            <w:pPr>
              <w:suppressLineNumbers/>
              <w:suppressAutoHyphens/>
              <w:kinsoku w:val="0"/>
              <w:overflowPunct w:val="0"/>
              <w:autoSpaceDE w:val="0"/>
              <w:autoSpaceDN w:val="0"/>
              <w:adjustRightInd w:val="0"/>
              <w:snapToGrid w:val="0"/>
              <w:spacing w:before="40" w:after="40"/>
              <w:ind w:left="90"/>
              <w:jc w:val="left"/>
              <w:rPr>
                <w:snapToGrid w:val="0"/>
                <w:kern w:val="22"/>
                <w:sz w:val="20"/>
                <w:szCs w:val="20"/>
              </w:rPr>
            </w:pPr>
            <w:r w:rsidRPr="0087059F">
              <w:rPr>
                <w:snapToGrid w:val="0"/>
                <w:sz w:val="20"/>
                <w:szCs w:val="20"/>
              </w:rPr>
              <w:t>млн долл</w:t>
            </w:r>
            <w:r w:rsidRPr="0087059F">
              <w:rPr>
                <w:snapToGrid w:val="0"/>
                <w:sz w:val="20"/>
                <w:szCs w:val="20"/>
                <w:lang w:val="fr-FR"/>
              </w:rPr>
              <w:t>.</w:t>
            </w:r>
            <w:r w:rsidRPr="0087059F">
              <w:rPr>
                <w:snapToGrid w:val="0"/>
                <w:sz w:val="20"/>
                <w:szCs w:val="20"/>
              </w:rPr>
              <w:t xml:space="preserve"> США</w:t>
            </w:r>
          </w:p>
          <w:p w14:paraId="3C5FE3D7" w14:textId="08450F82" w:rsidR="006730CB" w:rsidRPr="0087059F" w:rsidRDefault="006730CB" w:rsidP="006730CB">
            <w:pPr>
              <w:suppressLineNumbers/>
              <w:suppressAutoHyphens/>
              <w:kinsoku w:val="0"/>
              <w:overflowPunct w:val="0"/>
              <w:autoSpaceDE w:val="0"/>
              <w:autoSpaceDN w:val="0"/>
              <w:adjustRightInd w:val="0"/>
              <w:snapToGrid w:val="0"/>
              <w:spacing w:before="40" w:after="40"/>
              <w:ind w:left="90"/>
              <w:jc w:val="left"/>
              <w:rPr>
                <w:snapToGrid w:val="0"/>
                <w:kern w:val="22"/>
                <w:sz w:val="18"/>
                <w:szCs w:val="18"/>
              </w:rPr>
            </w:pPr>
            <w:r w:rsidRPr="0087059F">
              <w:rPr>
                <w:i/>
                <w:iCs/>
                <w:snapToGrid w:val="0"/>
                <w:sz w:val="20"/>
                <w:szCs w:val="20"/>
              </w:rPr>
              <w:t>Коэффициент</w:t>
            </w:r>
            <w:r w:rsidRPr="0087059F">
              <w:rPr>
                <w:snapToGrid w:val="0"/>
                <w:sz w:val="20"/>
                <w:szCs w:val="20"/>
              </w:rPr>
              <w:t xml:space="preserve"> </w:t>
            </w:r>
          </w:p>
        </w:tc>
        <w:tc>
          <w:tcPr>
            <w:tcW w:w="993"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1BDF48CB" w14:textId="475CA603"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2 812</w:t>
            </w:r>
          </w:p>
          <w:p w14:paraId="45B48C2B" w14:textId="74B69782"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p>
        </w:tc>
        <w:tc>
          <w:tcPr>
            <w:tcW w:w="958"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57B7DBFF" w14:textId="4CB17E13"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6 005</w:t>
            </w:r>
          </w:p>
          <w:p w14:paraId="3A721807" w14:textId="6A093044"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color w:val="000000"/>
                <w:sz w:val="20"/>
                <w:szCs w:val="20"/>
              </w:rPr>
              <w:t>2,14</w:t>
            </w:r>
          </w:p>
        </w:tc>
        <w:tc>
          <w:tcPr>
            <w:tcW w:w="976" w:type="dxa"/>
            <w:tcBorders>
              <w:top w:val="single" w:sz="4" w:space="0" w:color="auto"/>
              <w:bottom w:val="single" w:sz="4" w:space="0" w:color="auto"/>
            </w:tcBorders>
            <w:vAlign w:val="center"/>
          </w:tcPr>
          <w:p w14:paraId="5A081963" w14:textId="3558CFCC"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4 795</w:t>
            </w:r>
          </w:p>
          <w:p w14:paraId="4610862E" w14:textId="38EAA96D"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color w:val="000000"/>
                <w:sz w:val="20"/>
                <w:szCs w:val="20"/>
              </w:rPr>
              <w:t>1,71</w:t>
            </w:r>
          </w:p>
        </w:tc>
        <w:tc>
          <w:tcPr>
            <w:tcW w:w="976" w:type="dxa"/>
            <w:tcBorders>
              <w:top w:val="single" w:sz="4" w:space="0" w:color="auto"/>
              <w:bottom w:val="single" w:sz="4" w:space="0" w:color="auto"/>
            </w:tcBorders>
            <w:vAlign w:val="center"/>
          </w:tcPr>
          <w:p w14:paraId="605ECC2E" w14:textId="60296214"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5 623</w:t>
            </w:r>
          </w:p>
          <w:p w14:paraId="02F8710D" w14:textId="4E39EF6E"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sz w:val="20"/>
                <w:szCs w:val="20"/>
              </w:rPr>
              <w:t>2,00</w:t>
            </w:r>
          </w:p>
        </w:tc>
        <w:tc>
          <w:tcPr>
            <w:tcW w:w="976" w:type="dxa"/>
            <w:tcBorders>
              <w:top w:val="single" w:sz="4" w:space="0" w:color="auto"/>
              <w:bottom w:val="single" w:sz="4" w:space="0" w:color="auto"/>
            </w:tcBorders>
            <w:vAlign w:val="center"/>
          </w:tcPr>
          <w:p w14:paraId="6301EFCA" w14:textId="230CD222"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4 857</w:t>
            </w:r>
          </w:p>
          <w:p w14:paraId="1015A723" w14:textId="52584706"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sz w:val="20"/>
                <w:szCs w:val="20"/>
              </w:rPr>
              <w:t>1,73</w:t>
            </w:r>
          </w:p>
        </w:tc>
        <w:tc>
          <w:tcPr>
            <w:tcW w:w="933" w:type="dxa"/>
            <w:tcBorders>
              <w:top w:val="single" w:sz="4" w:space="0" w:color="auto"/>
              <w:bottom w:val="single" w:sz="4" w:space="0" w:color="auto"/>
            </w:tcBorders>
            <w:vAlign w:val="center"/>
          </w:tcPr>
          <w:p w14:paraId="0D15ABAD" w14:textId="4BAD5576"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4 321</w:t>
            </w:r>
          </w:p>
          <w:p w14:paraId="29B9B206" w14:textId="44D7210B"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sz w:val="20"/>
                <w:szCs w:val="20"/>
              </w:rPr>
              <w:t>1,54</w:t>
            </w:r>
          </w:p>
        </w:tc>
        <w:tc>
          <w:tcPr>
            <w:tcW w:w="851" w:type="dxa"/>
            <w:tcBorders>
              <w:top w:val="single" w:sz="4" w:space="0" w:color="auto"/>
              <w:bottom w:val="single" w:sz="4" w:space="0" w:color="auto"/>
            </w:tcBorders>
            <w:vAlign w:val="center"/>
          </w:tcPr>
          <w:p w14:paraId="0F099A7B" w14:textId="409BFF28"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color w:val="000000"/>
                <w:kern w:val="22"/>
                <w:sz w:val="20"/>
                <w:szCs w:val="20"/>
              </w:rPr>
            </w:pPr>
            <w:r>
              <w:rPr>
                <w:snapToGrid w:val="0"/>
                <w:color w:val="000000"/>
                <w:sz w:val="20"/>
                <w:szCs w:val="20"/>
              </w:rPr>
              <w:t>4 288</w:t>
            </w:r>
          </w:p>
          <w:p w14:paraId="53EF6586" w14:textId="140FC0BF"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sz w:val="20"/>
                <w:szCs w:val="20"/>
              </w:rPr>
              <w:t>1,53</w:t>
            </w:r>
          </w:p>
        </w:tc>
        <w:tc>
          <w:tcPr>
            <w:tcW w:w="1144" w:type="dxa"/>
            <w:tcBorders>
              <w:top w:val="single" w:sz="4" w:space="0" w:color="auto"/>
              <w:bottom w:val="single" w:sz="4" w:space="0" w:color="auto"/>
            </w:tcBorders>
            <w:vAlign w:val="center"/>
          </w:tcPr>
          <w:p w14:paraId="61EEE071" w14:textId="115DE43A" w:rsidR="006730CB" w:rsidRPr="00C264EE" w:rsidRDefault="006730CB" w:rsidP="006730CB">
            <w:pPr>
              <w:suppressLineNumbers/>
              <w:suppressAutoHyphens/>
              <w:kinsoku w:val="0"/>
              <w:overflowPunct w:val="0"/>
              <w:autoSpaceDE w:val="0"/>
              <w:autoSpaceDN w:val="0"/>
              <w:adjustRightInd w:val="0"/>
              <w:snapToGrid w:val="0"/>
              <w:spacing w:before="40" w:after="40"/>
              <w:jc w:val="right"/>
              <w:rPr>
                <w:snapToGrid w:val="0"/>
                <w:kern w:val="22"/>
                <w:sz w:val="20"/>
                <w:szCs w:val="20"/>
              </w:rPr>
            </w:pPr>
            <w:r>
              <w:rPr>
                <w:snapToGrid w:val="0"/>
                <w:sz w:val="20"/>
                <w:szCs w:val="20"/>
              </w:rPr>
              <w:t>4 777</w:t>
            </w:r>
          </w:p>
          <w:p w14:paraId="1F0DF928" w14:textId="3EADE09C" w:rsidR="006730CB" w:rsidRPr="00C264EE" w:rsidRDefault="006730CB" w:rsidP="006730CB">
            <w:pPr>
              <w:suppressLineNumbers/>
              <w:suppressAutoHyphens/>
              <w:kinsoku w:val="0"/>
              <w:overflowPunct w:val="0"/>
              <w:autoSpaceDE w:val="0"/>
              <w:autoSpaceDN w:val="0"/>
              <w:adjustRightInd w:val="0"/>
              <w:snapToGrid w:val="0"/>
              <w:spacing w:before="40" w:after="40"/>
              <w:jc w:val="right"/>
              <w:rPr>
                <w:i/>
                <w:iCs/>
                <w:snapToGrid w:val="0"/>
                <w:kern w:val="22"/>
                <w:sz w:val="20"/>
                <w:szCs w:val="20"/>
              </w:rPr>
            </w:pPr>
            <w:r>
              <w:rPr>
                <w:i/>
                <w:iCs/>
                <w:snapToGrid w:val="0"/>
                <w:sz w:val="20"/>
                <w:szCs w:val="20"/>
              </w:rPr>
              <w:t>1,70</w:t>
            </w:r>
          </w:p>
        </w:tc>
      </w:tr>
      <w:tr w:rsidR="00BF3EF6" w:rsidRPr="00BF3EF6" w14:paraId="63850D96" w14:textId="77777777" w:rsidTr="00785769">
        <w:trPr>
          <w:cantSplit/>
          <w:jc w:val="center"/>
        </w:trPr>
        <w:tc>
          <w:tcPr>
            <w:tcW w:w="9503" w:type="dxa"/>
            <w:gridSpan w:val="9"/>
            <w:tcBorders>
              <w:top w:val="single" w:sz="4" w:space="0" w:color="auto"/>
              <w:left w:val="nil"/>
              <w:bottom w:val="nil"/>
              <w:right w:val="nil"/>
            </w:tcBorders>
            <w:shd w:val="clear" w:color="auto" w:fill="auto"/>
            <w:tcMar>
              <w:top w:w="14" w:type="dxa"/>
              <w:left w:w="29" w:type="dxa"/>
              <w:bottom w:w="14" w:type="dxa"/>
              <w:right w:w="29" w:type="dxa"/>
            </w:tcMar>
            <w:vAlign w:val="bottom"/>
          </w:tcPr>
          <w:p w14:paraId="1E3E592B" w14:textId="2988FE02" w:rsidR="0087059F" w:rsidRPr="0087059F" w:rsidRDefault="00484CE5" w:rsidP="0087059F">
            <w:pPr>
              <w:suppressLineNumbers/>
              <w:suppressAutoHyphens/>
              <w:kinsoku w:val="0"/>
              <w:overflowPunct w:val="0"/>
              <w:autoSpaceDE w:val="0"/>
              <w:autoSpaceDN w:val="0"/>
              <w:adjustRightInd w:val="0"/>
              <w:snapToGrid w:val="0"/>
              <w:spacing w:before="40"/>
              <w:jc w:val="left"/>
              <w:rPr>
                <w:rStyle w:val="cf11"/>
                <w:rFonts w:ascii="Times New Roman" w:hAnsi="Times New Roman"/>
                <w:i/>
                <w:iCs/>
              </w:rPr>
            </w:pPr>
            <w:r w:rsidRPr="0087059F">
              <w:rPr>
                <w:i/>
                <w:iCs/>
                <w:sz w:val="18"/>
                <w:szCs w:val="18"/>
              </w:rPr>
              <w:t xml:space="preserve">Рассчитано на основе информации из базы данных СОК ОЭСР (http://stats.oecd.org) </w:t>
            </w:r>
            <w:r w:rsidR="006342C4">
              <w:rPr>
                <w:i/>
                <w:iCs/>
                <w:sz w:val="18"/>
                <w:szCs w:val="18"/>
              </w:rPr>
              <w:t xml:space="preserve">по состоянию на </w:t>
            </w:r>
            <w:r w:rsidRPr="0087059F">
              <w:rPr>
                <w:i/>
                <w:iCs/>
                <w:sz w:val="18"/>
                <w:szCs w:val="18"/>
              </w:rPr>
              <w:t>7 октября 2022 года.</w:t>
            </w:r>
            <w:r w:rsidRPr="0087059F">
              <w:rPr>
                <w:rStyle w:val="cf11"/>
                <w:rFonts w:ascii="Times New Roman" w:hAnsi="Times New Roman"/>
                <w:i/>
                <w:iCs/>
              </w:rPr>
              <w:t xml:space="preserve"> </w:t>
            </w:r>
          </w:p>
          <w:p w14:paraId="02DFEC9E" w14:textId="50A67E0B" w:rsidR="00BF3EF6" w:rsidRPr="0087059F" w:rsidRDefault="00484CE5" w:rsidP="0087059F">
            <w:pPr>
              <w:suppressLineNumbers/>
              <w:suppressAutoHyphens/>
              <w:kinsoku w:val="0"/>
              <w:overflowPunct w:val="0"/>
              <w:autoSpaceDE w:val="0"/>
              <w:autoSpaceDN w:val="0"/>
              <w:adjustRightInd w:val="0"/>
              <w:snapToGrid w:val="0"/>
              <w:spacing w:after="40"/>
              <w:jc w:val="left"/>
              <w:rPr>
                <w:i/>
                <w:iCs/>
                <w:snapToGrid w:val="0"/>
                <w:kern w:val="22"/>
                <w:sz w:val="18"/>
                <w:szCs w:val="18"/>
              </w:rPr>
            </w:pPr>
            <w:r w:rsidRPr="0087059F">
              <w:rPr>
                <w:rStyle w:val="cf11"/>
                <w:rFonts w:ascii="Times New Roman" w:hAnsi="Times New Roman"/>
              </w:rPr>
              <w:t>Текущие обязательства в долларах США.</w:t>
            </w:r>
          </w:p>
        </w:tc>
      </w:tr>
    </w:tbl>
    <w:p w14:paraId="794DEBEA" w14:textId="4F246E66" w:rsidR="00855A78" w:rsidRDefault="00B66E65" w:rsidP="00C264EE">
      <w:pPr>
        <w:pStyle w:val="Para1"/>
        <w:numPr>
          <w:ilvl w:val="0"/>
          <w:numId w:val="25"/>
        </w:numPr>
        <w:tabs>
          <w:tab w:val="clear" w:pos="360"/>
        </w:tabs>
        <w:kinsoku w:val="0"/>
        <w:overflowPunct w:val="0"/>
        <w:autoSpaceDE w:val="0"/>
        <w:autoSpaceDN w:val="0"/>
        <w:snapToGrid w:val="0"/>
        <w:rPr>
          <w:kern w:val="22"/>
          <w:szCs w:val="22"/>
        </w:rPr>
      </w:pPr>
      <w:r>
        <w:t>СОК также включает данные ряда Сторон, не являющихся членами КСР, а также многосторонних учреждений и основных глобальных благотворительных организаций. Хотя для этих данных не используется методология рио-де-жанейрских показателей, классификация секторов СОК, по-видимому, позволяет, по крайней мере, идентифицировать финансирование, связанное с биоразнообразием, в узком смысле благодаря использованию кодов секторов 41020 (охрана биосферы), 41030 (биоразнообразие) и 41040 (сохранение объектов)</w:t>
      </w:r>
      <w:r w:rsidR="0098055F" w:rsidRPr="00D77983">
        <w:rPr>
          <w:rStyle w:val="Appelnotedebasdep"/>
          <w:kern w:val="22"/>
          <w:szCs w:val="22"/>
        </w:rPr>
        <w:footnoteReference w:id="12"/>
      </w:r>
      <w:r>
        <w:t>. Хотя эти данные СОК не позволяют рассчитать представляющий актуальность исходный уровень 2006-2010 годов, за последние годы их охват представляется более целостным, и эти данные СОК могут стать полезным дополнением к информации рио-де-жанейрских показателей (биоразнообразие) в будущем, в частности, в отношении многосторонних источников и некоторых потоков частного финансирования.</w:t>
      </w:r>
    </w:p>
    <w:p w14:paraId="6BFB9C69" w14:textId="733E7118" w:rsidR="00781894" w:rsidRPr="00562633" w:rsidRDefault="00312AE6" w:rsidP="00C264EE">
      <w:pPr>
        <w:pStyle w:val="Para1"/>
        <w:numPr>
          <w:ilvl w:val="0"/>
          <w:numId w:val="25"/>
        </w:numPr>
        <w:tabs>
          <w:tab w:val="clear" w:pos="360"/>
        </w:tabs>
        <w:kinsoku w:val="0"/>
        <w:overflowPunct w:val="0"/>
        <w:autoSpaceDE w:val="0"/>
        <w:autoSpaceDN w:val="0"/>
        <w:snapToGrid w:val="0"/>
        <w:rPr>
          <w:kern w:val="22"/>
          <w:szCs w:val="22"/>
        </w:rPr>
      </w:pPr>
      <w:r>
        <w:t xml:space="preserve">Сравнение данных, предоставленных </w:t>
      </w:r>
      <w:r w:rsidR="006342C4">
        <w:t>посредством</w:t>
      </w:r>
      <w:r>
        <w:t xml:space="preserve"> структур</w:t>
      </w:r>
      <w:r w:rsidR="006342C4">
        <w:t>ы</w:t>
      </w:r>
      <w:r>
        <w:t xml:space="preserve"> представления финансовой отчетности и в рамках СОК ОЭСР, позволяет сделать ряд наблюдений. Во-первых, очевидно, что в </w:t>
      </w:r>
      <w:r>
        <w:lastRenderedPageBreak/>
        <w:t>данных СОК по показателям биоразнообразия не отмечается существенных пробелов – даже при отсутствии каки</w:t>
      </w:r>
      <w:r w:rsidR="006342C4">
        <w:t>х</w:t>
      </w:r>
      <w:r>
        <w:t>-либо данных это не сопоставимо с пробелами в отчетных данных в структуре представления финансовой отчетности. Во-вторых, отчетность в структуре представления финансовой отчетности, по-видимому, в значительной степени является дублированием (с дополнительным применением соответствующего коэффициента (коэффициентов) для «значимого» потока и добавлением многосторонней помощи), и пробелы в отчетных данных могут отражать это дополнительное бремя отчетности. В-третьих, хотя данные по рио-де-жанейрским показателям (биоразнообразие) в СОК не агрегирован</w:t>
      </w:r>
      <w:r w:rsidR="00021049">
        <w:t>ы</w:t>
      </w:r>
      <w:r>
        <w:t xml:space="preserve">, </w:t>
      </w:r>
      <w:r w:rsidR="00021049">
        <w:t>они</w:t>
      </w:r>
      <w:r>
        <w:t xml:space="preserve"> все же позволяют отдельно оценить, увеличился ли объем ресурсов, мобилизованных в рамках «основного» и «значимого» потоков. В-четвертых, ограничения данных по рио-де-жанейрским показателям (в том, что они охватывают только членов КСР и только двустороннюю помощь) все чаще устраняются другими наборами данных, доступными в рамках СОК ОЭСР. Эти наблюдения в совокупности указывают на потенциально широкие перспективы рационализации мониторинга и отчетности по международным потокам путем прямого использования данных, предоставляемых в рамках СОК ОЭСР. При необходимости общее решение по этому вопросу можно дополнить руководством Конференции Сторон (а впоследствии и отдельных Сторон) для секретариата в отношении анализа данных</w:t>
      </w:r>
      <w:r w:rsidR="00AE4C83" w:rsidRPr="00562633">
        <w:rPr>
          <w:rStyle w:val="Appelnotedebasdep"/>
          <w:kern w:val="22"/>
          <w:szCs w:val="22"/>
        </w:rPr>
        <w:footnoteReference w:id="13"/>
      </w:r>
      <w:r>
        <w:t>.</w:t>
      </w:r>
    </w:p>
    <w:p w14:paraId="626BB1C1" w14:textId="2E039E70" w:rsidR="0057125B" w:rsidRPr="008A31B4" w:rsidRDefault="0057125B" w:rsidP="00850B7D">
      <w:pPr>
        <w:pStyle w:val="Titre1"/>
        <w:suppressLineNumbers/>
        <w:suppressAutoHyphens/>
        <w:kinsoku w:val="0"/>
        <w:overflowPunct w:val="0"/>
        <w:autoSpaceDE w:val="0"/>
        <w:autoSpaceDN w:val="0"/>
        <w:adjustRightInd w:val="0"/>
        <w:snapToGrid w:val="0"/>
        <w:spacing w:before="120"/>
        <w:ind w:left="1440" w:hanging="720"/>
        <w:jc w:val="left"/>
        <w:rPr>
          <w:snapToGrid w:val="0"/>
          <w:kern w:val="22"/>
          <w:szCs w:val="22"/>
        </w:rPr>
      </w:pPr>
      <w:r>
        <w:rPr>
          <w:snapToGrid w:val="0"/>
          <w:szCs w:val="22"/>
        </w:rPr>
        <w:t>IV.</w:t>
      </w:r>
      <w:r>
        <w:rPr>
          <w:snapToGrid w:val="0"/>
          <w:szCs w:val="22"/>
        </w:rPr>
        <w:tab/>
        <w:t>Включение тематики биоразнообразия в приоритеты и планы, а также оценка и/или анализ его ценностей</w:t>
      </w:r>
    </w:p>
    <w:p w14:paraId="21C57E1E" w14:textId="4E040F67" w:rsidR="00CB7C40" w:rsidRPr="00896948" w:rsidRDefault="00EB5876" w:rsidP="00514497">
      <w:pPr>
        <w:pStyle w:val="Para1"/>
        <w:numPr>
          <w:ilvl w:val="0"/>
          <w:numId w:val="25"/>
        </w:numPr>
        <w:tabs>
          <w:tab w:val="clear" w:pos="360"/>
        </w:tabs>
        <w:kinsoku w:val="0"/>
        <w:overflowPunct w:val="0"/>
        <w:autoSpaceDE w:val="0"/>
        <w:autoSpaceDN w:val="0"/>
        <w:snapToGrid w:val="0"/>
        <w:rPr>
          <w:kern w:val="22"/>
          <w:szCs w:val="22"/>
        </w:rPr>
      </w:pPr>
      <w:r>
        <w:t xml:space="preserve">Целевая задача (b) по мобилизации ресурсов, принятая в решении XII/3, направлена на обеспечение того, чтобы 100%, но не менее 75%, Сторон включило аспекты биоразнообразия в свои национальные приоритеты или планы развития к 2015 году, </w:t>
      </w:r>
      <w:r w:rsidR="008C2363">
        <w:t>обеспечив</w:t>
      </w:r>
      <w:r>
        <w:t xml:space="preserve"> в связи с этим надлежащие внутренние финансовые ресурсы. </w:t>
      </w:r>
    </w:p>
    <w:p w14:paraId="5D74AC4A" w14:textId="79DCE588" w:rsidR="00EE6889" w:rsidRPr="00000DA0" w:rsidRDefault="00855A78" w:rsidP="00514497">
      <w:pPr>
        <w:pStyle w:val="Para1"/>
        <w:numPr>
          <w:ilvl w:val="0"/>
          <w:numId w:val="25"/>
        </w:numPr>
        <w:tabs>
          <w:tab w:val="clear" w:pos="360"/>
        </w:tabs>
        <w:kinsoku w:val="0"/>
        <w:overflowPunct w:val="0"/>
        <w:autoSpaceDE w:val="0"/>
        <w:autoSpaceDN w:val="0"/>
        <w:snapToGrid w:val="0"/>
        <w:rPr>
          <w:kern w:val="22"/>
          <w:szCs w:val="22"/>
        </w:rPr>
      </w:pPr>
      <w:r>
        <w:t xml:space="preserve">В рамках </w:t>
      </w:r>
      <w:r w:rsidR="00021049">
        <w:t xml:space="preserve">цикла </w:t>
      </w:r>
      <w:r>
        <w:t>отчетности 2015 год</w:t>
      </w:r>
      <w:r w:rsidR="00021049">
        <w:t>а</w:t>
      </w:r>
      <w:r>
        <w:t xml:space="preserve"> на вопрос о включении тематики биоразнообразия в национальные приоритеты или планы развития ответили в целом 94 Стороны</w:t>
      </w:r>
      <w:r w:rsidR="00021049">
        <w:t>,</w:t>
      </w:r>
      <w:r>
        <w:t xml:space="preserve"> и все они сообщили о достижении по крайней мере некоторого прогресса: 65 Сторон или 69% респондентов отметили, что обеспечен частичный учет вопросов сохранения биоразнообразия, а 29 стран или 31% сообщили об обеспечении комплексного учета. Эти обнадеживающие результаты выполнения целевой задачи (b) решения XII/3, по-видимому, будут также актуальны для отчетности 2020 год</w:t>
      </w:r>
      <w:r w:rsidR="00995D59">
        <w:t>а</w:t>
      </w:r>
      <w:r>
        <w:t xml:space="preserve">, где все 48 Сторон-респондентов сообщили, по крайней мере, о некотором прогрессе: 28 Сторон или 58% респондентов отметили, что обеспечен частичный учет вопросов сохранения биоразнообразия, а 20 стран или 42% сообщили об обеспечении комплексного учета. Страны прежде всего сообщали об </w:t>
      </w:r>
      <w:r w:rsidR="00995D59">
        <w:t>увязке</w:t>
      </w:r>
      <w:r>
        <w:t xml:space="preserve"> с секторальными планами, планами или политикой самого высокого уровня, например, национальными планами (устойчивого) развития или планами экономического роста, программами по эффективному использованию ресурсов или даже с национальной конституцией в качестве основных путей эффективно</w:t>
      </w:r>
      <w:r w:rsidR="00995D59">
        <w:t>го учета</w:t>
      </w:r>
      <w:r>
        <w:t xml:space="preserve"> </w:t>
      </w:r>
      <w:r w:rsidR="00995D59">
        <w:t>пробле</w:t>
      </w:r>
      <w:r>
        <w:t>матики биоразнообразия.</w:t>
      </w:r>
    </w:p>
    <w:p w14:paraId="6E315993" w14:textId="302E8C42" w:rsidR="00855A78" w:rsidRPr="008A31B4" w:rsidRDefault="003A1BE0" w:rsidP="00C264EE">
      <w:pPr>
        <w:pStyle w:val="Para1"/>
        <w:numPr>
          <w:ilvl w:val="0"/>
          <w:numId w:val="25"/>
        </w:numPr>
        <w:tabs>
          <w:tab w:val="clear" w:pos="360"/>
        </w:tabs>
        <w:kinsoku w:val="0"/>
        <w:overflowPunct w:val="0"/>
        <w:autoSpaceDE w:val="0"/>
        <w:autoSpaceDN w:val="0"/>
        <w:snapToGrid w:val="0"/>
        <w:rPr>
          <w:kern w:val="22"/>
          <w:szCs w:val="22"/>
        </w:rPr>
      </w:pPr>
      <w:r>
        <w:t>В рамках целевой задачи (d) решения XII/3 призыва</w:t>
      </w:r>
      <w:r w:rsidR="00995D59">
        <w:t>лось</w:t>
      </w:r>
      <w:r>
        <w:t xml:space="preserve"> обеспечить,</w:t>
      </w:r>
      <w:r w:rsidR="008C2363">
        <w:t xml:space="preserve"> </w:t>
      </w:r>
      <w:r>
        <w:t>чтобы 30% Сторон оценило и/или определило внутреннюю, экологическую, генетическую, социально-экономическую, научную, образовательную, культурную, рекреационную и эстетическую ценность биологического разнообразия и его компонентов. В предыдущих докладах отмечался прогресс в выполнении этой целевой задачи, и достигнутые результаты продолжают поддерживаться. В рамках отчетности 2015 год</w:t>
      </w:r>
      <w:r w:rsidR="00A64600">
        <w:t>а</w:t>
      </w:r>
      <w:r>
        <w:t xml:space="preserve"> восемь Сторон или 9% сообщили о проведении комплексной оценки, а 90% стран, представивших отчетность, или 42% от всех Сторон, сообщили о проведении по меньшей мере некоторых оценок. В рамках отчетности 2020 год</w:t>
      </w:r>
      <w:r w:rsidR="00A64600">
        <w:t>а</w:t>
      </w:r>
      <w:r>
        <w:t xml:space="preserve"> пять Сторон (или 10%) сообщили о проведении </w:t>
      </w:r>
      <w:r>
        <w:lastRenderedPageBreak/>
        <w:t>комплексной оценки, а 90% стран, представивших отчетность (или 22% от всех Сторон)</w:t>
      </w:r>
      <w:r w:rsidR="00C76A10">
        <w:t>,</w:t>
      </w:r>
      <w:r>
        <w:t xml:space="preserve"> сообщили о проведении по меньшей мере некоторых оценок. По сравнению с целевым показателем в 30% этот показатель остается довольно удовлетворительным. Страны сообщили о проведении комплексных оценок или о проведении оценочных исследований в меньших масштабах, возможно, с отраслевой направленностью. Например, Турция отметила свой национальный проект по инвентаризации и мониторингу биоразнообразия, а Соединенное Королевство – ежегодную отчетность по ряду счетов природного капитала, внедренную после проведения Национальной оценки экосистем в 2011 году. Соединенное Королевство также указало, на то, что оно финансирует Обзор экономики биоразнообразия проф. Дасгупты в качестве нового комплексного экономического механизма, учитывающего зависимость человечества от природы.</w:t>
      </w:r>
    </w:p>
    <w:p w14:paraId="038F612B" w14:textId="27B4DB9A" w:rsidR="00855A78" w:rsidRPr="00000DA0" w:rsidRDefault="00855A78" w:rsidP="00C264EE">
      <w:pPr>
        <w:pStyle w:val="Titre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V.</w:t>
      </w:r>
      <w:r>
        <w:rPr>
          <w:snapToGrid w:val="0"/>
          <w:szCs w:val="22"/>
        </w:rPr>
        <w:tab/>
        <w:t>ОТЧЕТНЫЕ ДАННЫЕ О ТЕКУЩИХ ВНУТРЕННИХ РАСХОДАХ НА СОХРАНЕНИЕ БИОРАЗНООБРАЗИЯ</w:t>
      </w:r>
    </w:p>
    <w:p w14:paraId="157E78A3" w14:textId="462D764F" w:rsidR="00CB7C40" w:rsidRPr="00000DA0" w:rsidRDefault="006376FF" w:rsidP="00C264EE">
      <w:pPr>
        <w:pStyle w:val="Para1"/>
        <w:numPr>
          <w:ilvl w:val="0"/>
          <w:numId w:val="25"/>
        </w:numPr>
        <w:tabs>
          <w:tab w:val="clear" w:pos="360"/>
        </w:tabs>
        <w:kinsoku w:val="0"/>
        <w:overflowPunct w:val="0"/>
        <w:autoSpaceDE w:val="0"/>
        <w:autoSpaceDN w:val="0"/>
        <w:snapToGrid w:val="0"/>
        <w:rPr>
          <w:kern w:val="22"/>
          <w:szCs w:val="22"/>
        </w:rPr>
      </w:pPr>
      <w:r>
        <w:t>Целевая задача (c) по мобилизации ресурсов, принят</w:t>
      </w:r>
      <w:r w:rsidR="00CB3711">
        <w:t>ая</w:t>
      </w:r>
      <w:r>
        <w:t xml:space="preserve"> в решении XII/3, призывает прилагать усилия к обеспечению того, чтобы</w:t>
      </w:r>
      <w:r w:rsidR="00CB3711">
        <w:t xml:space="preserve"> </w:t>
      </w:r>
      <w:r>
        <w:t xml:space="preserve">100%, но не менее 75%, Сторон, которым предоставлены адекватные финансовые ресурсы, представили отчетность о внутренних расходах на цели сохранения и устойчивого использования биоразнообразия, а также о потребностях, дефиците и приоритетах финансирования к 2015 году. </w:t>
      </w:r>
    </w:p>
    <w:p w14:paraId="2E8F536A" w14:textId="52060A6C" w:rsidR="00855A78" w:rsidRPr="00000DA0" w:rsidRDefault="002817AB" w:rsidP="00C264EE">
      <w:pPr>
        <w:pStyle w:val="Para1"/>
        <w:numPr>
          <w:ilvl w:val="0"/>
          <w:numId w:val="25"/>
        </w:numPr>
        <w:tabs>
          <w:tab w:val="clear" w:pos="360"/>
        </w:tabs>
        <w:kinsoku w:val="0"/>
        <w:overflowPunct w:val="0"/>
        <w:autoSpaceDE w:val="0"/>
        <w:autoSpaceDN w:val="0"/>
        <w:snapToGrid w:val="0"/>
        <w:rPr>
          <w:kern w:val="22"/>
          <w:szCs w:val="22"/>
        </w:rPr>
      </w:pPr>
      <w:r>
        <w:t>Из 97 Сторон, представивших информацию о первых результатах до 2015 года, 88 Сторон или свыше 90% сообщили, что они ежегодно оказывают финансовую поддержку реализации в стране мероприятий, связанных с биоразнообразием. Это может показаться удовлетворительным, но речь идет приблизительно о 46% всех Сторон; таким образом, при строгом толковании данный элемент целевой задачи (с), принятой в решении XII/3, остается невыполненным.</w:t>
      </w:r>
    </w:p>
    <w:p w14:paraId="09D7ECC6" w14:textId="1CA227E6" w:rsidR="00EE6889" w:rsidRPr="00000DA0" w:rsidRDefault="00CB7C40">
      <w:pPr>
        <w:pStyle w:val="Para1"/>
        <w:numPr>
          <w:ilvl w:val="0"/>
          <w:numId w:val="25"/>
        </w:numPr>
        <w:tabs>
          <w:tab w:val="clear" w:pos="360"/>
        </w:tabs>
        <w:kinsoku w:val="0"/>
        <w:overflowPunct w:val="0"/>
        <w:autoSpaceDE w:val="0"/>
        <w:autoSpaceDN w:val="0"/>
        <w:snapToGrid w:val="0"/>
        <w:rPr>
          <w:kern w:val="22"/>
          <w:szCs w:val="22"/>
        </w:rPr>
      </w:pPr>
      <w:r>
        <w:t xml:space="preserve">Целевая задача (e) по мобилизации ресурсов предусматривает мобилизацию внутренних финансовых ресурсов из всех источников для сокращения пробела между выявленными потребностями и доступными ресурсами на национальном уровне. Хотя такие данные не позволяют проводить сравнения между странами или получать значимых агрегированных данных о внутренних расходах на сохранение биоразнообразия, их можно в определенной степени использовать для анализа тенденций в изменении </w:t>
      </w:r>
      <w:r w:rsidR="00CB3711">
        <w:t xml:space="preserve">объема </w:t>
      </w:r>
      <w:r>
        <w:t>расходов на биоразнообразие с течением времени, хотя и не во всех случаях</w:t>
      </w:r>
      <w:r w:rsidR="00EE6889" w:rsidRPr="00000DA0">
        <w:rPr>
          <w:rStyle w:val="Appelnotedebasdep"/>
          <w:kern w:val="22"/>
          <w:szCs w:val="22"/>
        </w:rPr>
        <w:footnoteReference w:id="14"/>
      </w:r>
      <w:r>
        <w:t>. В таблице 3 ниже приводятся обобщенные данные такого анализа</w:t>
      </w:r>
      <w:r w:rsidR="00CB3711">
        <w:t>,</w:t>
      </w:r>
      <w:r>
        <w:t xml:space="preserve"> насколько это возможно. Поскольку примерно в половине стран наблюдается тенденция к увеличению расходов, связанных с биоразнообразием, это свидетельствует о том, что до 2015 года был достигнут определенный прогресс; однако в другой половине стран наблюдается стагнация или тенденция к снижению.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701"/>
        <w:gridCol w:w="1417"/>
        <w:gridCol w:w="1559"/>
        <w:gridCol w:w="971"/>
      </w:tblGrid>
      <w:tr w:rsidR="004A39BD" w:rsidRPr="00951A79" w14:paraId="0CE9261B" w14:textId="77777777" w:rsidTr="00D8494C">
        <w:trPr>
          <w:cantSplit/>
          <w:jc w:val="center"/>
        </w:trPr>
        <w:tc>
          <w:tcPr>
            <w:tcW w:w="9476" w:type="dxa"/>
            <w:gridSpan w:val="6"/>
            <w:tcBorders>
              <w:top w:val="nil"/>
              <w:left w:val="nil"/>
              <w:bottom w:val="single" w:sz="4" w:space="0" w:color="auto"/>
              <w:right w:val="nil"/>
            </w:tcBorders>
            <w:shd w:val="clear" w:color="auto" w:fill="auto"/>
          </w:tcPr>
          <w:p w14:paraId="168BD14D" w14:textId="4449987B" w:rsidR="004A39BD" w:rsidRPr="00951A79" w:rsidRDefault="004A39BD" w:rsidP="00C264EE">
            <w:pPr>
              <w:pStyle w:val="Paragraphedeliste"/>
              <w:keepNext/>
              <w:suppressLineNumbers/>
              <w:suppressAutoHyphens/>
              <w:kinsoku w:val="0"/>
              <w:overflowPunct w:val="0"/>
              <w:autoSpaceDE w:val="0"/>
              <w:autoSpaceDN w:val="0"/>
              <w:adjustRightInd w:val="0"/>
              <w:snapToGrid w:val="0"/>
              <w:spacing w:before="60" w:after="60"/>
              <w:ind w:left="0"/>
              <w:contextualSpacing w:val="0"/>
              <w:jc w:val="left"/>
              <w:rPr>
                <w:snapToGrid w:val="0"/>
                <w:kern w:val="22"/>
                <w:szCs w:val="22"/>
              </w:rPr>
            </w:pPr>
            <w:r>
              <w:rPr>
                <w:b/>
                <w:snapToGrid w:val="0"/>
                <w:szCs w:val="22"/>
              </w:rPr>
              <w:t>Таблица 3. Динамика внутренних расходов на биоразнообразие (до 2015 года), структура представления финансовой отчетности</w:t>
            </w:r>
          </w:p>
        </w:tc>
      </w:tr>
      <w:tr w:rsidR="008E17FE" w:rsidRPr="00951A79" w14:paraId="74661642" w14:textId="77777777" w:rsidTr="00D8494C">
        <w:trPr>
          <w:cantSplit/>
          <w:jc w:val="center"/>
        </w:trPr>
        <w:tc>
          <w:tcPr>
            <w:tcW w:w="2410" w:type="dxa"/>
            <w:tcBorders>
              <w:top w:val="single" w:sz="4" w:space="0" w:color="auto"/>
            </w:tcBorders>
            <w:shd w:val="clear" w:color="auto" w:fill="auto"/>
          </w:tcPr>
          <w:p w14:paraId="34F4E216" w14:textId="77777777" w:rsidR="004D0673" w:rsidRPr="00951A79" w:rsidRDefault="004D0673" w:rsidP="00C264E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7066" w:type="dxa"/>
            <w:gridSpan w:val="5"/>
            <w:tcBorders>
              <w:top w:val="single" w:sz="4" w:space="0" w:color="auto"/>
            </w:tcBorders>
            <w:shd w:val="clear" w:color="auto" w:fill="auto"/>
          </w:tcPr>
          <w:p w14:paraId="0FD18849" w14:textId="4E312DF1" w:rsidR="004D0673" w:rsidRPr="00951A79" w:rsidRDefault="004D0673" w:rsidP="00C264EE">
            <w:pPr>
              <w:keepNext/>
              <w:suppressLineNumbers/>
              <w:suppressAutoHyphens/>
              <w:kinsoku w:val="0"/>
              <w:overflowPunct w:val="0"/>
              <w:autoSpaceDE w:val="0"/>
              <w:autoSpaceDN w:val="0"/>
              <w:adjustRightInd w:val="0"/>
              <w:snapToGrid w:val="0"/>
              <w:spacing w:before="40" w:after="40"/>
              <w:ind w:left="360"/>
              <w:jc w:val="center"/>
              <w:rPr>
                <w:i/>
                <w:snapToGrid w:val="0"/>
                <w:kern w:val="22"/>
                <w:szCs w:val="22"/>
              </w:rPr>
            </w:pPr>
            <w:r>
              <w:rPr>
                <w:i/>
                <w:iCs/>
                <w:snapToGrid w:val="0"/>
                <w:szCs w:val="22"/>
              </w:rPr>
              <w:t>Число стран</w:t>
            </w:r>
          </w:p>
        </w:tc>
      </w:tr>
      <w:tr w:rsidR="00D8494C" w:rsidRPr="00951A79" w14:paraId="001CF84E" w14:textId="77777777" w:rsidTr="00D8494C">
        <w:trPr>
          <w:cantSplit/>
          <w:jc w:val="center"/>
        </w:trPr>
        <w:tc>
          <w:tcPr>
            <w:tcW w:w="2410" w:type="dxa"/>
            <w:tcBorders>
              <w:top w:val="single" w:sz="4" w:space="0" w:color="auto"/>
            </w:tcBorders>
            <w:shd w:val="clear" w:color="auto" w:fill="auto"/>
          </w:tcPr>
          <w:p w14:paraId="676796F3"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1418" w:type="dxa"/>
            <w:tcBorders>
              <w:top w:val="single" w:sz="4" w:space="0" w:color="auto"/>
            </w:tcBorders>
            <w:shd w:val="clear" w:color="auto" w:fill="auto"/>
          </w:tcPr>
          <w:p w14:paraId="0C16CA83" w14:textId="77777777" w:rsidR="004A39BD" w:rsidRPr="00951A79" w:rsidRDefault="004A39BD" w:rsidP="00D8494C">
            <w:pPr>
              <w:keepNext/>
              <w:suppressLineNumbers/>
              <w:suppressAutoHyphens/>
              <w:kinsoku w:val="0"/>
              <w:overflowPunct w:val="0"/>
              <w:autoSpaceDE w:val="0"/>
              <w:autoSpaceDN w:val="0"/>
              <w:adjustRightInd w:val="0"/>
              <w:snapToGrid w:val="0"/>
              <w:spacing w:before="40" w:after="40"/>
              <w:ind w:left="252" w:hanging="209"/>
              <w:jc w:val="right"/>
              <w:rPr>
                <w:i/>
                <w:snapToGrid w:val="0"/>
                <w:kern w:val="22"/>
                <w:szCs w:val="22"/>
              </w:rPr>
            </w:pPr>
            <w:r>
              <w:rPr>
                <w:i/>
                <w:snapToGrid w:val="0"/>
                <w:szCs w:val="22"/>
              </w:rPr>
              <w:t>Увеличение</w:t>
            </w:r>
          </w:p>
        </w:tc>
        <w:tc>
          <w:tcPr>
            <w:tcW w:w="1701" w:type="dxa"/>
            <w:tcBorders>
              <w:top w:val="single" w:sz="4" w:space="0" w:color="auto"/>
            </w:tcBorders>
            <w:shd w:val="clear" w:color="auto" w:fill="auto"/>
          </w:tcPr>
          <w:p w14:paraId="6163BC16" w14:textId="4DCBBF21" w:rsidR="004A39BD" w:rsidRPr="00951A79" w:rsidRDefault="005B6EB2" w:rsidP="005B6EB2">
            <w:pPr>
              <w:keepNext/>
              <w:suppressLineNumbers/>
              <w:suppressAutoHyphens/>
              <w:kinsoku w:val="0"/>
              <w:overflowPunct w:val="0"/>
              <w:autoSpaceDE w:val="0"/>
              <w:autoSpaceDN w:val="0"/>
              <w:adjustRightInd w:val="0"/>
              <w:snapToGrid w:val="0"/>
              <w:spacing w:before="40" w:after="40"/>
              <w:ind w:left="322"/>
              <w:jc w:val="right"/>
              <w:rPr>
                <w:i/>
                <w:snapToGrid w:val="0"/>
                <w:kern w:val="22"/>
                <w:szCs w:val="22"/>
              </w:rPr>
            </w:pPr>
            <w:r>
              <w:rPr>
                <w:i/>
                <w:snapToGrid w:val="0"/>
                <w:szCs w:val="22"/>
              </w:rPr>
              <w:t>Сокращение</w:t>
            </w:r>
          </w:p>
        </w:tc>
        <w:tc>
          <w:tcPr>
            <w:tcW w:w="1417" w:type="dxa"/>
            <w:tcBorders>
              <w:top w:val="single" w:sz="4" w:space="0" w:color="auto"/>
            </w:tcBorders>
            <w:shd w:val="clear" w:color="auto" w:fill="auto"/>
          </w:tcPr>
          <w:p w14:paraId="4A33702F" w14:textId="77777777" w:rsidR="004A39BD" w:rsidRPr="00951A79" w:rsidRDefault="004A39BD" w:rsidP="00D8494C">
            <w:pPr>
              <w:keepNext/>
              <w:suppressLineNumbers/>
              <w:suppressAutoHyphens/>
              <w:kinsoku w:val="0"/>
              <w:overflowPunct w:val="0"/>
              <w:autoSpaceDE w:val="0"/>
              <w:autoSpaceDN w:val="0"/>
              <w:adjustRightInd w:val="0"/>
              <w:snapToGrid w:val="0"/>
              <w:spacing w:before="40" w:after="40"/>
              <w:ind w:left="82"/>
              <w:jc w:val="right"/>
              <w:rPr>
                <w:i/>
                <w:snapToGrid w:val="0"/>
                <w:kern w:val="22"/>
                <w:szCs w:val="22"/>
              </w:rPr>
            </w:pPr>
            <w:r>
              <w:rPr>
                <w:i/>
                <w:snapToGrid w:val="0"/>
                <w:szCs w:val="22"/>
              </w:rPr>
              <w:t>Без изменения</w:t>
            </w:r>
          </w:p>
        </w:tc>
        <w:tc>
          <w:tcPr>
            <w:tcW w:w="1559" w:type="dxa"/>
            <w:tcBorders>
              <w:top w:val="single" w:sz="4" w:space="0" w:color="auto"/>
            </w:tcBorders>
            <w:shd w:val="clear" w:color="auto" w:fill="auto"/>
          </w:tcPr>
          <w:p w14:paraId="32638CE6" w14:textId="77777777" w:rsidR="004A39BD" w:rsidRPr="00951A79" w:rsidRDefault="004A39BD" w:rsidP="00D8494C">
            <w:pPr>
              <w:keepNext/>
              <w:suppressLineNumbers/>
              <w:suppressAutoHyphens/>
              <w:kinsoku w:val="0"/>
              <w:overflowPunct w:val="0"/>
              <w:autoSpaceDE w:val="0"/>
              <w:autoSpaceDN w:val="0"/>
              <w:adjustRightInd w:val="0"/>
              <w:snapToGrid w:val="0"/>
              <w:spacing w:before="40" w:after="40"/>
              <w:ind w:left="38"/>
              <w:jc w:val="right"/>
              <w:rPr>
                <w:i/>
                <w:snapToGrid w:val="0"/>
                <w:kern w:val="22"/>
                <w:szCs w:val="22"/>
              </w:rPr>
            </w:pPr>
            <w:r>
              <w:rPr>
                <w:i/>
                <w:snapToGrid w:val="0"/>
                <w:szCs w:val="22"/>
              </w:rPr>
              <w:t>Неприменимо</w:t>
            </w:r>
          </w:p>
        </w:tc>
        <w:tc>
          <w:tcPr>
            <w:tcW w:w="971" w:type="dxa"/>
            <w:tcBorders>
              <w:top w:val="single" w:sz="4" w:space="0" w:color="auto"/>
            </w:tcBorders>
            <w:shd w:val="clear" w:color="auto" w:fill="auto"/>
          </w:tcPr>
          <w:p w14:paraId="30211485" w14:textId="77777777" w:rsidR="004A39BD" w:rsidRPr="00951A79" w:rsidRDefault="004A39BD" w:rsidP="00D8494C">
            <w:pPr>
              <w:keepNext/>
              <w:suppressLineNumbers/>
              <w:suppressAutoHyphens/>
              <w:kinsoku w:val="0"/>
              <w:overflowPunct w:val="0"/>
              <w:autoSpaceDE w:val="0"/>
              <w:autoSpaceDN w:val="0"/>
              <w:adjustRightInd w:val="0"/>
              <w:snapToGrid w:val="0"/>
              <w:spacing w:before="40" w:after="40"/>
              <w:jc w:val="right"/>
              <w:rPr>
                <w:i/>
                <w:snapToGrid w:val="0"/>
                <w:kern w:val="22"/>
                <w:szCs w:val="22"/>
              </w:rPr>
            </w:pPr>
            <w:r>
              <w:rPr>
                <w:i/>
                <w:snapToGrid w:val="0"/>
                <w:szCs w:val="22"/>
              </w:rPr>
              <w:t>Итого</w:t>
            </w:r>
          </w:p>
        </w:tc>
      </w:tr>
      <w:tr w:rsidR="00D8494C" w:rsidRPr="00951A79" w14:paraId="17EC8349" w14:textId="77777777" w:rsidTr="00D8494C">
        <w:trPr>
          <w:cantSplit/>
          <w:jc w:val="center"/>
        </w:trPr>
        <w:tc>
          <w:tcPr>
            <w:tcW w:w="2410" w:type="dxa"/>
            <w:shd w:val="clear" w:color="auto" w:fill="auto"/>
          </w:tcPr>
          <w:p w14:paraId="726E6E79"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rPr>
                <w:snapToGrid w:val="0"/>
                <w:kern w:val="22"/>
                <w:szCs w:val="22"/>
              </w:rPr>
            </w:pPr>
            <w:r>
              <w:rPr>
                <w:snapToGrid w:val="0"/>
                <w:szCs w:val="22"/>
              </w:rPr>
              <w:t>Члены КСР</w:t>
            </w:r>
          </w:p>
        </w:tc>
        <w:tc>
          <w:tcPr>
            <w:tcW w:w="1418" w:type="dxa"/>
            <w:shd w:val="clear" w:color="auto" w:fill="auto"/>
          </w:tcPr>
          <w:p w14:paraId="11910342"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9</w:t>
            </w:r>
          </w:p>
        </w:tc>
        <w:tc>
          <w:tcPr>
            <w:tcW w:w="1701" w:type="dxa"/>
            <w:shd w:val="clear" w:color="auto" w:fill="auto"/>
          </w:tcPr>
          <w:p w14:paraId="0336C10A"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8</w:t>
            </w:r>
          </w:p>
        </w:tc>
        <w:tc>
          <w:tcPr>
            <w:tcW w:w="1417" w:type="dxa"/>
            <w:shd w:val="clear" w:color="auto" w:fill="auto"/>
          </w:tcPr>
          <w:p w14:paraId="669849BD"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4</w:t>
            </w:r>
          </w:p>
        </w:tc>
        <w:tc>
          <w:tcPr>
            <w:tcW w:w="1559" w:type="dxa"/>
            <w:shd w:val="clear" w:color="auto" w:fill="auto"/>
          </w:tcPr>
          <w:p w14:paraId="7B51BED6"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3.</w:t>
            </w:r>
          </w:p>
        </w:tc>
        <w:tc>
          <w:tcPr>
            <w:tcW w:w="971" w:type="dxa"/>
            <w:shd w:val="clear" w:color="auto" w:fill="auto"/>
          </w:tcPr>
          <w:p w14:paraId="0A130D29"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24</w:t>
            </w:r>
          </w:p>
        </w:tc>
      </w:tr>
      <w:tr w:rsidR="00D8494C" w:rsidRPr="00951A79" w14:paraId="0677D78D" w14:textId="77777777" w:rsidTr="00D8494C">
        <w:trPr>
          <w:cantSplit/>
          <w:jc w:val="center"/>
        </w:trPr>
        <w:tc>
          <w:tcPr>
            <w:tcW w:w="2410" w:type="dxa"/>
            <w:shd w:val="clear" w:color="auto" w:fill="auto"/>
          </w:tcPr>
          <w:p w14:paraId="6775537F"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rPr>
                <w:snapToGrid w:val="0"/>
                <w:kern w:val="22"/>
                <w:szCs w:val="22"/>
              </w:rPr>
            </w:pPr>
            <w:r>
              <w:rPr>
                <w:snapToGrid w:val="0"/>
                <w:szCs w:val="22"/>
              </w:rPr>
              <w:t>Страны, не являющиеся членами КСР</w:t>
            </w:r>
          </w:p>
        </w:tc>
        <w:tc>
          <w:tcPr>
            <w:tcW w:w="1418" w:type="dxa"/>
            <w:shd w:val="clear" w:color="auto" w:fill="auto"/>
          </w:tcPr>
          <w:p w14:paraId="1B111006"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26</w:t>
            </w:r>
          </w:p>
        </w:tc>
        <w:tc>
          <w:tcPr>
            <w:tcW w:w="1701" w:type="dxa"/>
            <w:shd w:val="clear" w:color="auto" w:fill="auto"/>
          </w:tcPr>
          <w:p w14:paraId="78A06455"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6</w:t>
            </w:r>
          </w:p>
        </w:tc>
        <w:tc>
          <w:tcPr>
            <w:tcW w:w="1417" w:type="dxa"/>
            <w:shd w:val="clear" w:color="auto" w:fill="auto"/>
          </w:tcPr>
          <w:p w14:paraId="3C360CE3"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20</w:t>
            </w:r>
          </w:p>
        </w:tc>
        <w:tc>
          <w:tcPr>
            <w:tcW w:w="1559" w:type="dxa"/>
            <w:shd w:val="clear" w:color="auto" w:fill="auto"/>
          </w:tcPr>
          <w:p w14:paraId="00992B9F"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12</w:t>
            </w:r>
          </w:p>
        </w:tc>
        <w:tc>
          <w:tcPr>
            <w:tcW w:w="971" w:type="dxa"/>
            <w:shd w:val="clear" w:color="auto" w:fill="auto"/>
          </w:tcPr>
          <w:p w14:paraId="0F2B2D5C" w14:textId="77777777" w:rsidR="004A39BD" w:rsidRPr="00951A79" w:rsidRDefault="004A39BD" w:rsidP="008E17FE">
            <w:pPr>
              <w:keepNext/>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64</w:t>
            </w:r>
          </w:p>
        </w:tc>
      </w:tr>
      <w:tr w:rsidR="00D8494C" w:rsidRPr="00951A79" w14:paraId="696132F9" w14:textId="77777777" w:rsidTr="00D8494C">
        <w:trPr>
          <w:cantSplit/>
          <w:jc w:val="center"/>
        </w:trPr>
        <w:tc>
          <w:tcPr>
            <w:tcW w:w="2410" w:type="dxa"/>
            <w:shd w:val="clear" w:color="auto" w:fill="auto"/>
          </w:tcPr>
          <w:p w14:paraId="3E94F2E2" w14:textId="19FE1326" w:rsidR="004A39BD" w:rsidRPr="00C264EE" w:rsidRDefault="004A39BD" w:rsidP="00C264EE">
            <w:pPr>
              <w:suppressLineNumbers/>
              <w:suppressAutoHyphens/>
              <w:kinsoku w:val="0"/>
              <w:overflowPunct w:val="0"/>
              <w:autoSpaceDE w:val="0"/>
              <w:autoSpaceDN w:val="0"/>
              <w:adjustRightInd w:val="0"/>
              <w:snapToGrid w:val="0"/>
              <w:spacing w:before="40" w:after="40"/>
              <w:jc w:val="right"/>
              <w:rPr>
                <w:i/>
                <w:iCs/>
                <w:snapToGrid w:val="0"/>
                <w:kern w:val="22"/>
                <w:szCs w:val="22"/>
              </w:rPr>
            </w:pPr>
            <w:r>
              <w:rPr>
                <w:i/>
                <w:iCs/>
                <w:snapToGrid w:val="0"/>
                <w:szCs w:val="22"/>
              </w:rPr>
              <w:t xml:space="preserve">Страны </w:t>
            </w:r>
            <w:r w:rsidR="0087059F">
              <w:rPr>
                <w:i/>
                <w:iCs/>
                <w:snapToGrid w:val="0"/>
                <w:szCs w:val="22"/>
              </w:rPr>
              <w:t>со</w:t>
            </w:r>
            <w:r>
              <w:rPr>
                <w:i/>
                <w:iCs/>
                <w:snapToGrid w:val="0"/>
                <w:szCs w:val="22"/>
              </w:rPr>
              <w:t xml:space="preserve"> сверхбогатым биоразнообразием</w:t>
            </w:r>
          </w:p>
        </w:tc>
        <w:tc>
          <w:tcPr>
            <w:tcW w:w="1418" w:type="dxa"/>
            <w:shd w:val="clear" w:color="auto" w:fill="auto"/>
          </w:tcPr>
          <w:p w14:paraId="7336A233"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szCs w:val="22"/>
              </w:rPr>
              <w:t>7</w:t>
            </w:r>
          </w:p>
        </w:tc>
        <w:tc>
          <w:tcPr>
            <w:tcW w:w="1701" w:type="dxa"/>
            <w:shd w:val="clear" w:color="auto" w:fill="auto"/>
          </w:tcPr>
          <w:p w14:paraId="11F97BD0"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szCs w:val="22"/>
              </w:rPr>
              <w:t>2</w:t>
            </w:r>
          </w:p>
        </w:tc>
        <w:tc>
          <w:tcPr>
            <w:tcW w:w="1417" w:type="dxa"/>
            <w:shd w:val="clear" w:color="auto" w:fill="auto"/>
          </w:tcPr>
          <w:p w14:paraId="2B0F82A7"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szCs w:val="22"/>
              </w:rPr>
              <w:t>0</w:t>
            </w:r>
          </w:p>
        </w:tc>
        <w:tc>
          <w:tcPr>
            <w:tcW w:w="1559" w:type="dxa"/>
            <w:shd w:val="clear" w:color="auto" w:fill="auto"/>
          </w:tcPr>
          <w:p w14:paraId="0D13FAF7"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szCs w:val="22"/>
              </w:rPr>
              <w:t>0</w:t>
            </w:r>
          </w:p>
        </w:tc>
        <w:tc>
          <w:tcPr>
            <w:tcW w:w="971" w:type="dxa"/>
            <w:shd w:val="clear" w:color="auto" w:fill="auto"/>
          </w:tcPr>
          <w:p w14:paraId="528F9558" w14:textId="77777777" w:rsidR="004A39BD" w:rsidRPr="00C264EE" w:rsidRDefault="004A39BD" w:rsidP="00B705D4">
            <w:pPr>
              <w:suppressLineNumbers/>
              <w:suppressAutoHyphens/>
              <w:kinsoku w:val="0"/>
              <w:overflowPunct w:val="0"/>
              <w:autoSpaceDE w:val="0"/>
              <w:autoSpaceDN w:val="0"/>
              <w:adjustRightInd w:val="0"/>
              <w:snapToGrid w:val="0"/>
              <w:spacing w:before="40" w:after="40"/>
              <w:ind w:left="360"/>
              <w:jc w:val="right"/>
              <w:rPr>
                <w:i/>
                <w:iCs/>
                <w:snapToGrid w:val="0"/>
                <w:kern w:val="22"/>
                <w:szCs w:val="22"/>
              </w:rPr>
            </w:pPr>
            <w:r>
              <w:rPr>
                <w:i/>
                <w:iCs/>
                <w:snapToGrid w:val="0"/>
                <w:szCs w:val="22"/>
              </w:rPr>
              <w:t>9</w:t>
            </w:r>
          </w:p>
        </w:tc>
      </w:tr>
      <w:tr w:rsidR="00D8494C" w:rsidRPr="00951A79" w14:paraId="7F4B3200" w14:textId="77777777" w:rsidTr="00D8494C">
        <w:trPr>
          <w:cantSplit/>
          <w:jc w:val="center"/>
        </w:trPr>
        <w:tc>
          <w:tcPr>
            <w:tcW w:w="2410" w:type="dxa"/>
            <w:shd w:val="clear" w:color="auto" w:fill="auto"/>
          </w:tcPr>
          <w:p w14:paraId="50ED6AC6" w14:textId="77777777" w:rsidR="004A39BD" w:rsidRPr="00951A79" w:rsidRDefault="004A39BD" w:rsidP="00D50025">
            <w:pPr>
              <w:suppressLineNumbers/>
              <w:suppressAutoHyphens/>
              <w:kinsoku w:val="0"/>
              <w:overflowPunct w:val="0"/>
              <w:autoSpaceDE w:val="0"/>
              <w:autoSpaceDN w:val="0"/>
              <w:adjustRightInd w:val="0"/>
              <w:snapToGrid w:val="0"/>
              <w:spacing w:before="40" w:after="40"/>
              <w:rPr>
                <w:snapToGrid w:val="0"/>
                <w:kern w:val="22"/>
                <w:szCs w:val="22"/>
              </w:rPr>
            </w:pPr>
            <w:r>
              <w:rPr>
                <w:snapToGrid w:val="0"/>
                <w:szCs w:val="22"/>
              </w:rPr>
              <w:lastRenderedPageBreak/>
              <w:t xml:space="preserve">Итого </w:t>
            </w:r>
          </w:p>
        </w:tc>
        <w:tc>
          <w:tcPr>
            <w:tcW w:w="1418" w:type="dxa"/>
            <w:shd w:val="clear" w:color="auto" w:fill="auto"/>
          </w:tcPr>
          <w:p w14:paraId="3F26127C" w14:textId="566B7E59" w:rsidR="004A39BD" w:rsidRPr="00951A79" w:rsidRDefault="00FE242C"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35</w:t>
            </w:r>
          </w:p>
        </w:tc>
        <w:tc>
          <w:tcPr>
            <w:tcW w:w="1701" w:type="dxa"/>
            <w:shd w:val="clear" w:color="auto" w:fill="auto"/>
          </w:tcPr>
          <w:p w14:paraId="329FEFBF" w14:textId="74DB0A19" w:rsidR="004A39BD" w:rsidRPr="00951A79" w:rsidRDefault="00FE242C"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14</w:t>
            </w:r>
          </w:p>
        </w:tc>
        <w:tc>
          <w:tcPr>
            <w:tcW w:w="1417" w:type="dxa"/>
            <w:shd w:val="clear" w:color="auto" w:fill="auto"/>
          </w:tcPr>
          <w:p w14:paraId="3CBD3DEA" w14:textId="77777777" w:rsidR="004A39BD" w:rsidRPr="00951A79" w:rsidRDefault="004A39BD"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24</w:t>
            </w:r>
          </w:p>
        </w:tc>
        <w:tc>
          <w:tcPr>
            <w:tcW w:w="1559" w:type="dxa"/>
            <w:shd w:val="clear" w:color="auto" w:fill="auto"/>
          </w:tcPr>
          <w:p w14:paraId="42FD1772" w14:textId="77777777" w:rsidR="004A39BD" w:rsidRPr="00951A79" w:rsidRDefault="004A39BD"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15</w:t>
            </w:r>
          </w:p>
        </w:tc>
        <w:tc>
          <w:tcPr>
            <w:tcW w:w="971" w:type="dxa"/>
            <w:shd w:val="clear" w:color="auto" w:fill="auto"/>
          </w:tcPr>
          <w:p w14:paraId="0279374D" w14:textId="121F6542" w:rsidR="004A39BD" w:rsidRPr="00951A79" w:rsidRDefault="00FE242C" w:rsidP="00D50025">
            <w:pPr>
              <w:suppressLineNumbers/>
              <w:suppressAutoHyphens/>
              <w:kinsoku w:val="0"/>
              <w:overflowPunct w:val="0"/>
              <w:autoSpaceDE w:val="0"/>
              <w:autoSpaceDN w:val="0"/>
              <w:adjustRightInd w:val="0"/>
              <w:snapToGrid w:val="0"/>
              <w:spacing w:before="40" w:after="40"/>
              <w:ind w:left="360"/>
              <w:jc w:val="right"/>
              <w:rPr>
                <w:snapToGrid w:val="0"/>
                <w:kern w:val="22"/>
                <w:szCs w:val="22"/>
              </w:rPr>
            </w:pPr>
            <w:r>
              <w:rPr>
                <w:snapToGrid w:val="0"/>
                <w:szCs w:val="22"/>
              </w:rPr>
              <w:t>88</w:t>
            </w:r>
          </w:p>
        </w:tc>
      </w:tr>
    </w:tbl>
    <w:p w14:paraId="4B7FC41A" w14:textId="234752E9" w:rsidR="00855A78" w:rsidRPr="00103C10" w:rsidRDefault="00855A78" w:rsidP="00C264EE">
      <w:pPr>
        <w:pStyle w:val="Para1"/>
        <w:numPr>
          <w:ilvl w:val="0"/>
          <w:numId w:val="25"/>
        </w:numPr>
        <w:tabs>
          <w:tab w:val="clear" w:pos="360"/>
        </w:tabs>
        <w:kinsoku w:val="0"/>
        <w:overflowPunct w:val="0"/>
        <w:autoSpaceDE w:val="0"/>
        <w:autoSpaceDN w:val="0"/>
        <w:snapToGrid w:val="0"/>
        <w:rPr>
          <w:kern w:val="22"/>
          <w:szCs w:val="22"/>
        </w:rPr>
      </w:pPr>
      <w:r>
        <w:t xml:space="preserve">Ниже в таблице 4 представлен обновленный обзор источников и категорий расходов, включенных в представленные показатели, отражающий различные методологические подходы. Таблица подтверждает результаты ранее проведенного анализа: источники средств или расходы органов управления более низкого уровня и неправительственных организаций на косвенные цели сохранения биоразнообразия редко освещаются странами. Кроме того, страны представляют данные за разные годы. </w:t>
      </w:r>
    </w:p>
    <w:p w14:paraId="48C316DC" w14:textId="0D1BF72A" w:rsidR="00B34BC8" w:rsidRPr="00103C10" w:rsidRDefault="00B34BC8" w:rsidP="00C264EE">
      <w:pPr>
        <w:keepNext/>
        <w:suppressLineNumbers/>
        <w:suppressAutoHyphens/>
        <w:kinsoku w:val="0"/>
        <w:overflowPunct w:val="0"/>
        <w:autoSpaceDE w:val="0"/>
        <w:autoSpaceDN w:val="0"/>
        <w:adjustRightInd w:val="0"/>
        <w:snapToGrid w:val="0"/>
        <w:spacing w:before="120" w:after="60"/>
        <w:jc w:val="left"/>
        <w:rPr>
          <w:snapToGrid w:val="0"/>
          <w:kern w:val="22"/>
          <w:szCs w:val="22"/>
        </w:rPr>
      </w:pPr>
      <w:r>
        <w:rPr>
          <w:b/>
          <w:snapToGrid w:val="0"/>
          <w:szCs w:val="22"/>
        </w:rPr>
        <w:t>Таблица 4. Источники и категории внутренних расходов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2520"/>
        <w:gridCol w:w="2811"/>
      </w:tblGrid>
      <w:tr w:rsidR="00855A78" w:rsidRPr="00103C10" w14:paraId="68568FC8" w14:textId="77777777" w:rsidTr="00000DA0">
        <w:tc>
          <w:tcPr>
            <w:tcW w:w="4135" w:type="dxa"/>
            <w:tcBorders>
              <w:top w:val="single" w:sz="4" w:space="0" w:color="auto"/>
              <w:left w:val="single" w:sz="4" w:space="0" w:color="auto"/>
              <w:bottom w:val="nil"/>
              <w:right w:val="single" w:sz="4" w:space="0" w:color="auto"/>
            </w:tcBorders>
            <w:shd w:val="clear" w:color="auto" w:fill="auto"/>
          </w:tcPr>
          <w:p w14:paraId="7F92F4EE" w14:textId="029CAB68"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bCs/>
                <w:snapToGrid w:val="0"/>
                <w:kern w:val="22"/>
                <w:szCs w:val="22"/>
              </w:rPr>
            </w:pPr>
          </w:p>
        </w:tc>
        <w:tc>
          <w:tcPr>
            <w:tcW w:w="5331" w:type="dxa"/>
            <w:gridSpan w:val="2"/>
            <w:tcBorders>
              <w:left w:val="single" w:sz="4" w:space="0" w:color="auto"/>
            </w:tcBorders>
            <w:shd w:val="clear" w:color="auto" w:fill="auto"/>
          </w:tcPr>
          <w:p w14:paraId="43CB4659"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rPr>
            </w:pPr>
            <w:r>
              <w:rPr>
                <w:i/>
                <w:iCs/>
                <w:snapToGrid w:val="0"/>
                <w:szCs w:val="22"/>
              </w:rPr>
              <w:t>Число стран</w:t>
            </w:r>
          </w:p>
        </w:tc>
      </w:tr>
      <w:tr w:rsidR="00855A78" w:rsidRPr="00103C10" w14:paraId="2B8D9DC6" w14:textId="77777777" w:rsidTr="00000DA0">
        <w:tc>
          <w:tcPr>
            <w:tcW w:w="4135" w:type="dxa"/>
            <w:tcBorders>
              <w:top w:val="nil"/>
              <w:left w:val="single" w:sz="4" w:space="0" w:color="auto"/>
              <w:bottom w:val="single" w:sz="4" w:space="0" w:color="auto"/>
              <w:right w:val="single" w:sz="4" w:space="0" w:color="auto"/>
            </w:tcBorders>
            <w:shd w:val="clear" w:color="auto" w:fill="auto"/>
            <w:hideMark/>
          </w:tcPr>
          <w:p w14:paraId="5BD6E87C" w14:textId="7D32EF75"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i/>
                <w:iCs/>
                <w:snapToGrid w:val="0"/>
                <w:kern w:val="22"/>
                <w:szCs w:val="22"/>
              </w:rPr>
            </w:pPr>
            <w:r>
              <w:rPr>
                <w:i/>
                <w:iCs/>
                <w:snapToGrid w:val="0"/>
                <w:szCs w:val="22"/>
              </w:rPr>
              <w:t>Представленные данные включают</w:t>
            </w:r>
          </w:p>
        </w:tc>
        <w:tc>
          <w:tcPr>
            <w:tcW w:w="2520" w:type="dxa"/>
            <w:tcBorders>
              <w:left w:val="single" w:sz="4" w:space="0" w:color="auto"/>
            </w:tcBorders>
            <w:shd w:val="clear" w:color="auto" w:fill="auto"/>
            <w:hideMark/>
          </w:tcPr>
          <w:p w14:paraId="5EA1CE69"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rPr>
            </w:pPr>
            <w:r>
              <w:rPr>
                <w:i/>
                <w:iCs/>
                <w:snapToGrid w:val="0"/>
                <w:szCs w:val="22"/>
              </w:rPr>
              <w:t>Расходы, непосредственно связанные с биоразнообразием</w:t>
            </w:r>
          </w:p>
        </w:tc>
        <w:tc>
          <w:tcPr>
            <w:tcW w:w="2811" w:type="dxa"/>
            <w:shd w:val="clear" w:color="auto" w:fill="auto"/>
            <w:hideMark/>
          </w:tcPr>
          <w:p w14:paraId="00788B88" w14:textId="77777777" w:rsidR="00855A78" w:rsidRPr="00103C10" w:rsidRDefault="00855A78" w:rsidP="008E17FE">
            <w:pPr>
              <w:keepNext/>
              <w:suppressLineNumbers/>
              <w:suppressAutoHyphens/>
              <w:kinsoku w:val="0"/>
              <w:overflowPunct w:val="0"/>
              <w:autoSpaceDE w:val="0"/>
              <w:autoSpaceDN w:val="0"/>
              <w:adjustRightInd w:val="0"/>
              <w:snapToGrid w:val="0"/>
              <w:spacing w:before="20" w:after="20"/>
              <w:ind w:left="360"/>
              <w:jc w:val="center"/>
              <w:rPr>
                <w:i/>
                <w:iCs/>
                <w:snapToGrid w:val="0"/>
                <w:kern w:val="22"/>
                <w:szCs w:val="22"/>
              </w:rPr>
            </w:pPr>
            <w:r>
              <w:rPr>
                <w:i/>
                <w:iCs/>
                <w:snapToGrid w:val="0"/>
                <w:szCs w:val="22"/>
              </w:rPr>
              <w:t>Расходы, косвенно связанные с биоразнообразием</w:t>
            </w:r>
          </w:p>
        </w:tc>
      </w:tr>
      <w:tr w:rsidR="00855A78" w:rsidRPr="00103C10" w14:paraId="4CD5D2EF" w14:textId="77777777" w:rsidTr="00000DA0">
        <w:tc>
          <w:tcPr>
            <w:tcW w:w="4135" w:type="dxa"/>
            <w:tcBorders>
              <w:top w:val="single" w:sz="4" w:space="0" w:color="auto"/>
            </w:tcBorders>
            <w:shd w:val="clear" w:color="auto" w:fill="auto"/>
            <w:hideMark/>
          </w:tcPr>
          <w:p w14:paraId="72EA85B3" w14:textId="1783261B" w:rsidR="00855A78" w:rsidRPr="00103C10" w:rsidRDefault="00855A78" w:rsidP="008E17FE">
            <w:pPr>
              <w:keepNext/>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 xml:space="preserve">Госбюджет </w:t>
            </w:r>
            <w:r w:rsidR="005B6EB2">
              <w:rPr>
                <w:snapToGrid w:val="0"/>
                <w:szCs w:val="22"/>
              </w:rPr>
              <w:t>–</w:t>
            </w:r>
            <w:r>
              <w:rPr>
                <w:snapToGrid w:val="0"/>
                <w:szCs w:val="22"/>
              </w:rPr>
              <w:t xml:space="preserve"> центральное правительство</w:t>
            </w:r>
          </w:p>
        </w:tc>
        <w:tc>
          <w:tcPr>
            <w:tcW w:w="2520" w:type="dxa"/>
            <w:shd w:val="clear" w:color="auto" w:fill="auto"/>
            <w:noWrap/>
            <w:tcMar>
              <w:left w:w="720" w:type="dxa"/>
              <w:right w:w="720" w:type="dxa"/>
            </w:tcMar>
            <w:vAlign w:val="center"/>
          </w:tcPr>
          <w:p w14:paraId="2A182864" w14:textId="15C1EB72" w:rsidR="00855A78" w:rsidRPr="00103C10" w:rsidRDefault="00DA23D1" w:rsidP="008E17FE">
            <w:pPr>
              <w:keepNext/>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87</w:t>
            </w:r>
          </w:p>
        </w:tc>
        <w:tc>
          <w:tcPr>
            <w:tcW w:w="2811" w:type="dxa"/>
            <w:shd w:val="clear" w:color="auto" w:fill="auto"/>
            <w:noWrap/>
            <w:tcMar>
              <w:left w:w="720" w:type="dxa"/>
              <w:right w:w="720" w:type="dxa"/>
            </w:tcMar>
            <w:vAlign w:val="center"/>
          </w:tcPr>
          <w:p w14:paraId="7BD24609" w14:textId="0C73ED6F" w:rsidR="00855A78" w:rsidRPr="00103C10" w:rsidRDefault="00DA23D1" w:rsidP="008E17FE">
            <w:pPr>
              <w:keepNext/>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49</w:t>
            </w:r>
          </w:p>
        </w:tc>
      </w:tr>
      <w:tr w:rsidR="00855A78" w:rsidRPr="00103C10" w14:paraId="57DE8EF0" w14:textId="77777777" w:rsidTr="00000DA0">
        <w:tc>
          <w:tcPr>
            <w:tcW w:w="4135" w:type="dxa"/>
            <w:shd w:val="clear" w:color="auto" w:fill="auto"/>
            <w:hideMark/>
          </w:tcPr>
          <w:p w14:paraId="420A0AD8" w14:textId="11A4BA25"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 xml:space="preserve">Госбюджет </w:t>
            </w:r>
            <w:r w:rsidR="005B6EB2">
              <w:rPr>
                <w:snapToGrid w:val="0"/>
                <w:szCs w:val="22"/>
              </w:rPr>
              <w:t>–</w:t>
            </w:r>
            <w:r>
              <w:rPr>
                <w:snapToGrid w:val="0"/>
                <w:szCs w:val="22"/>
              </w:rPr>
              <w:t xml:space="preserve"> органы власти штатов/провинций</w:t>
            </w:r>
          </w:p>
        </w:tc>
        <w:tc>
          <w:tcPr>
            <w:tcW w:w="2520" w:type="dxa"/>
            <w:shd w:val="clear" w:color="auto" w:fill="auto"/>
            <w:noWrap/>
            <w:tcMar>
              <w:left w:w="720" w:type="dxa"/>
              <w:right w:w="720" w:type="dxa"/>
            </w:tcMar>
            <w:vAlign w:val="center"/>
          </w:tcPr>
          <w:p w14:paraId="164EC927" w14:textId="54F628A5"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33</w:t>
            </w:r>
          </w:p>
        </w:tc>
        <w:tc>
          <w:tcPr>
            <w:tcW w:w="2811" w:type="dxa"/>
            <w:shd w:val="clear" w:color="auto" w:fill="auto"/>
            <w:noWrap/>
            <w:tcMar>
              <w:left w:w="720" w:type="dxa"/>
              <w:right w:w="720" w:type="dxa"/>
            </w:tcMar>
            <w:vAlign w:val="center"/>
          </w:tcPr>
          <w:p w14:paraId="678797FC" w14:textId="028233C3"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20</w:t>
            </w:r>
          </w:p>
        </w:tc>
      </w:tr>
      <w:tr w:rsidR="00855A78" w:rsidRPr="00103C10" w14:paraId="3061A6AA" w14:textId="77777777" w:rsidTr="00000DA0">
        <w:tc>
          <w:tcPr>
            <w:tcW w:w="4135" w:type="dxa"/>
            <w:shd w:val="clear" w:color="auto" w:fill="auto"/>
            <w:hideMark/>
          </w:tcPr>
          <w:p w14:paraId="101E78B6" w14:textId="77777777"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Госбюджет – местные/муниципальные органы власти</w:t>
            </w:r>
          </w:p>
        </w:tc>
        <w:tc>
          <w:tcPr>
            <w:tcW w:w="2520" w:type="dxa"/>
            <w:shd w:val="clear" w:color="auto" w:fill="auto"/>
            <w:noWrap/>
            <w:tcMar>
              <w:left w:w="720" w:type="dxa"/>
              <w:right w:w="720" w:type="dxa"/>
            </w:tcMar>
            <w:vAlign w:val="center"/>
          </w:tcPr>
          <w:p w14:paraId="7C09AAB1" w14:textId="58086FF1"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32</w:t>
            </w:r>
          </w:p>
        </w:tc>
        <w:tc>
          <w:tcPr>
            <w:tcW w:w="2811" w:type="dxa"/>
            <w:shd w:val="clear" w:color="auto" w:fill="auto"/>
            <w:noWrap/>
            <w:tcMar>
              <w:left w:w="720" w:type="dxa"/>
              <w:right w:w="720" w:type="dxa"/>
            </w:tcMar>
            <w:vAlign w:val="center"/>
          </w:tcPr>
          <w:p w14:paraId="19E63A92" w14:textId="56BB61EB" w:rsidR="00855A78" w:rsidRPr="00103C10" w:rsidRDefault="00855A78"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18</w:t>
            </w:r>
          </w:p>
        </w:tc>
      </w:tr>
      <w:tr w:rsidR="00855A78" w:rsidRPr="00103C10" w14:paraId="69CE0B33" w14:textId="77777777" w:rsidTr="00000DA0">
        <w:tc>
          <w:tcPr>
            <w:tcW w:w="4135" w:type="dxa"/>
            <w:shd w:val="clear" w:color="auto" w:fill="auto"/>
            <w:hideMark/>
          </w:tcPr>
          <w:p w14:paraId="2D43A75E" w14:textId="3421ABDE"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Внебюджетные средства</w:t>
            </w:r>
          </w:p>
        </w:tc>
        <w:tc>
          <w:tcPr>
            <w:tcW w:w="2520" w:type="dxa"/>
            <w:shd w:val="clear" w:color="auto" w:fill="auto"/>
            <w:noWrap/>
            <w:tcMar>
              <w:left w:w="720" w:type="dxa"/>
              <w:right w:w="720" w:type="dxa"/>
            </w:tcMar>
            <w:vAlign w:val="center"/>
          </w:tcPr>
          <w:p w14:paraId="1778924C" w14:textId="6F3A235A"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30</w:t>
            </w:r>
          </w:p>
        </w:tc>
        <w:tc>
          <w:tcPr>
            <w:tcW w:w="2811" w:type="dxa"/>
            <w:shd w:val="clear" w:color="auto" w:fill="auto"/>
            <w:noWrap/>
            <w:tcMar>
              <w:left w:w="720" w:type="dxa"/>
              <w:right w:w="720" w:type="dxa"/>
            </w:tcMar>
            <w:vAlign w:val="center"/>
          </w:tcPr>
          <w:p w14:paraId="07913C96" w14:textId="246B2BCF" w:rsidR="00855A78" w:rsidRPr="00103C10" w:rsidRDefault="0067018B"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17</w:t>
            </w:r>
          </w:p>
        </w:tc>
      </w:tr>
      <w:tr w:rsidR="00855A78" w:rsidRPr="00D76083" w14:paraId="5091A909" w14:textId="77777777" w:rsidTr="00000DA0">
        <w:tc>
          <w:tcPr>
            <w:tcW w:w="4135" w:type="dxa"/>
            <w:shd w:val="clear" w:color="auto" w:fill="auto"/>
            <w:hideMark/>
          </w:tcPr>
          <w:p w14:paraId="20909306" w14:textId="77777777" w:rsidR="00855A78" w:rsidRPr="00103C10"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Частный сектор/рынок</w:t>
            </w:r>
          </w:p>
        </w:tc>
        <w:tc>
          <w:tcPr>
            <w:tcW w:w="2520" w:type="dxa"/>
            <w:shd w:val="clear" w:color="auto" w:fill="auto"/>
            <w:noWrap/>
            <w:tcMar>
              <w:left w:w="720" w:type="dxa"/>
              <w:right w:w="720" w:type="dxa"/>
            </w:tcMar>
            <w:vAlign w:val="center"/>
          </w:tcPr>
          <w:p w14:paraId="65650B71" w14:textId="3E7C5E45" w:rsidR="00855A78" w:rsidRPr="00103C10"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22</w:t>
            </w:r>
          </w:p>
        </w:tc>
        <w:tc>
          <w:tcPr>
            <w:tcW w:w="2811" w:type="dxa"/>
            <w:shd w:val="clear" w:color="auto" w:fill="auto"/>
            <w:noWrap/>
            <w:tcMar>
              <w:left w:w="720" w:type="dxa"/>
              <w:right w:w="720" w:type="dxa"/>
            </w:tcMar>
            <w:vAlign w:val="center"/>
          </w:tcPr>
          <w:p w14:paraId="7074EC14" w14:textId="44394E24" w:rsidR="00855A78" w:rsidRPr="00DE0BFF" w:rsidRDefault="00855A78"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13</w:t>
            </w:r>
          </w:p>
        </w:tc>
      </w:tr>
      <w:tr w:rsidR="00855A78" w:rsidRPr="00D76083" w14:paraId="1978FF2D" w14:textId="77777777" w:rsidTr="00000DA0">
        <w:tc>
          <w:tcPr>
            <w:tcW w:w="4135" w:type="dxa"/>
            <w:shd w:val="clear" w:color="auto" w:fill="auto"/>
            <w:hideMark/>
          </w:tcPr>
          <w:p w14:paraId="7F0E9C27" w14:textId="77777777" w:rsidR="00855A78" w:rsidRPr="008154AF"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Прочее (НПО, фонды, научное сообщество)</w:t>
            </w:r>
          </w:p>
        </w:tc>
        <w:tc>
          <w:tcPr>
            <w:tcW w:w="2520" w:type="dxa"/>
            <w:shd w:val="clear" w:color="auto" w:fill="auto"/>
            <w:noWrap/>
            <w:tcMar>
              <w:left w:w="720" w:type="dxa"/>
              <w:right w:w="720" w:type="dxa"/>
            </w:tcMar>
            <w:vAlign w:val="center"/>
          </w:tcPr>
          <w:p w14:paraId="6E8974DC" w14:textId="65778315" w:rsidR="00855A78" w:rsidRPr="00BD4162" w:rsidRDefault="00FF5625"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37</w:t>
            </w:r>
          </w:p>
        </w:tc>
        <w:tc>
          <w:tcPr>
            <w:tcW w:w="2811" w:type="dxa"/>
            <w:shd w:val="clear" w:color="auto" w:fill="auto"/>
            <w:noWrap/>
            <w:tcMar>
              <w:left w:w="720" w:type="dxa"/>
              <w:right w:w="720" w:type="dxa"/>
            </w:tcMar>
            <w:vAlign w:val="center"/>
          </w:tcPr>
          <w:p w14:paraId="2A54FCF5" w14:textId="34ECABD3" w:rsidR="00855A78" w:rsidRPr="00DE0BFF"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22</w:t>
            </w:r>
          </w:p>
        </w:tc>
      </w:tr>
      <w:tr w:rsidR="00855A78" w:rsidRPr="00D76083" w14:paraId="2D029CEC" w14:textId="77777777" w:rsidTr="00000DA0">
        <w:tc>
          <w:tcPr>
            <w:tcW w:w="4135" w:type="dxa"/>
            <w:shd w:val="clear" w:color="auto" w:fill="auto"/>
            <w:hideMark/>
          </w:tcPr>
          <w:p w14:paraId="51E20F5A" w14:textId="77777777" w:rsidR="00855A78" w:rsidRPr="00674327" w:rsidRDefault="00855A78" w:rsidP="008E17FE">
            <w:pPr>
              <w:suppressLineNumbers/>
              <w:suppressAutoHyphens/>
              <w:kinsoku w:val="0"/>
              <w:overflowPunct w:val="0"/>
              <w:autoSpaceDE w:val="0"/>
              <w:autoSpaceDN w:val="0"/>
              <w:adjustRightInd w:val="0"/>
              <w:snapToGrid w:val="0"/>
              <w:spacing w:before="20" w:after="20"/>
              <w:jc w:val="left"/>
              <w:rPr>
                <w:snapToGrid w:val="0"/>
                <w:kern w:val="22"/>
                <w:szCs w:val="22"/>
              </w:rPr>
            </w:pPr>
            <w:r>
              <w:rPr>
                <w:snapToGrid w:val="0"/>
                <w:szCs w:val="22"/>
              </w:rPr>
              <w:t>Коллективные действия коренных народов и местных общин</w:t>
            </w:r>
          </w:p>
        </w:tc>
        <w:tc>
          <w:tcPr>
            <w:tcW w:w="2520" w:type="dxa"/>
            <w:shd w:val="clear" w:color="auto" w:fill="auto"/>
            <w:noWrap/>
            <w:tcMar>
              <w:left w:w="720" w:type="dxa"/>
              <w:right w:w="720" w:type="dxa"/>
            </w:tcMar>
            <w:vAlign w:val="center"/>
            <w:hideMark/>
          </w:tcPr>
          <w:p w14:paraId="6873DDC3" w14:textId="76888668" w:rsidR="00855A78" w:rsidRPr="00DE0BFF"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7</w:t>
            </w:r>
          </w:p>
        </w:tc>
        <w:tc>
          <w:tcPr>
            <w:tcW w:w="2811" w:type="dxa"/>
            <w:shd w:val="clear" w:color="auto" w:fill="auto"/>
            <w:noWrap/>
            <w:tcMar>
              <w:left w:w="720" w:type="dxa"/>
              <w:right w:w="720" w:type="dxa"/>
            </w:tcMar>
            <w:vAlign w:val="center"/>
            <w:hideMark/>
          </w:tcPr>
          <w:p w14:paraId="400F7B86" w14:textId="6E992BEE" w:rsidR="00855A78" w:rsidRPr="00B37672" w:rsidRDefault="00DA23D1" w:rsidP="008E17FE">
            <w:pPr>
              <w:suppressLineNumbers/>
              <w:suppressAutoHyphens/>
              <w:kinsoku w:val="0"/>
              <w:overflowPunct w:val="0"/>
              <w:autoSpaceDE w:val="0"/>
              <w:autoSpaceDN w:val="0"/>
              <w:adjustRightInd w:val="0"/>
              <w:snapToGrid w:val="0"/>
              <w:spacing w:before="20" w:after="20"/>
              <w:ind w:left="360"/>
              <w:jc w:val="right"/>
              <w:rPr>
                <w:snapToGrid w:val="0"/>
                <w:kern w:val="22"/>
                <w:szCs w:val="22"/>
              </w:rPr>
            </w:pPr>
            <w:r>
              <w:rPr>
                <w:snapToGrid w:val="0"/>
                <w:szCs w:val="22"/>
              </w:rPr>
              <w:t>4</w:t>
            </w:r>
          </w:p>
        </w:tc>
      </w:tr>
    </w:tbl>
    <w:p w14:paraId="584ACA06" w14:textId="0B87BB68" w:rsidR="00855A78" w:rsidRPr="00951A79" w:rsidRDefault="00855A78" w:rsidP="00C264EE">
      <w:pPr>
        <w:pStyle w:val="Para1"/>
        <w:numPr>
          <w:ilvl w:val="0"/>
          <w:numId w:val="25"/>
        </w:numPr>
        <w:tabs>
          <w:tab w:val="clear" w:pos="360"/>
        </w:tabs>
        <w:kinsoku w:val="0"/>
        <w:overflowPunct w:val="0"/>
        <w:autoSpaceDE w:val="0"/>
        <w:autoSpaceDN w:val="0"/>
        <w:snapToGrid w:val="0"/>
        <w:rPr>
          <w:spacing w:val="-1"/>
          <w:kern w:val="22"/>
          <w:szCs w:val="22"/>
        </w:rPr>
      </w:pPr>
      <w:r>
        <w:t>Из числа Сторон, представивших дополнительные сведения о методологии,</w:t>
      </w:r>
      <w:r w:rsidR="00D8494C">
        <w:t xml:space="preserve"> </w:t>
      </w:r>
      <w:r>
        <w:t>многие Стороны (46) ссылались на анализ бюджетной документации, в том числе для определения коэффициента косвенного вклада в сохранение биоразнообразия. Менее многочисленная группа из 15 Сторон сообщила об использовании национальных статистических данных, основанных на счетах государственных расходов на охрану окружающей среды, упомянув при этом международно согласованные классификации, например Классификацию мероприятий по охране окружающей среды или Классификацию функций органов государственного управления и, в частности, содержащийся в них подкласс «охрана биоразнообразия и ландшафтов».</w:t>
      </w:r>
    </w:p>
    <w:p w14:paraId="48351C2D" w14:textId="08464042" w:rsidR="00855A78" w:rsidRPr="008A31B4" w:rsidRDefault="00855A78" w:rsidP="00C264EE">
      <w:pPr>
        <w:pStyle w:val="Para1"/>
        <w:numPr>
          <w:ilvl w:val="0"/>
          <w:numId w:val="25"/>
        </w:numPr>
        <w:tabs>
          <w:tab w:val="clear" w:pos="360"/>
        </w:tabs>
        <w:kinsoku w:val="0"/>
        <w:overflowPunct w:val="0"/>
        <w:autoSpaceDE w:val="0"/>
        <w:autoSpaceDN w:val="0"/>
        <w:snapToGrid w:val="0"/>
        <w:rPr>
          <w:kern w:val="22"/>
          <w:szCs w:val="22"/>
        </w:rPr>
      </w:pPr>
      <w:r>
        <w:t>В этой группе Чехия и Финляндия отметили отражение частных источников в счетах расходов на охрану окружающей среды</w:t>
      </w:r>
      <w:r w:rsidR="004001DA" w:rsidRPr="00951A79">
        <w:rPr>
          <w:rStyle w:val="Appelnotedebasdep"/>
          <w:kern w:val="22"/>
          <w:szCs w:val="22"/>
        </w:rPr>
        <w:footnoteReference w:id="15"/>
      </w:r>
      <w:r>
        <w:t xml:space="preserve">, в то время как другие страны первой группы, как правило, применяли специальные методы поиска и сбора данных, чтобы определить эти источники. Например, </w:t>
      </w:r>
      <w:r w:rsidR="00E17464">
        <w:t>Дания, Ливан</w:t>
      </w:r>
      <w:r w:rsidR="00E17464">
        <w:t>,</w:t>
      </w:r>
      <w:r w:rsidR="00E17464">
        <w:t xml:space="preserve"> </w:t>
      </w:r>
      <w:r>
        <w:t>Хорватия и Швейцария использовали надежные данные, полученные от отдельных компаний, фондов и научных учреждений.</w:t>
      </w:r>
    </w:p>
    <w:p w14:paraId="3886B594" w14:textId="626DE4CC" w:rsidR="00755D67" w:rsidRDefault="00855A78">
      <w:pPr>
        <w:pStyle w:val="Para1"/>
        <w:numPr>
          <w:ilvl w:val="0"/>
          <w:numId w:val="25"/>
        </w:numPr>
        <w:tabs>
          <w:tab w:val="clear" w:pos="360"/>
        </w:tabs>
        <w:kinsoku w:val="0"/>
        <w:overflowPunct w:val="0"/>
        <w:autoSpaceDE w:val="0"/>
        <w:autoSpaceDN w:val="0"/>
        <w:snapToGrid w:val="0"/>
        <w:rPr>
          <w:kern w:val="22"/>
          <w:szCs w:val="22"/>
        </w:rPr>
      </w:pPr>
      <w:r>
        <w:t xml:space="preserve">В отношении внебюджетных расходов 12 Сторон сообщили, что провели оценку проектов в области сотрудничества в целях развития, чтобы определить внебюджетные расходы, связанные с биоразнообразием, используя, как и раньше, процентные доли для проектов, имеющих косвенное отношение, и, </w:t>
      </w:r>
      <w:r w:rsidR="00E17464">
        <w:t>иногда</w:t>
      </w:r>
      <w:r>
        <w:t xml:space="preserve"> используя базу данных Системы отчетности кредиторов ОЭСР, чтобы определить соответствующие проекты и связанные с ними расходы.</w:t>
      </w:r>
    </w:p>
    <w:p w14:paraId="17B4AF77" w14:textId="68AE66D6" w:rsidR="00A145C5" w:rsidRPr="0066775D" w:rsidRDefault="00A736FB" w:rsidP="00C264EE">
      <w:pPr>
        <w:pStyle w:val="Para1"/>
        <w:numPr>
          <w:ilvl w:val="0"/>
          <w:numId w:val="25"/>
        </w:numPr>
        <w:tabs>
          <w:tab w:val="clear" w:pos="360"/>
        </w:tabs>
        <w:kinsoku w:val="0"/>
        <w:overflowPunct w:val="0"/>
        <w:autoSpaceDE w:val="0"/>
        <w:autoSpaceDN w:val="0"/>
        <w:snapToGrid w:val="0"/>
        <w:spacing w:before="240"/>
        <w:rPr>
          <w:kern w:val="22"/>
          <w:szCs w:val="22"/>
        </w:rPr>
      </w:pPr>
      <w:r>
        <w:lastRenderedPageBreak/>
        <w:t>Информация о государственных расходах собирается и предоставляется Международным валютным фондом (МВФ) в Ежегоднике статистики государственных финансов (СГФ)</w:t>
      </w:r>
      <w:r w:rsidR="00420A96">
        <w:rPr>
          <w:rStyle w:val="Appelnotedebasdep"/>
          <w:kern w:val="22"/>
          <w:szCs w:val="22"/>
        </w:rPr>
        <w:footnoteReference w:id="16"/>
      </w:r>
      <w:r>
        <w:t>. СГФ МВФ также предоставляет статистическую информацию о расходах в разбивке по функциям с использованием Классификаци</w:t>
      </w:r>
      <w:r w:rsidR="00E17464">
        <w:t>и</w:t>
      </w:r>
      <w:r>
        <w:t xml:space="preserve"> функций органов управления (КФОУ), включая подкласс «сохранение биоразнообразия и ландшафта», который является частью расходов на охрану окружающей среды. В период с 2015 по 2022 год такую информацию в разбивке по функциям предоставили до 77 правительств, и большинство из них (почти 80%) также предоставили информацию, касающуюся сохранения биоразнообразия и ландшафтов. В таблице в приложении III представлен обзор </w:t>
      </w:r>
      <w:r w:rsidR="00E17464">
        <w:t xml:space="preserve">в разбивке </w:t>
      </w:r>
      <w:r>
        <w:t>по странам, представившим отчетность, выраженный в процентном отношении к валовому внутреннему продукту (ВВП), а в таблице 5 ниже представлен аналогичный анализ тенденций за 2015-2019 годы</w:t>
      </w:r>
      <w:r w:rsidR="004D03F4">
        <w:rPr>
          <w:rStyle w:val="Appelnotedebasdep"/>
        </w:rPr>
        <w:footnoteReference w:id="17"/>
      </w:r>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1643"/>
        <w:gridCol w:w="1737"/>
        <w:gridCol w:w="1539"/>
        <w:gridCol w:w="1871"/>
        <w:gridCol w:w="1200"/>
      </w:tblGrid>
      <w:tr w:rsidR="00A70A01" w:rsidRPr="00FF750D" w14:paraId="4F2047CD" w14:textId="77777777" w:rsidTr="00000DA0">
        <w:trPr>
          <w:cantSplit/>
          <w:jc w:val="center"/>
        </w:trPr>
        <w:tc>
          <w:tcPr>
            <w:tcW w:w="9576" w:type="dxa"/>
            <w:gridSpan w:val="6"/>
            <w:tcBorders>
              <w:top w:val="nil"/>
              <w:left w:val="nil"/>
              <w:bottom w:val="single" w:sz="4" w:space="0" w:color="auto"/>
              <w:right w:val="nil"/>
            </w:tcBorders>
            <w:shd w:val="clear" w:color="auto" w:fill="auto"/>
          </w:tcPr>
          <w:p w14:paraId="2DDB3F83" w14:textId="0F8BBB4D" w:rsidR="00A70A01" w:rsidRPr="00371399" w:rsidRDefault="00A70A01" w:rsidP="00C264EE">
            <w:pPr>
              <w:pStyle w:val="Paragraphedeliste"/>
              <w:keepNext/>
              <w:suppressLineNumbers/>
              <w:suppressAutoHyphens/>
              <w:kinsoku w:val="0"/>
              <w:overflowPunct w:val="0"/>
              <w:autoSpaceDE w:val="0"/>
              <w:autoSpaceDN w:val="0"/>
              <w:adjustRightInd w:val="0"/>
              <w:snapToGrid w:val="0"/>
              <w:spacing w:before="60" w:after="60"/>
              <w:ind w:left="0"/>
              <w:contextualSpacing w:val="0"/>
              <w:jc w:val="left"/>
              <w:rPr>
                <w:snapToGrid w:val="0"/>
                <w:kern w:val="22"/>
                <w:szCs w:val="22"/>
              </w:rPr>
            </w:pPr>
            <w:r>
              <w:rPr>
                <w:b/>
                <w:snapToGrid w:val="0"/>
                <w:szCs w:val="22"/>
              </w:rPr>
              <w:t xml:space="preserve">Таблица 5. Тенденции внутренних расходов на сохранение биоразнообразия и ландшафтов в процентах от ВВП (2015-2019 гг.) </w:t>
            </w:r>
          </w:p>
        </w:tc>
      </w:tr>
      <w:tr w:rsidR="00A70A01" w:rsidRPr="00FF750D" w14:paraId="1D3DDFA8" w14:textId="77777777" w:rsidTr="00000DA0">
        <w:trPr>
          <w:cantSplit/>
          <w:jc w:val="center"/>
        </w:trPr>
        <w:tc>
          <w:tcPr>
            <w:tcW w:w="3661" w:type="dxa"/>
            <w:tcBorders>
              <w:top w:val="single" w:sz="4" w:space="0" w:color="auto"/>
            </w:tcBorders>
            <w:shd w:val="clear" w:color="auto" w:fill="auto"/>
          </w:tcPr>
          <w:p w14:paraId="246F5AB1" w14:textId="77777777" w:rsidR="00A70A01" w:rsidRPr="00371399" w:rsidRDefault="00A70A01" w:rsidP="00C264EE">
            <w:pPr>
              <w:keepNext/>
              <w:suppressLineNumbers/>
              <w:suppressAutoHyphens/>
              <w:kinsoku w:val="0"/>
              <w:overflowPunct w:val="0"/>
              <w:autoSpaceDE w:val="0"/>
              <w:autoSpaceDN w:val="0"/>
              <w:adjustRightInd w:val="0"/>
              <w:snapToGrid w:val="0"/>
              <w:spacing w:before="40" w:after="40"/>
              <w:ind w:left="360"/>
              <w:rPr>
                <w:bCs/>
                <w:snapToGrid w:val="0"/>
                <w:kern w:val="22"/>
                <w:szCs w:val="22"/>
              </w:rPr>
            </w:pPr>
          </w:p>
        </w:tc>
        <w:tc>
          <w:tcPr>
            <w:tcW w:w="1326" w:type="dxa"/>
            <w:tcBorders>
              <w:top w:val="single" w:sz="4" w:space="0" w:color="auto"/>
            </w:tcBorders>
            <w:shd w:val="clear" w:color="auto" w:fill="auto"/>
          </w:tcPr>
          <w:p w14:paraId="5EF6FC42"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Увеличение</w:t>
            </w:r>
          </w:p>
        </w:tc>
        <w:tc>
          <w:tcPr>
            <w:tcW w:w="1399" w:type="dxa"/>
            <w:tcBorders>
              <w:top w:val="single" w:sz="4" w:space="0" w:color="auto"/>
            </w:tcBorders>
            <w:shd w:val="clear" w:color="auto" w:fill="auto"/>
          </w:tcPr>
          <w:p w14:paraId="44386683" w14:textId="6ED849B7" w:rsidR="00A70A01" w:rsidRPr="00371399" w:rsidRDefault="005B6EB2" w:rsidP="00C264EE">
            <w:pPr>
              <w:keepNext/>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Сокращение</w:t>
            </w:r>
          </w:p>
        </w:tc>
        <w:tc>
          <w:tcPr>
            <w:tcW w:w="1249" w:type="dxa"/>
            <w:tcBorders>
              <w:top w:val="single" w:sz="4" w:space="0" w:color="auto"/>
            </w:tcBorders>
            <w:shd w:val="clear" w:color="auto" w:fill="auto"/>
          </w:tcPr>
          <w:p w14:paraId="42C19711"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Без изменения</w:t>
            </w:r>
          </w:p>
        </w:tc>
        <w:tc>
          <w:tcPr>
            <w:tcW w:w="919" w:type="dxa"/>
            <w:tcBorders>
              <w:top w:val="single" w:sz="4" w:space="0" w:color="auto"/>
            </w:tcBorders>
            <w:shd w:val="clear" w:color="auto" w:fill="auto"/>
          </w:tcPr>
          <w:p w14:paraId="17CD3B19"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Неприменимо</w:t>
            </w:r>
          </w:p>
        </w:tc>
        <w:tc>
          <w:tcPr>
            <w:tcW w:w="1022" w:type="dxa"/>
            <w:tcBorders>
              <w:top w:val="single" w:sz="4" w:space="0" w:color="auto"/>
            </w:tcBorders>
            <w:shd w:val="clear" w:color="auto" w:fill="auto"/>
          </w:tcPr>
          <w:p w14:paraId="3760F258" w14:textId="77777777" w:rsidR="00A70A01" w:rsidRPr="00371399" w:rsidRDefault="00A70A01" w:rsidP="00C264EE">
            <w:pPr>
              <w:keepNext/>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Итого</w:t>
            </w:r>
          </w:p>
        </w:tc>
      </w:tr>
      <w:tr w:rsidR="00A70A01" w:rsidRPr="00FF750D" w14:paraId="0B1FF717" w14:textId="77777777" w:rsidTr="00000DA0">
        <w:trPr>
          <w:cantSplit/>
          <w:jc w:val="center"/>
        </w:trPr>
        <w:tc>
          <w:tcPr>
            <w:tcW w:w="3661" w:type="dxa"/>
            <w:tcBorders>
              <w:bottom w:val="single" w:sz="4" w:space="0" w:color="auto"/>
            </w:tcBorders>
            <w:shd w:val="clear" w:color="auto" w:fill="auto"/>
          </w:tcPr>
          <w:p w14:paraId="4E637A18" w14:textId="7E9D3716" w:rsidR="00A70A01" w:rsidRPr="00371399" w:rsidRDefault="005F0330" w:rsidP="00C264EE">
            <w:pPr>
              <w:keepNext/>
              <w:suppressLineNumbers/>
              <w:suppressAutoHyphens/>
              <w:kinsoku w:val="0"/>
              <w:overflowPunct w:val="0"/>
              <w:autoSpaceDE w:val="0"/>
              <w:autoSpaceDN w:val="0"/>
              <w:adjustRightInd w:val="0"/>
              <w:snapToGrid w:val="0"/>
              <w:spacing w:before="40" w:after="40"/>
              <w:rPr>
                <w:snapToGrid w:val="0"/>
                <w:kern w:val="22"/>
                <w:szCs w:val="22"/>
              </w:rPr>
            </w:pPr>
            <w:r>
              <w:rPr>
                <w:snapToGrid w:val="0"/>
                <w:szCs w:val="22"/>
              </w:rPr>
              <w:t>Число стран</w:t>
            </w:r>
          </w:p>
        </w:tc>
        <w:tc>
          <w:tcPr>
            <w:tcW w:w="1326" w:type="dxa"/>
            <w:tcBorders>
              <w:bottom w:val="single" w:sz="4" w:space="0" w:color="auto"/>
            </w:tcBorders>
            <w:shd w:val="clear" w:color="auto" w:fill="auto"/>
          </w:tcPr>
          <w:p w14:paraId="594FC801" w14:textId="70573715" w:rsidR="00A70A01" w:rsidRPr="00371399" w:rsidRDefault="008D1DCC" w:rsidP="00C264EE">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18</w:t>
            </w:r>
          </w:p>
        </w:tc>
        <w:tc>
          <w:tcPr>
            <w:tcW w:w="1399" w:type="dxa"/>
            <w:tcBorders>
              <w:bottom w:val="single" w:sz="4" w:space="0" w:color="auto"/>
            </w:tcBorders>
            <w:shd w:val="clear" w:color="auto" w:fill="auto"/>
          </w:tcPr>
          <w:p w14:paraId="64B8ADAC" w14:textId="5CE916A4" w:rsidR="00A70A01" w:rsidRPr="00371399" w:rsidRDefault="00A70A01" w:rsidP="00C264EE">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13</w:t>
            </w:r>
          </w:p>
        </w:tc>
        <w:tc>
          <w:tcPr>
            <w:tcW w:w="1249" w:type="dxa"/>
            <w:tcBorders>
              <w:bottom w:val="single" w:sz="4" w:space="0" w:color="auto"/>
            </w:tcBorders>
            <w:shd w:val="clear" w:color="auto" w:fill="auto"/>
          </w:tcPr>
          <w:p w14:paraId="1BEB7B20" w14:textId="6E25BE49" w:rsidR="00A70A01" w:rsidRPr="00371399" w:rsidRDefault="00D90262" w:rsidP="00C264EE">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17</w:t>
            </w:r>
          </w:p>
        </w:tc>
        <w:tc>
          <w:tcPr>
            <w:tcW w:w="919" w:type="dxa"/>
            <w:tcBorders>
              <w:bottom w:val="single" w:sz="4" w:space="0" w:color="auto"/>
            </w:tcBorders>
            <w:shd w:val="clear" w:color="auto" w:fill="auto"/>
          </w:tcPr>
          <w:p w14:paraId="33DF33B9" w14:textId="5FF1A782" w:rsidR="00A70A01" w:rsidRPr="00371399" w:rsidRDefault="00D90262" w:rsidP="00C264EE">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10</w:t>
            </w:r>
          </w:p>
        </w:tc>
        <w:tc>
          <w:tcPr>
            <w:tcW w:w="1022" w:type="dxa"/>
            <w:tcBorders>
              <w:bottom w:val="single" w:sz="4" w:space="0" w:color="auto"/>
            </w:tcBorders>
            <w:shd w:val="clear" w:color="auto" w:fill="auto"/>
          </w:tcPr>
          <w:p w14:paraId="14D0036C" w14:textId="75166EB6" w:rsidR="00A70A01" w:rsidRPr="00371399" w:rsidRDefault="00EA7F0F" w:rsidP="00C264EE">
            <w:pPr>
              <w:keepNext/>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58</w:t>
            </w:r>
          </w:p>
        </w:tc>
      </w:tr>
      <w:tr w:rsidR="007528D9" w:rsidRPr="00FF750D" w14:paraId="3FA7C85B" w14:textId="77777777" w:rsidTr="00000DA0">
        <w:trPr>
          <w:cantSplit/>
          <w:jc w:val="center"/>
        </w:trPr>
        <w:tc>
          <w:tcPr>
            <w:tcW w:w="9576" w:type="dxa"/>
            <w:gridSpan w:val="6"/>
            <w:tcBorders>
              <w:top w:val="single" w:sz="4" w:space="0" w:color="auto"/>
              <w:left w:val="nil"/>
              <w:bottom w:val="nil"/>
              <w:right w:val="nil"/>
            </w:tcBorders>
            <w:shd w:val="clear" w:color="auto" w:fill="auto"/>
          </w:tcPr>
          <w:p w14:paraId="3A71ED42" w14:textId="2C050B4A" w:rsidR="00D90262" w:rsidRPr="00C264EE" w:rsidRDefault="00EA7F0F" w:rsidP="00C264EE">
            <w:pPr>
              <w:keepNext/>
              <w:suppressLineNumbers/>
              <w:suppressAutoHyphens/>
              <w:kinsoku w:val="0"/>
              <w:overflowPunct w:val="0"/>
              <w:autoSpaceDE w:val="0"/>
              <w:autoSpaceDN w:val="0"/>
              <w:adjustRightInd w:val="0"/>
              <w:snapToGrid w:val="0"/>
              <w:spacing w:before="40" w:after="40"/>
              <w:jc w:val="left"/>
              <w:rPr>
                <w:snapToGrid w:val="0"/>
                <w:kern w:val="22"/>
                <w:szCs w:val="22"/>
              </w:rPr>
            </w:pPr>
            <w:r>
              <w:rPr>
                <w:i/>
                <w:iCs/>
                <w:snapToGrid w:val="0"/>
                <w:sz w:val="18"/>
                <w:szCs w:val="18"/>
              </w:rPr>
              <w:t xml:space="preserve">Оценка проведена на основе данных статистики государственных финансов МВФ, расходы в разбивке по функциям, по информации на 31 октября 2022 года. </w:t>
            </w:r>
            <w:r>
              <w:rPr>
                <w:snapToGrid w:val="0"/>
                <w:sz w:val="18"/>
                <w:szCs w:val="18"/>
              </w:rPr>
              <w:br/>
              <w:t>Неприменимо: слишком короткий временной ряд или тенденции не наблюдается</w:t>
            </w:r>
          </w:p>
        </w:tc>
      </w:tr>
    </w:tbl>
    <w:p w14:paraId="6AA69943" w14:textId="3C4C1AA7" w:rsidR="007A5A69" w:rsidRPr="00000DA0" w:rsidRDefault="00755E77" w:rsidP="00C264EE">
      <w:pPr>
        <w:pStyle w:val="Para1"/>
        <w:numPr>
          <w:ilvl w:val="0"/>
          <w:numId w:val="25"/>
        </w:numPr>
        <w:tabs>
          <w:tab w:val="clear" w:pos="360"/>
        </w:tabs>
        <w:kinsoku w:val="0"/>
        <w:overflowPunct w:val="0"/>
        <w:autoSpaceDE w:val="0"/>
        <w:autoSpaceDN w:val="0"/>
        <w:snapToGrid w:val="0"/>
        <w:rPr>
          <w:kern w:val="22"/>
          <w:szCs w:val="22"/>
        </w:rPr>
      </w:pPr>
      <w:r>
        <w:t xml:space="preserve">Сравнение двух наборов данных позволяет сделать ряд наблюдений. Во-первых, число всех ответов в рамках СГФ МВФ (77) сравнимо с числом заполненных форм финансовой отчетности по этой теме (89). В этой связи можно предположить, что вне зависимости от конкретных причин такого ограниченного представления данных, они могут иметь общую основу для обоих учреждений. </w:t>
      </w:r>
    </w:p>
    <w:p w14:paraId="517A3DD5" w14:textId="27974B4D" w:rsidR="0051476B" w:rsidRPr="00000DA0" w:rsidRDefault="00D57DD1" w:rsidP="00C264EE">
      <w:pPr>
        <w:pStyle w:val="Para1"/>
        <w:numPr>
          <w:ilvl w:val="0"/>
          <w:numId w:val="25"/>
        </w:numPr>
        <w:tabs>
          <w:tab w:val="clear" w:pos="360"/>
        </w:tabs>
        <w:kinsoku w:val="0"/>
        <w:overflowPunct w:val="0"/>
        <w:autoSpaceDE w:val="0"/>
        <w:autoSpaceDN w:val="0"/>
        <w:snapToGrid w:val="0"/>
        <w:rPr>
          <w:kern w:val="22"/>
          <w:szCs w:val="22"/>
        </w:rPr>
      </w:pPr>
      <w:r>
        <w:t xml:space="preserve">Во-вторых, сравнение </w:t>
      </w:r>
      <w:r w:rsidR="00E17464">
        <w:t>числовых</w:t>
      </w:r>
      <w:r>
        <w:t xml:space="preserve"> значений, представленных отдельными странами, как представляется, указывает на то, что цифры МВФ в целом в значительной степени отражают консервативные показатели и, скорее всего, </w:t>
      </w:r>
      <w:r w:rsidR="003A51F1">
        <w:t>максим</w:t>
      </w:r>
      <w:r w:rsidR="003A51F1">
        <w:t>ально</w:t>
      </w:r>
      <w:r w:rsidR="003A51F1">
        <w:t xml:space="preserve"> </w:t>
      </w:r>
      <w:r>
        <w:t xml:space="preserve">охватывают то, что в системе финансовой отчетности называется «расходами, </w:t>
      </w:r>
      <w:r w:rsidRPr="003A51F1">
        <w:rPr>
          <w:i/>
          <w:iCs/>
        </w:rPr>
        <w:t>непосредственно</w:t>
      </w:r>
      <w:r>
        <w:t xml:space="preserve"> связанными с биоразнообразием». В отличие от этого, многие материалы, представленные </w:t>
      </w:r>
      <w:r w:rsidR="003A51F1">
        <w:t>посредством</w:t>
      </w:r>
      <w:r>
        <w:t xml:space="preserve"> структуры представления финансовой отчетности (а именно 49 из 87</w:t>
      </w:r>
      <w:r w:rsidR="003A51F1">
        <w:t xml:space="preserve"> стран</w:t>
      </w:r>
      <w:r>
        <w:t xml:space="preserve">, предоставивших соответствующую информацию), также охватывают расходы, </w:t>
      </w:r>
      <w:r w:rsidRPr="003A51F1">
        <w:rPr>
          <w:i/>
          <w:iCs/>
        </w:rPr>
        <w:t>косвенно</w:t>
      </w:r>
      <w:r>
        <w:t xml:space="preserve"> связанные с биоразнообразием, а 30 и 22, соответственно, также включают внебюджетные ресурсы и негосударственные расходы. Эти различия могут, по крайней мере частично, объяснить еще более отрезвляющие выводы анализа тенденций, представленные в таблице 5: из 48 стран, где можно обоснованно выявить тенденцию в период 2015-2019 год</w:t>
      </w:r>
      <w:r w:rsidR="00B0516D">
        <w:t>ов</w:t>
      </w:r>
      <w:r>
        <w:t>, только 18 стран демонстрируют положительную динамику.</w:t>
      </w:r>
    </w:p>
    <w:p w14:paraId="1E100D3B" w14:textId="22AA94B6" w:rsidR="003F13FA" w:rsidRPr="00E06110" w:rsidRDefault="007171DB" w:rsidP="00C264EE">
      <w:pPr>
        <w:pStyle w:val="Para1"/>
        <w:numPr>
          <w:ilvl w:val="0"/>
          <w:numId w:val="25"/>
        </w:numPr>
        <w:tabs>
          <w:tab w:val="clear" w:pos="360"/>
        </w:tabs>
        <w:kinsoku w:val="0"/>
        <w:overflowPunct w:val="0"/>
        <w:autoSpaceDE w:val="0"/>
        <w:autoSpaceDN w:val="0"/>
        <w:snapToGrid w:val="0"/>
        <w:rPr>
          <w:kern w:val="22"/>
          <w:szCs w:val="22"/>
        </w:rPr>
      </w:pPr>
      <w:r>
        <w:t>Определение других видов расходов обычно основывалось на более широком обзоре бюджетов государственных органов с различными портфелями (т.е. не ограничиваясь министерством окружающей среды) и, в меньшей степени, дополнялось анализом расходов неправительственных организаций. Эти «обзоры расходов на биоразнообразие» сами по себе представляют целесооб</w:t>
      </w:r>
      <w:r w:rsidR="0086428A">
        <w:t>раз</w:t>
      </w:r>
      <w:r>
        <w:t>ность; согласно методологии Инициативы по финансированию биоразнообразия (BIOFIN), находящ</w:t>
      </w:r>
      <w:r w:rsidR="00481526">
        <w:t>ей</w:t>
      </w:r>
      <w:r>
        <w:t xml:space="preserve">ся в ведении Программы развития Организации Объединенных Наций, они являются важным промежуточным </w:t>
      </w:r>
      <w:r w:rsidR="00481526">
        <w:t>этапом</w:t>
      </w:r>
      <w:r>
        <w:t xml:space="preserve"> </w:t>
      </w:r>
      <w:r w:rsidR="00481526">
        <w:t>в</w:t>
      </w:r>
      <w:r>
        <w:t xml:space="preserve"> разработке национальных планов финансирования, и если их проводить неоднократно, они позволят оценить достигнутый прогресс в области мобилизации ресурсов на национальном уровне и учета проблематики биоразнообразия в бюджетных документах. В связи с оказываемой в рамках ГЭФ-8 поддержкой разработке национальных планов финансирования можно ожидать, что в будущем будет больше соответствующих данных (и от большего числа стран). Отчетность о расходах, связанных с </w:t>
      </w:r>
      <w:r>
        <w:lastRenderedPageBreak/>
        <w:t xml:space="preserve">биоразнообразием, в рамках Конвенции с целью содействия оценке прогресса в мобилизации внутренних ресурсов включена в качестве индикатора в проект механизма мониторинга глобальной рамочной программы в области биоразнообразия на период после 2020 года. Она может быть дополнена набором данных СГФ МВФ для стран, которые не проводят таких обзоров расходов. По </w:t>
      </w:r>
      <w:r w:rsidR="00A06303">
        <w:t xml:space="preserve">вышеобозначенным </w:t>
      </w:r>
      <w:r>
        <w:t xml:space="preserve">причинам данные по странам двух наборов данных нельзя сопоставить напрямую; однако оба набора данных </w:t>
      </w:r>
      <w:r w:rsidR="00A06303">
        <w:t xml:space="preserve">могут </w:t>
      </w:r>
      <w:r>
        <w:t>позвол</w:t>
      </w:r>
      <w:r w:rsidR="00A06303">
        <w:t>ить</w:t>
      </w:r>
      <w:r>
        <w:t xml:space="preserve"> в определенной форме провести анализ тенденций в конкретных странах, как указано выше. </w:t>
      </w:r>
    </w:p>
    <w:p w14:paraId="07448F31" w14:textId="352CDB90" w:rsidR="00855A78" w:rsidRPr="004E05E7" w:rsidRDefault="00855A78" w:rsidP="00C264EE">
      <w:pPr>
        <w:pStyle w:val="Titre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VI.</w:t>
      </w:r>
      <w:r>
        <w:rPr>
          <w:snapToGrid w:val="0"/>
          <w:szCs w:val="22"/>
        </w:rPr>
        <w:tab/>
        <w:t>ОЦЕНКА РОЛИ КОЛЛЕКТИВНЫХ ДЕЙСТВИЙ</w:t>
      </w:r>
    </w:p>
    <w:p w14:paraId="6FE97250" w14:textId="72172B5F" w:rsidR="004B2076" w:rsidRPr="007A0CBF" w:rsidRDefault="00855A78" w:rsidP="00C264EE">
      <w:pPr>
        <w:pStyle w:val="Para1"/>
        <w:numPr>
          <w:ilvl w:val="0"/>
          <w:numId w:val="25"/>
        </w:numPr>
        <w:tabs>
          <w:tab w:val="clear" w:pos="360"/>
        </w:tabs>
        <w:kinsoku w:val="0"/>
        <w:overflowPunct w:val="0"/>
        <w:autoSpaceDE w:val="0"/>
        <w:autoSpaceDN w:val="0"/>
        <w:snapToGrid w:val="0"/>
        <w:rPr>
          <w:kern w:val="22"/>
          <w:szCs w:val="22"/>
        </w:rPr>
      </w:pPr>
      <w:r>
        <w:t xml:space="preserve">В общей сложности 58 Сторон представили информацию о проведении оценки роли коллективных действий и нерыночных подходов к мобилизации ресурсов в целях достижения целей Конвенции в рамках цикла отчетности 2015 года, и 33 Стороны – в рамках цикла отчетности 2020 года. По данным цикла отчетности 2015 года 47 Сторон еще не приступили к такой оценке, а семь Сторон сообщили, что были проведены некоторые оценки. По данным цикла отчетности 2020 года эти значения составили 19 и 13 соответственно. Одна страна указала, что для цикла отчетности 2015 года были проведены комплексные оценки, а для цикла 2020 года они не проводились. В своих комментариях несколько стран отметили важное значение коллективных действий, но также подчеркнули методологические трудности для количественной оценки их вклада и необходимость прилагать больше усилий в этом направлении. Бутан отметил роль программ оплаты экосистемных услуг для мобилизации местных общин. Канада провела частичную оценку, охватив 19 примеров программ коллективных действий, но указала на сложность агрегирования несогласованных нефинансовых показателей. Великобритания отметила, что, хотя на территории страны не проживают коренные народы и местные общины в определении статье 8(j) Конвенции, работа добровольцев играет ключевую роль, например, в сборе информации о видах, и, по оценкам, сбор </w:t>
      </w:r>
      <w:r w:rsidR="007C14E6">
        <w:t>этой</w:t>
      </w:r>
      <w:r>
        <w:t xml:space="preserve"> информации на официальной или коммерческой основе потребовал бы ежегодных расходов в размере более 53 млн долл. США.</w:t>
      </w:r>
    </w:p>
    <w:p w14:paraId="2A7B4108" w14:textId="7DD6880E" w:rsidR="006E231C" w:rsidRPr="00000DA0" w:rsidRDefault="00ED760B" w:rsidP="00C264EE">
      <w:pPr>
        <w:pStyle w:val="Para1"/>
        <w:numPr>
          <w:ilvl w:val="0"/>
          <w:numId w:val="25"/>
        </w:numPr>
        <w:tabs>
          <w:tab w:val="clear" w:pos="360"/>
        </w:tabs>
        <w:kinsoku w:val="0"/>
        <w:overflowPunct w:val="0"/>
        <w:autoSpaceDE w:val="0"/>
        <w:autoSpaceDN w:val="0"/>
        <w:snapToGrid w:val="0"/>
        <w:rPr>
          <w:kern w:val="22"/>
          <w:szCs w:val="22"/>
        </w:rPr>
      </w:pPr>
      <w:r>
        <w:t>Только четыре страны (Канада, Индия, Намибия, Перу) предоставили количественную информацию о вкладе коренных народов и местных общин. Хотя эта информация весьма ограничена, вопрос оценки роли коллективных действий лег в основу интересной концептуальной и методологической работы, что нашло отражение в предыдущих докладах</w:t>
      </w:r>
      <w:r w:rsidR="00450E69" w:rsidRPr="00B96299">
        <w:rPr>
          <w:rStyle w:val="Appelnotedebasdep"/>
          <w:kern w:val="22"/>
          <w:szCs w:val="22"/>
        </w:rPr>
        <w:footnoteReference w:id="18"/>
      </w:r>
      <w:r>
        <w:t>, и в рамках Конвенции было разработано методологическое руководство по этому вопросу, которому посвящено решение 14/16. В этом решении Конференция Сторон признает важность комплексных коллективных действий коренных народов и местных общин</w:t>
      </w:r>
      <w:r w:rsidR="0096258D" w:rsidRPr="00000DA0">
        <w:rPr>
          <w:rStyle w:val="Appelnotedebasdep"/>
          <w:kern w:val="22"/>
          <w:szCs w:val="22"/>
        </w:rPr>
        <w:footnoteReference w:id="19"/>
      </w:r>
      <w:r>
        <w:t>, и, если Конференция Сторон желает поощрять Стороны продолжать эту работу и наращивать соответствующие усилия, дальнейшее представление отчетности по этому вопросу при поддержке соответствующих международных организаций и инициатив представляет целесообразность.</w:t>
      </w:r>
    </w:p>
    <w:p w14:paraId="7F19A2BF" w14:textId="2A2E7766" w:rsidR="00855A78" w:rsidRPr="008A31B4" w:rsidRDefault="00855A78" w:rsidP="00C264EE">
      <w:pPr>
        <w:pStyle w:val="Titre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VII.</w:t>
      </w:r>
      <w:r>
        <w:rPr>
          <w:snapToGrid w:val="0"/>
          <w:szCs w:val="22"/>
        </w:rPr>
        <w:tab/>
        <w:t>ОТЧЕТНЫЕ ДАННЫЕ О ПОТРЕБНОСТЯХ, ДЕФИЦИТЕ И ПРИОРИТЕТАХ ФИНАНСИРОВАНИЯ</w:t>
      </w:r>
    </w:p>
    <w:p w14:paraId="2B6B5D36" w14:textId="1CEDE59C" w:rsidR="00CB7C40" w:rsidRPr="00706DF5" w:rsidRDefault="00DD494C" w:rsidP="00C264EE">
      <w:pPr>
        <w:pStyle w:val="Para1"/>
        <w:numPr>
          <w:ilvl w:val="0"/>
          <w:numId w:val="25"/>
        </w:numPr>
        <w:tabs>
          <w:tab w:val="clear" w:pos="360"/>
        </w:tabs>
        <w:kinsoku w:val="0"/>
        <w:overflowPunct w:val="0"/>
        <w:autoSpaceDE w:val="0"/>
        <w:autoSpaceDN w:val="0"/>
        <w:snapToGrid w:val="0"/>
        <w:rPr>
          <w:kern w:val="22"/>
          <w:szCs w:val="22"/>
        </w:rPr>
      </w:pPr>
      <w:r>
        <w:t xml:space="preserve">В рамках целевой задачи (d) по мобилизации ресурсов призывается обеспечить, чтобы 100%, но не менее 75%, Сторон, которым предоставлены адекватные финансовые ресурсы, представили отчетность о внутренних расходах на цели сохранения и устойчивого использования биоразнообразия, а также о потребностях, дефиците и приоритетах финансирования к 2015 году. </w:t>
      </w:r>
    </w:p>
    <w:p w14:paraId="1585722D" w14:textId="53642A15" w:rsidR="00855A78" w:rsidRPr="00706DF5" w:rsidRDefault="00855A78" w:rsidP="00C264EE">
      <w:pPr>
        <w:pStyle w:val="Para1"/>
        <w:numPr>
          <w:ilvl w:val="0"/>
          <w:numId w:val="25"/>
        </w:numPr>
        <w:tabs>
          <w:tab w:val="clear" w:pos="360"/>
        </w:tabs>
        <w:kinsoku w:val="0"/>
        <w:overflowPunct w:val="0"/>
        <w:autoSpaceDE w:val="0"/>
        <w:autoSpaceDN w:val="0"/>
        <w:snapToGrid w:val="0"/>
        <w:rPr>
          <w:kern w:val="22"/>
          <w:szCs w:val="22"/>
        </w:rPr>
      </w:pPr>
      <w:r>
        <w:t xml:space="preserve">В общей сложности 57 Сторон, представивших отчетность (почти 56%), сообщили об оценках потребностей в финансовых средствах (как правило, на основе пересмотренных НСПДСБ; см. ниже), и большинство из них рассчитало примерный дефицит финансирования путем вычитания оценочного объема имеющихся ресурсов. В общей сложности 35 стран или примерно 43% также сообщили о мерах по приоритетному финансированию. Страны, представившие отчетность, в </w:t>
      </w:r>
      <w:r>
        <w:lastRenderedPageBreak/>
        <w:t>основном ссылались на свои пересмотренные НСПДСБ в качестве основы оценки и в некоторых случаях указывали конкретные планы по мобилизации ресурсов.</w:t>
      </w:r>
      <w:bookmarkStart w:id="1" w:name="_Ref443595809"/>
      <w:r>
        <w:t xml:space="preserve"> В некоторых случаях страны ссылались на текущую работу по пересмотру НСПДСБ или работу, проводимую в рамках БИОФИН.</w:t>
      </w:r>
      <w:bookmarkEnd w:id="1"/>
      <w:r>
        <w:t xml:space="preserve"> Несколько Сторон (Европейский союз, Испания, Китай, Латвия, Судан, Швейцария и Соединенное Королевство) не представили данные в табличной форме, но привели дополнительные сведения, отметив, например, </w:t>
      </w:r>
      <w:r w:rsidR="001E59E3">
        <w:t>конкретные</w:t>
      </w:r>
      <w:r>
        <w:t xml:space="preserve"> потребности, которые можно определить.</w:t>
      </w:r>
    </w:p>
    <w:p w14:paraId="6378A635" w14:textId="60BA362C" w:rsidR="002F0D43" w:rsidRPr="00706DF5" w:rsidRDefault="00D73826" w:rsidP="00C264EE">
      <w:pPr>
        <w:pStyle w:val="Para1"/>
        <w:numPr>
          <w:ilvl w:val="0"/>
          <w:numId w:val="25"/>
        </w:numPr>
        <w:tabs>
          <w:tab w:val="clear" w:pos="360"/>
        </w:tabs>
        <w:kinsoku w:val="0"/>
        <w:overflowPunct w:val="0"/>
        <w:autoSpaceDE w:val="0"/>
        <w:autoSpaceDN w:val="0"/>
        <w:snapToGrid w:val="0"/>
        <w:rPr>
          <w:kern w:val="22"/>
          <w:szCs w:val="22"/>
        </w:rPr>
      </w:pPr>
      <w:r>
        <w:t>При представлении данных элементов отчетности периодически возникает вопрос, каким образом точно определить потребности в финансировании и возникающий дефицит; а именно, выражены ли потребности в финансировании как «валовая» или «чистая» величина, т.е. включает ли она или исключает мероприятия, которые уже финансируется за счет текущих расходов</w:t>
      </w:r>
      <w:r w:rsidR="00AA249D" w:rsidRPr="00706DF5">
        <w:rPr>
          <w:rStyle w:val="Appelnotedebasdep"/>
          <w:kern w:val="22"/>
          <w:szCs w:val="22"/>
        </w:rPr>
        <w:footnoteReference w:id="20"/>
      </w:r>
      <w:r>
        <w:t>. При разработке структуры представления финансовой отчетности по аналогии с основным подходом методологии БИОФИН, за основу была принята валовая концепция</w:t>
      </w:r>
      <w:r w:rsidR="00AC4CE2" w:rsidRPr="00706DF5">
        <w:rPr>
          <w:rStyle w:val="Appelnotedebasdep"/>
          <w:kern w:val="22"/>
          <w:szCs w:val="22"/>
        </w:rPr>
        <w:footnoteReference w:id="21"/>
      </w:r>
      <w:r>
        <w:t>; однако, ряд стран работал с «чистой» концепцией, в связи с чем в ряде случаев демонстрировалось отрицательное значение дефицита финансирования.</w:t>
      </w:r>
    </w:p>
    <w:p w14:paraId="760E085C" w14:textId="62BD25B3" w:rsidR="008D7D92" w:rsidRPr="008A31B4" w:rsidRDefault="00536735" w:rsidP="00C264EE">
      <w:pPr>
        <w:pStyle w:val="Para1"/>
        <w:numPr>
          <w:ilvl w:val="0"/>
          <w:numId w:val="25"/>
        </w:numPr>
        <w:tabs>
          <w:tab w:val="clear" w:pos="360"/>
        </w:tabs>
        <w:kinsoku w:val="0"/>
        <w:overflowPunct w:val="0"/>
        <w:autoSpaceDE w:val="0"/>
        <w:autoSpaceDN w:val="0"/>
        <w:snapToGrid w:val="0"/>
        <w:rPr>
          <w:kern w:val="22"/>
          <w:szCs w:val="22"/>
        </w:rPr>
      </w:pPr>
      <w:r>
        <w:t>Подобно рассмотренному выше обзору расходов на биоразнообразие, определение потребностей, дефицита и приоритетов финансирования является промежуточным этапом при разработке национального плана финансирования. Однако с точки зрения мобилизации ресурсов, пожалуй, основное значение имеет наличие национального плана финансирования и его эффективная реализация, а не то, что промежуточные этапы выполнены в соответствии с общей методологией. Таким образом, оглядываясь назад, можно предположить, что эти элементы структуры представления отчетности, не являются основными, и в будущем их можно было бы оптимизировать и сделать более гибкими.</w:t>
      </w:r>
    </w:p>
    <w:p w14:paraId="1F1348C7" w14:textId="5A1D89CF" w:rsidR="00855A78" w:rsidRPr="00706DF5" w:rsidRDefault="00855A78" w:rsidP="00C264EE">
      <w:pPr>
        <w:pStyle w:val="Titre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VIII.</w:t>
      </w:r>
      <w:r>
        <w:rPr>
          <w:snapToGrid w:val="0"/>
          <w:szCs w:val="22"/>
        </w:rPr>
        <w:tab/>
        <w:t>НАЦИОНАЛЬНЫЕ ПЛАНЫ ФИНАНСИРОВАНИЯ</w:t>
      </w:r>
    </w:p>
    <w:p w14:paraId="19466EBA" w14:textId="33EE4EB1" w:rsidR="00CB7C40" w:rsidRPr="00706DF5" w:rsidRDefault="001753C4" w:rsidP="00C264EE">
      <w:pPr>
        <w:pStyle w:val="Para1"/>
        <w:numPr>
          <w:ilvl w:val="0"/>
          <w:numId w:val="25"/>
        </w:numPr>
        <w:tabs>
          <w:tab w:val="clear" w:pos="360"/>
        </w:tabs>
        <w:kinsoku w:val="0"/>
        <w:overflowPunct w:val="0"/>
        <w:autoSpaceDE w:val="0"/>
        <w:autoSpaceDN w:val="0"/>
        <w:snapToGrid w:val="0"/>
        <w:rPr>
          <w:kern w:val="22"/>
          <w:szCs w:val="22"/>
        </w:rPr>
      </w:pPr>
      <w:r>
        <w:t xml:space="preserve">Целевая задача (d) также призывает обеспечить, чтобы 100%, но не менее 75%, Сторон, которым предоставлены адекватные финансовые ресурсы, подготовили национальные планы финансирования биоразнообразия к 2015 году. </w:t>
      </w:r>
    </w:p>
    <w:p w14:paraId="294B1475" w14:textId="241B9AEF" w:rsidR="00A407FA" w:rsidRPr="00706DF5" w:rsidRDefault="00855A78" w:rsidP="00C264EE">
      <w:pPr>
        <w:pStyle w:val="Para1"/>
        <w:numPr>
          <w:ilvl w:val="0"/>
          <w:numId w:val="25"/>
        </w:numPr>
        <w:tabs>
          <w:tab w:val="clear" w:pos="360"/>
        </w:tabs>
        <w:kinsoku w:val="0"/>
        <w:overflowPunct w:val="0"/>
        <w:autoSpaceDE w:val="0"/>
        <w:autoSpaceDN w:val="0"/>
        <w:snapToGrid w:val="0"/>
        <w:rPr>
          <w:kern w:val="22"/>
          <w:szCs w:val="22"/>
        </w:rPr>
      </w:pPr>
      <w:r>
        <w:t>В общей сложности 54 Стороны или 58% представили элементы национального плана финансирования в соответствующей таблице структуры представления финансовой отчетности, указав агрегированные данные об объеме внутренних и международных ресурсов, которые они планируют мобилизовать, дополненные в ряде случаев отдельными источниками финансирования, как внутренними, так и международными, которые они планируют задействовать для сокращения дефицита финансирования в ближайшие годы. В рамках цикла отчетности 2020 года только 16 Сторон сообщили о прогрессе в мобилизации ресурсов в целом, и еще меньшее число стран представили информацию о конкретных источниках финансирования (12 для внутренних и 15 для международных), и в основном только за несколько лет.</w:t>
      </w:r>
    </w:p>
    <w:p w14:paraId="41DBC047" w14:textId="3C5EE5D9" w:rsidR="00855A78" w:rsidRPr="008A31B4" w:rsidRDefault="00DE7189" w:rsidP="00C264EE">
      <w:pPr>
        <w:pStyle w:val="Para1"/>
        <w:numPr>
          <w:ilvl w:val="0"/>
          <w:numId w:val="25"/>
        </w:numPr>
        <w:tabs>
          <w:tab w:val="clear" w:pos="360"/>
        </w:tabs>
        <w:kinsoku w:val="0"/>
        <w:overflowPunct w:val="0"/>
        <w:autoSpaceDE w:val="0"/>
        <w:autoSpaceDN w:val="0"/>
        <w:snapToGrid w:val="0"/>
        <w:rPr>
          <w:kern w:val="22"/>
          <w:szCs w:val="22"/>
        </w:rPr>
      </w:pPr>
      <w:r>
        <w:t xml:space="preserve">Второй цикл отчетности в рамках структуры представления финансовой отчетности предусматривал представление отчетности о ходе реализации национальных планов финансирования в качестве основы для оценки дальнейшего прогресса в </w:t>
      </w:r>
      <w:r w:rsidR="00253B3A">
        <w:t>выполнении</w:t>
      </w:r>
      <w:r>
        <w:t xml:space="preserve"> целевой задачи (e), касающейся мобилизации внутренних ресурсов. Однако ввиду ограниченного объема отчетных данных, как описано в предыдущем пункте, проведение такой оценки не представляется возможным. В предыдущих докладах в качестве альтернативы учитывалась информация о расходах, связанных с биоразнообразием, в рамках первого цикла отчетности, призванная помочь в определении </w:t>
      </w:r>
      <w:r w:rsidR="009B155E">
        <w:t xml:space="preserve">исходного </w:t>
      </w:r>
      <w:r>
        <w:t xml:space="preserve">уровня (т.е. инерционного сценария) для национальных планов финансирования. Оглядываясь назад, можно сказать, что структура представления финансовой отчетности была слишком обременительной в этом отношении, и положение дел еще больше усугубили проблемы в области </w:t>
      </w:r>
      <w:r>
        <w:lastRenderedPageBreak/>
        <w:t xml:space="preserve">методологии и потенциала при разработке национальных планов финансирования, с которыми столкнулись страны, как получившие поддержку БИОФИН, так и, возможно, даже в большей степени </w:t>
      </w:r>
      <w:r w:rsidR="00773FE2">
        <w:t>т</w:t>
      </w:r>
      <w:r>
        <w:t>е</w:t>
      </w:r>
      <w:r w:rsidR="00773FE2">
        <w:t xml:space="preserve"> страны</w:t>
      </w:r>
      <w:r>
        <w:t>, которые ее не получили. В этой связи представляется целесообразным основывать любую будущую оценку прогресса в выполнении возможной будущей национальной целевой задачи по мобилизации ресурсов только на данных регулярной отчетности о расходах, связанных с биоразнообразием, как указано в разделе V выше.</w:t>
      </w:r>
    </w:p>
    <w:p w14:paraId="3FE73BAC" w14:textId="3E660E49" w:rsidR="00855A78" w:rsidRPr="00B37672" w:rsidRDefault="005337DA" w:rsidP="00C264EE">
      <w:pPr>
        <w:pStyle w:val="Titre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IX.</w:t>
      </w:r>
      <w:r>
        <w:rPr>
          <w:snapToGrid w:val="0"/>
          <w:szCs w:val="22"/>
        </w:rPr>
        <w:tab/>
        <w:t>ВЫВОДЫ</w:t>
      </w:r>
    </w:p>
    <w:p w14:paraId="24E90E47" w14:textId="53F396E7" w:rsidR="00855A78" w:rsidRPr="008E17FE" w:rsidRDefault="00F766D5" w:rsidP="00C264EE">
      <w:pPr>
        <w:pStyle w:val="Para1"/>
        <w:numPr>
          <w:ilvl w:val="0"/>
          <w:numId w:val="25"/>
        </w:numPr>
        <w:tabs>
          <w:tab w:val="clear" w:pos="360"/>
        </w:tabs>
        <w:kinsoku w:val="0"/>
        <w:overflowPunct w:val="0"/>
        <w:autoSpaceDE w:val="0"/>
        <w:autoSpaceDN w:val="0"/>
        <w:snapToGrid w:val="0"/>
        <w:rPr>
          <w:kern w:val="22"/>
          <w:szCs w:val="22"/>
        </w:rPr>
      </w:pPr>
      <w:r>
        <w:t>В целом наблюдается дальнейший прогресс в представлении отчетных данных по выполнению целевых задач по мобилизации ресурсов, но, поскольку отчетность представили только 97 Сторон, этот показатель значительно ниже показателя общей национальной отчетности</w:t>
      </w:r>
      <w:r w:rsidR="000E3841" w:rsidRPr="001F437D">
        <w:rPr>
          <w:rStyle w:val="Appelnotedebasdep"/>
          <w:kern w:val="22"/>
          <w:szCs w:val="22"/>
        </w:rPr>
        <w:footnoteReference w:id="22"/>
      </w:r>
      <w:r>
        <w:t xml:space="preserve">. Однако включение финансовых индикаторов в систему мониторинга глобальной рамочной программы в области биоразнообразия, а значит, и в типовые формы национальной отчетности по Конвенции, будет означать договоренность о представлении отчетных данных по мобилизации ресурсов в рамках национальных докладов. Хотя подавляющее большинство членов КСР, являющихся Сторонами Конвенции, представили отчетность о своих международных потоках в рамках целевой задачи (a), многим еще предстоит предоставить данные за 2019 и 2020 годы. Более того, многие Стороны ответили не на все вопросы структуры представления отчетности. По всей видимости, характерным сдерживающим фактором являются трудности в выполнении отдельных целевых задач, в частности (с) и (d), связанные с общим отсутствием потенциала </w:t>
      </w:r>
      <w:r w:rsidR="00773FE2">
        <w:t>особенно</w:t>
      </w:r>
      <w:r>
        <w:t xml:space="preserve"> в странах, не участвующих в инициативе БИОФИН.</w:t>
      </w:r>
    </w:p>
    <w:p w14:paraId="1BD576A3" w14:textId="12E6171A" w:rsidR="00855A78" w:rsidRPr="008E17FE" w:rsidRDefault="00855A78" w:rsidP="00C264EE">
      <w:pPr>
        <w:pStyle w:val="Para1"/>
        <w:numPr>
          <w:ilvl w:val="0"/>
          <w:numId w:val="25"/>
        </w:numPr>
        <w:tabs>
          <w:tab w:val="clear" w:pos="360"/>
        </w:tabs>
        <w:kinsoku w:val="0"/>
        <w:overflowPunct w:val="0"/>
        <w:autoSpaceDE w:val="0"/>
        <w:autoSpaceDN w:val="0"/>
        <w:snapToGrid w:val="0"/>
        <w:rPr>
          <w:kern w:val="22"/>
          <w:szCs w:val="22"/>
        </w:rPr>
      </w:pPr>
      <w:r>
        <w:rPr>
          <w:i/>
          <w:iCs/>
        </w:rPr>
        <w:t>Целевая задача (a), принятая в решении XII/3 (увеличение вдвое международных потоков финансовых ресурсов к 2015 году и поддержание этого уровня до 2020 года):</w:t>
      </w:r>
      <w:r>
        <w:t xml:space="preserve"> Ряд Сторон выполнили целевую задачу по увеличению объема вдвое, и некоторым из них удалось поддерживать или даже увеличить этот показатель, однако числовые значения, представленные в структуре представления финансовой отчетности, не позволяют говорить о том, что эта целевая задача была выполнена в глобальном масштабе: по сравнению с </w:t>
      </w:r>
      <w:r w:rsidR="009B155E">
        <w:t>исходн</w:t>
      </w:r>
      <w:r w:rsidR="009B155E">
        <w:t>ым</w:t>
      </w:r>
      <w:r w:rsidR="009B155E">
        <w:t xml:space="preserve"> </w:t>
      </w:r>
      <w:r>
        <w:t>уровнем в 2015 году увеличение по расчетам составляет 67%, в 2018 году – 39%; для последующих периодов недостаточный объем отчетных данных не позволяет сделать какие-либо выводы</w:t>
      </w:r>
      <w:r w:rsidR="008C623A" w:rsidRPr="00F16759">
        <w:rPr>
          <w:rStyle w:val="Appelnotedebasdep"/>
          <w:kern w:val="22"/>
          <w:szCs w:val="22"/>
        </w:rPr>
        <w:footnoteReference w:id="23"/>
      </w:r>
      <w:r>
        <w:t>. Однако, в силу изложенных выше различий, данные СОК ОЭСР по показателям биоразнообразия демонстрируют более позитивную картину, в соответствии с которой как «основной», так и «значимый» потоки были увеличены вдвое к 2015 году, и увеличенный вдвое объем «значимого» потока поддерживался до 2020 года.</w:t>
      </w:r>
    </w:p>
    <w:p w14:paraId="67351192" w14:textId="7EC80641" w:rsidR="00855A78" w:rsidRPr="008E17FE" w:rsidRDefault="00855A78" w:rsidP="00C264EE">
      <w:pPr>
        <w:pStyle w:val="Para1"/>
        <w:numPr>
          <w:ilvl w:val="0"/>
          <w:numId w:val="25"/>
        </w:numPr>
        <w:tabs>
          <w:tab w:val="clear" w:pos="360"/>
        </w:tabs>
        <w:kinsoku w:val="0"/>
        <w:overflowPunct w:val="0"/>
        <w:autoSpaceDE w:val="0"/>
        <w:autoSpaceDN w:val="0"/>
        <w:snapToGrid w:val="0"/>
        <w:rPr>
          <w:kern w:val="22"/>
          <w:szCs w:val="22"/>
        </w:rPr>
      </w:pPr>
      <w:r>
        <w:rPr>
          <w:i/>
          <w:szCs w:val="22"/>
        </w:rPr>
        <w:t>Целевая задача (b), принятая в решении XII/3 (учет проблематики биоразнообразия к 2015 году):</w:t>
      </w:r>
      <w:r>
        <w:t xml:space="preserve"> Поскольку только около 50% Сторон сообщили о прогрессе в выполнении этой целевой задачи, формально она не была выполнена. С другой стороны, все представившие отчетность Стороны сообщили об определенном прогрессе, что</w:t>
      </w:r>
      <w:r w:rsidR="000F3D45" w:rsidRPr="000F3D45">
        <w:t xml:space="preserve"> </w:t>
      </w:r>
      <w:r w:rsidR="000F3D45">
        <w:t>обнадеживает</w:t>
      </w:r>
      <w:r>
        <w:t>, несмотря на ограниченные полученные данные.</w:t>
      </w:r>
    </w:p>
    <w:p w14:paraId="79EFFD61" w14:textId="1C47850D" w:rsidR="00855A78" w:rsidRPr="008E17FE" w:rsidRDefault="00855A78" w:rsidP="00C264EE">
      <w:pPr>
        <w:pStyle w:val="Para1"/>
        <w:numPr>
          <w:ilvl w:val="0"/>
          <w:numId w:val="25"/>
        </w:numPr>
        <w:tabs>
          <w:tab w:val="clear" w:pos="360"/>
        </w:tabs>
        <w:kinsoku w:val="0"/>
        <w:overflowPunct w:val="0"/>
        <w:autoSpaceDE w:val="0"/>
        <w:autoSpaceDN w:val="0"/>
        <w:snapToGrid w:val="0"/>
        <w:rPr>
          <w:spacing w:val="-1"/>
          <w:kern w:val="22"/>
          <w:szCs w:val="22"/>
        </w:rPr>
      </w:pPr>
      <w:r>
        <w:rPr>
          <w:i/>
          <w:szCs w:val="22"/>
        </w:rPr>
        <w:t>Целевая задача (c), принятая в решении XII/3 (Представление к 2015 году отчетности о текущих внутренних расходах, связанных с биоразнообразием, а также о потребностях, дефиците и приоритетах финансирования):</w:t>
      </w:r>
      <w:r>
        <w:t xml:space="preserve"> В строгом толковании эта целевая задача не была выполнена, поскольку к 2015 году отчетность о текущих внутренних расходах и о потребностях, дефиците и приоритетах финанс</w:t>
      </w:r>
      <w:r w:rsidR="009510BF">
        <w:t>ир</w:t>
      </w:r>
      <w:r>
        <w:t>ования предоставили менее 75% Сторон. Достигнутые результаты в представлении отчетности о внутренних расходах, связанных с биоразнообразием, кажутся обнадеживающими: отчетность представили 88 стран. Однако отчетность о потребностях, дефиците и приоритетах финансирования, по всей видимости, продолжает представлять трудности.</w:t>
      </w:r>
    </w:p>
    <w:p w14:paraId="06D86F4C" w14:textId="10515C1D" w:rsidR="00855A78" w:rsidRPr="008E17FE" w:rsidRDefault="00855A78" w:rsidP="00C264EE">
      <w:pPr>
        <w:pStyle w:val="Para1"/>
        <w:numPr>
          <w:ilvl w:val="0"/>
          <w:numId w:val="25"/>
        </w:numPr>
        <w:tabs>
          <w:tab w:val="clear" w:pos="360"/>
        </w:tabs>
        <w:kinsoku w:val="0"/>
        <w:overflowPunct w:val="0"/>
        <w:autoSpaceDE w:val="0"/>
        <w:autoSpaceDN w:val="0"/>
        <w:snapToGrid w:val="0"/>
        <w:rPr>
          <w:kern w:val="22"/>
          <w:szCs w:val="22"/>
        </w:rPr>
      </w:pPr>
      <w:r>
        <w:rPr>
          <w:i/>
          <w:szCs w:val="22"/>
        </w:rPr>
        <w:lastRenderedPageBreak/>
        <w:t>Целевая задача (d), принятая в решении XII/3 (подготовка к 2015 году национальных планов финансирования биоразнообразия и определение ценности):</w:t>
      </w:r>
      <w:r>
        <w:t xml:space="preserve"> В общей сложности 90% представивших отчетность стран или чуть более 40% Сторон провели по меньшей мере некоторые оценки различных ценностей биоразнообразия, что превышает показатель в 30%, установленный в целевой задаче, и, следовательно, указывает на удовлетворительный ход выполнения соответствующего элемента целевой задачи (d). Однако только 54 Стороны представили элементы плана финансирования в соответствующей таблице, что говорит о систематических трудностях в разработке и представлении национальных планов финансирования. Соответственно, 60% указали на отсутствие необходимых финансовых ресурсов для подготовки планов финансирования.</w:t>
      </w:r>
    </w:p>
    <w:p w14:paraId="3832703B" w14:textId="1687E0EF" w:rsidR="00855A78" w:rsidRPr="00F16759" w:rsidRDefault="00855A78" w:rsidP="00C264EE">
      <w:pPr>
        <w:pStyle w:val="Paragraphedeliste"/>
        <w:numPr>
          <w:ilvl w:val="0"/>
          <w:numId w:val="25"/>
        </w:numPr>
        <w:tabs>
          <w:tab w:val="clear" w:pos="360"/>
        </w:tabs>
        <w:snapToGrid w:val="0"/>
        <w:spacing w:before="120" w:after="120"/>
        <w:contextualSpacing w:val="0"/>
        <w:rPr>
          <w:spacing w:val="-1"/>
          <w:kern w:val="22"/>
          <w:szCs w:val="22"/>
        </w:rPr>
      </w:pPr>
      <w:r>
        <w:rPr>
          <w:i/>
          <w:szCs w:val="22"/>
        </w:rPr>
        <w:t xml:space="preserve">Целевая задача (e), принятая в решении XII/3 (мобилизация внутренних финансовых ресурсов): </w:t>
      </w:r>
      <w:r>
        <w:t>Оценка представленных данных о внутренних расходах, связанных с биоразнообразием, до 2015 года показывает, что примерно в половине представивших отчетность стран, в которых возможно проследить тенденцию, наблюдается положительная динамика, в то время как в другой половине стран наблюдается стагнация или тенденция к сокращению объема расходов.</w:t>
      </w:r>
      <w:r>
        <w:rPr>
          <w:iCs/>
          <w:snapToGrid w:val="0"/>
          <w:szCs w:val="22"/>
        </w:rPr>
        <w:t xml:space="preserve"> Таким образом, несмотря на прогресс в выполнении целевой задачи (e), в целом его нельзя считать удовлетворительным.</w:t>
      </w:r>
      <w:r>
        <w:t xml:space="preserve"> По данной целевой задаче не установлен срок к 2015 году, поэтому оценку результатов ее выполнения (до 2020 года) планировалось провести в рамках второго цикла отчетности с использованием отчетных данных о реализации национальных планов финансирования. Несмотря на то, что в связи с низким процентом предоставленных данных этот подход представляется нецелесообразным, анализ государственных расходов по функциям в СГФ МВФ с учетом различий в методологии, рассмотренных выше, в основном подтверждает вывод о том, что в целом результаты выполнения этой целевой задачи был</w:t>
      </w:r>
      <w:r w:rsidR="007F3BEC">
        <w:t>и</w:t>
      </w:r>
      <w:r>
        <w:t xml:space="preserve"> неудовлетворительными.</w:t>
      </w:r>
    </w:p>
    <w:p w14:paraId="47263941" w14:textId="052CA763" w:rsidR="00BE64B4" w:rsidRPr="00F16759" w:rsidRDefault="00A5190D" w:rsidP="00C264EE">
      <w:pPr>
        <w:pStyle w:val="Paragraphedeliste"/>
        <w:numPr>
          <w:ilvl w:val="0"/>
          <w:numId w:val="25"/>
        </w:numPr>
        <w:tabs>
          <w:tab w:val="clear" w:pos="360"/>
        </w:tabs>
        <w:snapToGrid w:val="0"/>
        <w:spacing w:before="120" w:after="120"/>
        <w:contextualSpacing w:val="0"/>
        <w:rPr>
          <w:spacing w:val="-1"/>
          <w:kern w:val="22"/>
          <w:szCs w:val="22"/>
        </w:rPr>
      </w:pPr>
      <w:r>
        <w:rPr>
          <w:i/>
          <w:iCs/>
          <w:szCs w:val="22"/>
        </w:rPr>
        <w:t xml:space="preserve">Извлеченные уроки и варианты упрощенной и более эффективной отчетности по мобилизации ресурсов. </w:t>
      </w:r>
      <w:r>
        <w:t>Анализ позволил определить ряд возможных вариантов решени</w:t>
      </w:r>
      <w:r w:rsidR="00D61ABA">
        <w:t>й</w:t>
      </w:r>
      <w:r>
        <w:t>. Учитывая, что в настоящее время продолжается обсуждение вопроса мобилизации ресурсов, включая определение соответствующей целевой задачи или задач и соответствующих индикаторов, приведенные ниже варианты не следует толковать как попытку предвосхитить результаты текущих обсуждений:</w:t>
      </w:r>
    </w:p>
    <w:p w14:paraId="7A52CCB2" w14:textId="54B992C7" w:rsidR="00B2166C" w:rsidRPr="00F16759" w:rsidRDefault="00C66D21"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t>в</w:t>
      </w:r>
      <w:r w:rsidR="00B2166C">
        <w:t xml:space="preserve"> отношении оценки результатов выполнения целевой задачи по </w:t>
      </w:r>
      <w:r w:rsidR="00B2166C">
        <w:rPr>
          <w:i/>
          <w:iCs/>
        </w:rPr>
        <w:t>международным финансовым потокам в поддержку сохранения биоразнообразия</w:t>
      </w:r>
      <w:r w:rsidR="00B2166C">
        <w:t xml:space="preserve">: рассмотреть возможность использования в первую очередь набора данных Системы отчетности кредиторов ОЭСР, включая, в частности, рио-де-жанейрские показатели биоразнообразия. Этот подход может быть дополнен </w:t>
      </w:r>
      <w:r w:rsidR="00556AE9">
        <w:t xml:space="preserve">коллективными и/или индивидуальными </w:t>
      </w:r>
      <w:r w:rsidR="00B2166C">
        <w:t>рекомендациями Сторон Конвенции в отношении анализа и/или агрегирования данных;</w:t>
      </w:r>
    </w:p>
    <w:p w14:paraId="5583BCBA" w14:textId="37003BF7" w:rsidR="00B2166C" w:rsidRPr="00F16759" w:rsidRDefault="00C66D21"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t>ч</w:t>
      </w:r>
      <w:r w:rsidR="00B2166C">
        <w:t xml:space="preserve">то касается оценки результатов выполнения целевой задачи по </w:t>
      </w:r>
      <w:r w:rsidR="00B2166C">
        <w:rPr>
          <w:i/>
          <w:iCs/>
        </w:rPr>
        <w:t>мобилизации внутренних ресурсов в поддержку сохранения биоразнообразия:</w:t>
      </w:r>
      <w:r w:rsidR="00B2166C">
        <w:t xml:space="preserve"> рассмотреть возможность дальнейшего представления отчетности по расходам, связанным с биоразнообразием, установленной в рамках первого цикла отчетности в структуре представления финансовой отчетности. Отчетность можно дополнить данными Ежегодника статистики государственных финансов МВФ (т.е. данными по подклассу КФОУ «сохранение биоразнообразия и ландшафта</w:t>
      </w:r>
      <w:r w:rsidR="0036424A">
        <w:t>»</w:t>
      </w:r>
      <w:r w:rsidR="00B2166C">
        <w:t xml:space="preserve"> в разбивке по функциям), в частности, для тех стран, которые не проводили обзоры расходов, связанных с биоразнообразием, или аналогичные обзоры;</w:t>
      </w:r>
    </w:p>
    <w:p w14:paraId="39EC1359" w14:textId="4278C1E5" w:rsidR="00B2166C" w:rsidRPr="00265E50" w:rsidRDefault="00C66D21"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t>в</w:t>
      </w:r>
      <w:r w:rsidR="00B2166C">
        <w:t xml:space="preserve"> отношении </w:t>
      </w:r>
      <w:r w:rsidR="00B2166C">
        <w:rPr>
          <w:i/>
          <w:iCs/>
        </w:rPr>
        <w:t>роли коллективных действий коренных народов и местных общин</w:t>
      </w:r>
      <w:r w:rsidR="00B2166C">
        <w:t>: рассмотреть возможность дальнейшего представления отчетности по этому аспекту на добровольной основе для соответствующих и заинтересованных Сторон. В зависимости от используемых методологических подходов и/или достигнутого прогресса в области методологии эти отчетные данные могут быть включены в отчетность по мобилизации внутренних ресурсов, либо представляться отдельно;</w:t>
      </w:r>
    </w:p>
    <w:p w14:paraId="30AF06C3" w14:textId="5011B561" w:rsidR="00B2166C" w:rsidRPr="00E86F4F" w:rsidRDefault="00C66D21" w:rsidP="00C264EE">
      <w:pPr>
        <w:pStyle w:val="aident"/>
        <w:numPr>
          <w:ilvl w:val="0"/>
          <w:numId w:val="2"/>
        </w:numPr>
        <w:suppressLineNumbers/>
        <w:tabs>
          <w:tab w:val="clear" w:pos="1080"/>
        </w:tabs>
        <w:suppressAutoHyphens/>
        <w:kinsoku w:val="0"/>
        <w:overflowPunct w:val="0"/>
        <w:adjustRightInd w:val="0"/>
        <w:snapToGrid w:val="0"/>
        <w:ind w:left="0" w:firstLine="709"/>
        <w:rPr>
          <w:spacing w:val="-1"/>
          <w:kern w:val="22"/>
          <w:szCs w:val="22"/>
        </w:rPr>
      </w:pPr>
      <w:r>
        <w:lastRenderedPageBreak/>
        <w:t>ч</w:t>
      </w:r>
      <w:r w:rsidR="00B2166C">
        <w:t xml:space="preserve">то касается </w:t>
      </w:r>
      <w:r w:rsidR="00B2166C">
        <w:rPr>
          <w:i/>
          <w:iCs/>
        </w:rPr>
        <w:t>национальных планов финансирования или аналогичных инструментов</w:t>
      </w:r>
      <w:r w:rsidR="00B2166C">
        <w:t>: рассмотреть вариант представления информации главным образом о наличии национального плана финансирования или об общем прогрессе в его разработке, вместо подробного мониторинга промежуточных этапов. Этот подход можно дополнить информацией верхнего уровня о национальном плане финансирования и прогрессе в его реализации, например, касающейся установленных в плане целевых задач и результатов их выполнения.</w:t>
      </w:r>
    </w:p>
    <w:p w14:paraId="3B50E27B" w14:textId="6883CA3A" w:rsidR="00B2166C" w:rsidRPr="00447D7C" w:rsidRDefault="00B0002C" w:rsidP="00C264EE">
      <w:pPr>
        <w:pStyle w:val="Paragraphedeliste"/>
        <w:numPr>
          <w:ilvl w:val="0"/>
          <w:numId w:val="25"/>
        </w:numPr>
        <w:tabs>
          <w:tab w:val="clear" w:pos="360"/>
        </w:tabs>
        <w:snapToGrid w:val="0"/>
        <w:spacing w:before="120" w:after="120"/>
        <w:contextualSpacing w:val="0"/>
        <w:rPr>
          <w:spacing w:val="-1"/>
          <w:kern w:val="22"/>
          <w:szCs w:val="22"/>
        </w:rPr>
      </w:pPr>
      <w:r>
        <w:t>Проект решения, содержащийся в рекомендации 3/6 Вспомогательного органа по осуществлению, содержит два (заключенных в скобки) пункта, которые предусматривают межсессионный процесс после 15-го совещания Конференции Сторон для разработки более оптимизированной структуры представления финансовой отчетности (пункты 30 и 31)</w:t>
      </w:r>
      <w:r w:rsidR="00456577" w:rsidRPr="00E86F4F">
        <w:rPr>
          <w:rStyle w:val="Appelnotedebasdep"/>
          <w:spacing w:val="-1"/>
          <w:kern w:val="22"/>
          <w:szCs w:val="22"/>
        </w:rPr>
        <w:footnoteReference w:id="24"/>
      </w:r>
      <w:r>
        <w:t xml:space="preserve">. Если Конференция Сторон примет решение о работе в этом направлении, то извлеченные уроки и </w:t>
      </w:r>
      <w:r w:rsidR="009510BF">
        <w:t xml:space="preserve">указанные выше </w:t>
      </w:r>
      <w:r>
        <w:t xml:space="preserve">варианты с их обновлением по мере необходимости, могут быть представлены такому межсессионному процессу в качестве вклада и основы для дальнейшей работы. </w:t>
      </w:r>
      <w:r w:rsidR="002B73FE">
        <w:t>Кроме того, э</w:t>
      </w:r>
      <w:r>
        <w:t>тот процесс мог бы опираться на методологическую информацию, представленную выше, а также соответствующие оценки группы экспертов по мобилизации ресурсов</w:t>
      </w:r>
      <w:r w:rsidR="0054057E" w:rsidRPr="0086580C">
        <w:rPr>
          <w:rStyle w:val="Appelnotedebasdep"/>
          <w:kern w:val="22"/>
          <w:szCs w:val="22"/>
        </w:rPr>
        <w:footnoteReference w:id="25"/>
      </w:r>
      <w:r>
        <w:t>.</w:t>
      </w:r>
    </w:p>
    <w:p w14:paraId="33E30823" w14:textId="77777777" w:rsidR="00883290" w:rsidRDefault="00883290">
      <w:pPr>
        <w:jc w:val="left"/>
        <w:rPr>
          <w:i/>
          <w:iCs/>
        </w:rPr>
      </w:pPr>
      <w:r>
        <w:br w:type="page"/>
      </w:r>
    </w:p>
    <w:p w14:paraId="589E2EA8" w14:textId="0E4CD062" w:rsidR="00855A78" w:rsidRPr="009A1B5E" w:rsidRDefault="00855A78" w:rsidP="004B34A0">
      <w:pPr>
        <w:keepNext/>
        <w:spacing w:before="120" w:after="120"/>
        <w:jc w:val="center"/>
        <w:outlineLvl w:val="2"/>
        <w:rPr>
          <w:b/>
          <w:i/>
          <w:iCs/>
        </w:rPr>
      </w:pPr>
      <w:r>
        <w:rPr>
          <w:i/>
          <w:iCs/>
        </w:rPr>
        <w:lastRenderedPageBreak/>
        <w:t>Приложение I</w:t>
      </w:r>
    </w:p>
    <w:p w14:paraId="4770D7EB" w14:textId="38CF56EF" w:rsidR="00855A78" w:rsidRPr="008A31B4" w:rsidRDefault="00855A78" w:rsidP="00F22800">
      <w:pPr>
        <w:pStyle w:val="Titre1"/>
        <w:suppressLineNumbers/>
        <w:suppressAutoHyphens/>
        <w:kinsoku w:val="0"/>
        <w:overflowPunct w:val="0"/>
        <w:autoSpaceDE w:val="0"/>
        <w:autoSpaceDN w:val="0"/>
        <w:adjustRightInd w:val="0"/>
        <w:snapToGrid w:val="0"/>
        <w:spacing w:before="120"/>
        <w:rPr>
          <w:snapToGrid w:val="0"/>
          <w:kern w:val="22"/>
          <w:szCs w:val="22"/>
        </w:rPr>
      </w:pPr>
      <w:r>
        <w:rPr>
          <w:snapToGrid w:val="0"/>
          <w:szCs w:val="22"/>
        </w:rPr>
        <w:t>Целевые задачи по мобилизации ресурсов</w:t>
      </w:r>
    </w:p>
    <w:p w14:paraId="4F1839FF" w14:textId="3DF5422A" w:rsidR="00855A78" w:rsidRPr="00B37672" w:rsidRDefault="006E604B" w:rsidP="00F22800">
      <w:pPr>
        <w:suppressLineNumbers/>
        <w:suppressAutoHyphens/>
        <w:kinsoku w:val="0"/>
        <w:overflowPunct w:val="0"/>
        <w:autoSpaceDE w:val="0"/>
        <w:autoSpaceDN w:val="0"/>
        <w:adjustRightInd w:val="0"/>
        <w:snapToGrid w:val="0"/>
        <w:spacing w:before="120" w:after="120"/>
        <w:rPr>
          <w:snapToGrid w:val="0"/>
          <w:kern w:val="22"/>
          <w:szCs w:val="22"/>
        </w:rPr>
      </w:pPr>
      <w:r>
        <w:rPr>
          <w:snapToGrid w:val="0"/>
          <w:szCs w:val="22"/>
        </w:rPr>
        <w:t>1.</w:t>
      </w:r>
      <w:r>
        <w:rPr>
          <w:snapToGrid w:val="0"/>
          <w:szCs w:val="22"/>
        </w:rPr>
        <w:tab/>
      </w:r>
      <w:r>
        <w:t xml:space="preserve">В пункте 1 решения </w:t>
      </w:r>
      <w:hyperlink r:id="rId16" w:history="1">
        <w:r>
          <w:rPr>
            <w:rStyle w:val="Lienhypertexte"/>
            <w:snapToGrid w:val="0"/>
            <w:sz w:val="22"/>
            <w:szCs w:val="22"/>
          </w:rPr>
          <w:t>XII/3</w:t>
        </w:r>
      </w:hyperlink>
      <w:r>
        <w:t xml:space="preserve"> Конференция Сторон вновь подтвердила свою приверженность значительному совокупному увеличению общего объема финансирования, связанного с биоразнообразием, из различных источников для осуществления Стратегического плана в области сохранения и устойчивого использования биоразнообразия на 2011-2020 годы и приняла следующие целевые задачи по мобилизации ресурсов в рамках целевой задачи 20 по сохранению и устойчивому использованию биоразнообразия, принятой в Айти:</w:t>
      </w:r>
    </w:p>
    <w:p w14:paraId="6F75CD7E" w14:textId="77777777" w:rsidR="00855A78" w:rsidRPr="00E9515C" w:rsidRDefault="00855A78" w:rsidP="00A00B84">
      <w:pPr>
        <w:pStyle w:val="aident"/>
        <w:numPr>
          <w:ilvl w:val="0"/>
          <w:numId w:val="31"/>
        </w:numPr>
        <w:suppressLineNumbers/>
        <w:tabs>
          <w:tab w:val="clear" w:pos="1080"/>
        </w:tabs>
        <w:suppressAutoHyphens/>
        <w:kinsoku w:val="0"/>
        <w:overflowPunct w:val="0"/>
        <w:adjustRightInd w:val="0"/>
        <w:snapToGrid w:val="0"/>
        <w:ind w:left="0" w:firstLine="720"/>
        <w:rPr>
          <w:rFonts w:cs="Times New Roman"/>
          <w:kern w:val="22"/>
          <w:szCs w:val="22"/>
        </w:rPr>
      </w:pPr>
      <w:r>
        <w:t>увеличить вдвое к 2015 году совокупный объем международных потоков финансовых ресурсов на цели финансирования биоразнообразия в развивающиеся страны, и в частности в наименее развитые страны и малые островные развивающиеся государства, а также в страны с переходной экономикой, используя в качестве исходного уровня среднегодовое финансирование на цели биоразнообразия в период 2006-2010 годов, и поддерживать этот уровень как минимум до 2020 года в соответствии со статьей 20 Конвенции для оказания содействия достижению трех целей Конвенции, в том числе посредством приоритизации по инициативе самих стран сохранения и устойчивого использования биоразнообразия в планах развития стран-получателей помощи;</w:t>
      </w:r>
    </w:p>
    <w:p w14:paraId="15593D28" w14:textId="77777777" w:rsidR="00855A78" w:rsidRPr="00E9515C"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t>прилагать усилия к обеспечению того, чтобы 100%, но не менее 75%, Сторон включило аспекты биоразнообразия в свои национальные приоритеты или планы развития к 2015 году и предусмотрело поэтому надлежащие внутренние финансовые ресурсы;</w:t>
      </w:r>
    </w:p>
    <w:p w14:paraId="1B8BEE0B" w14:textId="4F9B16B0" w:rsidR="00855A78" w:rsidRPr="00E9515C"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t xml:space="preserve">прилагать усилия к обеспечению того, чтобы 100%, но не менее 75%, Сторон, которым предоставлены адекватные финансовые ресурсы, представили отчетность о внутренних расходах на цели сохранения и устойчивого использования биоразнообразия, а также о потребностях, дефиците и приоритетах финансирования к 2015 году в целях повышения обоснованности исходных </w:t>
      </w:r>
      <w:r w:rsidR="009B155E">
        <w:t>показателей</w:t>
      </w:r>
      <w:r>
        <w:t>;</w:t>
      </w:r>
    </w:p>
    <w:p w14:paraId="6237CC8C" w14:textId="77777777" w:rsidR="00855A78" w:rsidRPr="00B735C6"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t>прилагать усилия к обеспечению того, чтобы 100%, но не менее 75%, Сторон, которым предоставлены адекватные финансовые ресурсы, подготовили национальные планы финансирования биоразнообразия к 2015 году и чтобы 30% из этих Сторон оценило и/или определило внутреннюю, экологическую, генетическую, социально-экономическую, научную, образовательную, культурную, рекреационную и эстетическую ценность биологического разнообразия и его компонентов;</w:t>
      </w:r>
    </w:p>
    <w:p w14:paraId="11AF0BAD" w14:textId="77777777" w:rsidR="00855A78" w:rsidRPr="008A31B4" w:rsidRDefault="00855A78" w:rsidP="00A00B84">
      <w:pPr>
        <w:pStyle w:val="aident"/>
        <w:numPr>
          <w:ilvl w:val="0"/>
          <w:numId w:val="31"/>
        </w:numPr>
        <w:suppressLineNumbers/>
        <w:tabs>
          <w:tab w:val="clear" w:pos="1080"/>
        </w:tabs>
        <w:suppressAutoHyphens/>
        <w:kinsoku w:val="0"/>
        <w:overflowPunct w:val="0"/>
        <w:adjustRightInd w:val="0"/>
        <w:snapToGrid w:val="0"/>
        <w:ind w:left="0" w:firstLine="709"/>
        <w:rPr>
          <w:rFonts w:cs="Times New Roman"/>
          <w:kern w:val="22"/>
          <w:szCs w:val="22"/>
        </w:rPr>
      </w:pPr>
      <w:r>
        <w:t>мобилизовать национальные финансовые ресурсы из всех источников для сокращения пробела между выявленными потребностями и доступными ресурсами на национальном уровне в целях эффективного осуществления к 2020 году национальных стратегий и планов действий Сторон по сохранению биоразнообразия в соответствии со статьей 20;</w:t>
      </w:r>
    </w:p>
    <w:p w14:paraId="035FA625" w14:textId="2333D81B" w:rsidR="00DE0C30" w:rsidRDefault="006E604B" w:rsidP="00B35254">
      <w:pPr>
        <w:suppressLineNumbers/>
        <w:suppressAutoHyphens/>
        <w:kinsoku w:val="0"/>
        <w:overflowPunct w:val="0"/>
        <w:autoSpaceDE w:val="0"/>
        <w:autoSpaceDN w:val="0"/>
        <w:adjustRightInd w:val="0"/>
        <w:snapToGrid w:val="0"/>
        <w:spacing w:before="120" w:after="120"/>
        <w:rPr>
          <w:snapToGrid w:val="0"/>
          <w:kern w:val="22"/>
          <w:szCs w:val="22"/>
        </w:rPr>
      </w:pPr>
      <w:r>
        <w:rPr>
          <w:snapToGrid w:val="0"/>
          <w:szCs w:val="22"/>
        </w:rPr>
        <w:t>2.</w:t>
      </w:r>
      <w:r>
        <w:rPr>
          <w:snapToGrid w:val="0"/>
          <w:szCs w:val="22"/>
        </w:rPr>
        <w:tab/>
        <w:t>В пункте 2 данного решения Конференция Сторон, ссылаясь на статью 20 Конвенции, постановила, что целевые задачи, приведенные выше в подпунктах a) - e), следует рассматривать как взаимодополняющие, и в пункте 4 настоятельно призвала Стороны и другие правительства разработать при поддержке соответствующих международных и региональных организаций свои национальные стратегии мобилизации ресурсов или планы финансирования в соответствии с выявленными потребностями и приоритетами, используя в качестве гибкой структуры вышеупомянутые целевые задачи по мобилизации ресурсов.</w:t>
      </w:r>
    </w:p>
    <w:p w14:paraId="3BD05943" w14:textId="77777777" w:rsidR="00DE0C30" w:rsidRDefault="00DE0C30">
      <w:pPr>
        <w:jc w:val="left"/>
        <w:rPr>
          <w:snapToGrid w:val="0"/>
          <w:kern w:val="22"/>
          <w:szCs w:val="22"/>
        </w:rPr>
      </w:pPr>
      <w:r>
        <w:br w:type="page"/>
      </w:r>
    </w:p>
    <w:p w14:paraId="06400EC2" w14:textId="6E8E113C" w:rsidR="009510BF" w:rsidRDefault="0002739A" w:rsidP="009510BF">
      <w:pPr>
        <w:suppressLineNumbers/>
        <w:suppressAutoHyphens/>
        <w:kinsoku w:val="0"/>
        <w:overflowPunct w:val="0"/>
        <w:autoSpaceDE w:val="0"/>
        <w:autoSpaceDN w:val="0"/>
        <w:adjustRightInd w:val="0"/>
        <w:snapToGrid w:val="0"/>
        <w:jc w:val="center"/>
        <w:rPr>
          <w:rFonts w:asciiTheme="minorHAnsi" w:hAnsiTheme="minorHAnsi"/>
          <w:snapToGrid w:val="0"/>
          <w:szCs w:val="22"/>
        </w:rPr>
      </w:pPr>
      <w:r>
        <w:rPr>
          <w:i/>
          <w:iCs/>
        </w:rPr>
        <w:lastRenderedPageBreak/>
        <w:t>Приложение II</w:t>
      </w:r>
    </w:p>
    <w:p w14:paraId="1EAA14E8" w14:textId="5B3829CD" w:rsidR="0002739A" w:rsidRPr="00591133" w:rsidRDefault="009510BF" w:rsidP="009510BF">
      <w:pPr>
        <w:pStyle w:val="Titre1"/>
        <w:suppressLineNumbers/>
        <w:suppressAutoHyphens/>
        <w:kinsoku w:val="0"/>
        <w:overflowPunct w:val="0"/>
        <w:autoSpaceDE w:val="0"/>
        <w:autoSpaceDN w:val="0"/>
        <w:adjustRightInd w:val="0"/>
        <w:snapToGrid w:val="0"/>
        <w:spacing w:before="120"/>
        <w:rPr>
          <w:i/>
          <w:iCs/>
        </w:rPr>
      </w:pPr>
      <w:r w:rsidRPr="009510BF">
        <w:rPr>
          <w:rFonts w:ascii="Times New Roman Bold" w:hAnsi="Times New Roman Bold"/>
          <w:snapToGrid w:val="0"/>
          <w:kern w:val="22"/>
          <w:szCs w:val="22"/>
          <w:lang w:val="en-GB"/>
        </w:rPr>
        <w:t xml:space="preserve">Страновые коэффициенты (предстАвленные данные о ежегодных международных потоках, поделенные на представленный исходный уровень) </w:t>
      </w:r>
    </w:p>
    <w:tbl>
      <w:tblPr>
        <w:tblStyle w:val="Grilledutableau"/>
        <w:tblW w:w="0" w:type="auto"/>
        <w:tblLook w:val="04A0" w:firstRow="1" w:lastRow="0" w:firstColumn="1" w:lastColumn="0" w:noHBand="0" w:noVBand="1"/>
      </w:tblPr>
      <w:tblGrid>
        <w:gridCol w:w="1892"/>
        <w:gridCol w:w="1789"/>
        <w:gridCol w:w="709"/>
        <w:gridCol w:w="850"/>
        <w:gridCol w:w="870"/>
        <w:gridCol w:w="1098"/>
        <w:gridCol w:w="1098"/>
        <w:gridCol w:w="1160"/>
      </w:tblGrid>
      <w:tr w:rsidR="009510BF" w:rsidRPr="00FB5EB6" w14:paraId="78D7E19C" w14:textId="77777777" w:rsidTr="009510BF">
        <w:trPr>
          <w:trHeight w:val="290"/>
        </w:trPr>
        <w:tc>
          <w:tcPr>
            <w:tcW w:w="1892" w:type="dxa"/>
            <w:noWrap/>
            <w:hideMark/>
          </w:tcPr>
          <w:p w14:paraId="610FFC35" w14:textId="4B62AAEC" w:rsidR="009510BF" w:rsidRPr="00FB5EB6" w:rsidRDefault="009510BF" w:rsidP="00834454">
            <w:pPr>
              <w:jc w:val="left"/>
              <w:rPr>
                <w:rFonts w:asciiTheme="majorBidi" w:hAnsiTheme="majorBidi" w:cstheme="majorBidi"/>
                <w:sz w:val="20"/>
                <w:szCs w:val="20"/>
                <w:lang w:eastAsia="zh-CN"/>
              </w:rPr>
            </w:pPr>
            <w:r w:rsidRPr="009510BF">
              <w:rPr>
                <w:rFonts w:asciiTheme="majorBidi" w:hAnsiTheme="majorBidi" w:cstheme="majorBidi"/>
                <w:sz w:val="20"/>
                <w:szCs w:val="20"/>
                <w:lang w:eastAsia="zh-CN"/>
              </w:rPr>
              <w:t>Стран</w:t>
            </w:r>
            <w:r>
              <w:rPr>
                <w:rFonts w:asciiTheme="majorBidi" w:hAnsiTheme="majorBidi" w:cstheme="majorBidi"/>
                <w:sz w:val="20"/>
                <w:szCs w:val="20"/>
                <w:lang w:eastAsia="zh-CN"/>
              </w:rPr>
              <w:t>а</w:t>
            </w:r>
            <w:r w:rsidRPr="009510BF">
              <w:rPr>
                <w:rFonts w:asciiTheme="majorBidi" w:hAnsiTheme="majorBidi" w:cstheme="majorBidi"/>
                <w:sz w:val="20"/>
                <w:szCs w:val="20"/>
                <w:lang w:eastAsia="zh-CN"/>
              </w:rPr>
              <w:t>, представивш</w:t>
            </w:r>
            <w:r>
              <w:rPr>
                <w:rFonts w:asciiTheme="majorBidi" w:hAnsiTheme="majorBidi" w:cstheme="majorBidi"/>
                <w:sz w:val="20"/>
                <w:szCs w:val="20"/>
                <w:lang w:eastAsia="zh-CN"/>
              </w:rPr>
              <w:t>ая</w:t>
            </w:r>
            <w:r w:rsidRPr="009510BF">
              <w:rPr>
                <w:rFonts w:asciiTheme="majorBidi" w:hAnsiTheme="majorBidi" w:cstheme="majorBidi"/>
                <w:sz w:val="20"/>
                <w:szCs w:val="20"/>
                <w:lang w:eastAsia="zh-CN"/>
              </w:rPr>
              <w:t xml:space="preserve"> отчетность</w:t>
            </w:r>
          </w:p>
        </w:tc>
        <w:tc>
          <w:tcPr>
            <w:tcW w:w="1789" w:type="dxa"/>
            <w:noWrap/>
            <w:hideMark/>
          </w:tcPr>
          <w:p w14:paraId="3D4B6DB9" w14:textId="38883A1B" w:rsidR="009510BF" w:rsidRPr="00FB5EB6" w:rsidRDefault="009B155E" w:rsidP="009B155E">
            <w:pPr>
              <w:ind w:left="-160"/>
              <w:jc w:val="right"/>
              <w:rPr>
                <w:rFonts w:asciiTheme="majorBidi" w:hAnsiTheme="majorBidi" w:cstheme="majorBidi"/>
                <w:color w:val="000000"/>
                <w:sz w:val="20"/>
                <w:szCs w:val="20"/>
                <w:lang w:eastAsia="zh-CN"/>
              </w:rPr>
            </w:pPr>
            <w:r>
              <w:rPr>
                <w:rFonts w:asciiTheme="majorBidi" w:hAnsiTheme="majorBidi" w:cstheme="majorBidi"/>
                <w:color w:val="000000"/>
                <w:sz w:val="20"/>
                <w:szCs w:val="20"/>
                <w:lang w:eastAsia="zh-CN"/>
              </w:rPr>
              <w:t>Исходный</w:t>
            </w:r>
            <w:r w:rsidR="009510BF" w:rsidRPr="00FB5EB6">
              <w:rPr>
                <w:rFonts w:asciiTheme="majorBidi" w:hAnsiTheme="majorBidi" w:cstheme="majorBidi"/>
                <w:color w:val="000000"/>
                <w:sz w:val="20"/>
                <w:szCs w:val="20"/>
                <w:lang w:eastAsia="zh-CN"/>
              </w:rPr>
              <w:t xml:space="preserve"> уровень</w:t>
            </w:r>
          </w:p>
          <w:p w14:paraId="11BD1E56" w14:textId="791A57E5" w:rsidR="009510BF" w:rsidRPr="00FB5EB6" w:rsidRDefault="009510BF" w:rsidP="00834454">
            <w:pPr>
              <w:jc w:val="right"/>
              <w:rPr>
                <w:rFonts w:asciiTheme="majorBidi" w:hAnsiTheme="majorBidi" w:cstheme="majorBidi"/>
                <w:color w:val="000000"/>
                <w:sz w:val="20"/>
                <w:szCs w:val="20"/>
                <w:lang w:eastAsia="zh-CN"/>
              </w:rPr>
            </w:pPr>
            <w:r w:rsidRPr="009510BF">
              <w:rPr>
                <w:rFonts w:asciiTheme="majorBidi" w:hAnsiTheme="majorBidi" w:cstheme="majorBidi"/>
                <w:color w:val="000000"/>
                <w:sz w:val="20"/>
                <w:szCs w:val="20"/>
                <w:lang w:eastAsia="zh-CN"/>
              </w:rPr>
              <w:t>(в тыс. долл. США)</w:t>
            </w:r>
          </w:p>
        </w:tc>
        <w:tc>
          <w:tcPr>
            <w:tcW w:w="709" w:type="dxa"/>
            <w:noWrap/>
            <w:hideMark/>
          </w:tcPr>
          <w:p w14:paraId="1F4191B3"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2015</w:t>
            </w:r>
          </w:p>
        </w:tc>
        <w:tc>
          <w:tcPr>
            <w:tcW w:w="850" w:type="dxa"/>
            <w:noWrap/>
            <w:hideMark/>
          </w:tcPr>
          <w:p w14:paraId="317F4C4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2016</w:t>
            </w:r>
          </w:p>
        </w:tc>
        <w:tc>
          <w:tcPr>
            <w:tcW w:w="870" w:type="dxa"/>
            <w:noWrap/>
            <w:hideMark/>
          </w:tcPr>
          <w:p w14:paraId="7B9F22B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2017</w:t>
            </w:r>
          </w:p>
        </w:tc>
        <w:tc>
          <w:tcPr>
            <w:tcW w:w="1098" w:type="dxa"/>
            <w:noWrap/>
            <w:hideMark/>
          </w:tcPr>
          <w:p w14:paraId="230423F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2018</w:t>
            </w:r>
          </w:p>
        </w:tc>
        <w:tc>
          <w:tcPr>
            <w:tcW w:w="1098" w:type="dxa"/>
            <w:noWrap/>
            <w:hideMark/>
          </w:tcPr>
          <w:p w14:paraId="70E4B83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2019</w:t>
            </w:r>
          </w:p>
        </w:tc>
        <w:tc>
          <w:tcPr>
            <w:tcW w:w="1160" w:type="dxa"/>
            <w:noWrap/>
            <w:hideMark/>
          </w:tcPr>
          <w:p w14:paraId="117CB92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2020</w:t>
            </w:r>
          </w:p>
        </w:tc>
      </w:tr>
      <w:tr w:rsidR="009510BF" w:rsidRPr="00FB5EB6" w14:paraId="7591593B" w14:textId="77777777" w:rsidTr="009510BF">
        <w:trPr>
          <w:trHeight w:val="290"/>
        </w:trPr>
        <w:tc>
          <w:tcPr>
            <w:tcW w:w="1892" w:type="dxa"/>
            <w:noWrap/>
            <w:hideMark/>
          </w:tcPr>
          <w:p w14:paraId="0CF712B7"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Австралия</w:t>
            </w:r>
          </w:p>
        </w:tc>
        <w:tc>
          <w:tcPr>
            <w:tcW w:w="1789" w:type="dxa"/>
            <w:noWrap/>
            <w:hideMark/>
          </w:tcPr>
          <w:p w14:paraId="7D959F7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162,703</w:t>
            </w:r>
          </w:p>
        </w:tc>
        <w:tc>
          <w:tcPr>
            <w:tcW w:w="709" w:type="dxa"/>
            <w:noWrap/>
            <w:hideMark/>
          </w:tcPr>
          <w:p w14:paraId="70137FC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1.93</w:t>
            </w:r>
          </w:p>
        </w:tc>
        <w:tc>
          <w:tcPr>
            <w:tcW w:w="850" w:type="dxa"/>
            <w:noWrap/>
            <w:hideMark/>
          </w:tcPr>
          <w:p w14:paraId="3719F6B2"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7A19D8D0"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4C9F8EB6"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2032AC5E"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30B5A3B"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72825639" w14:textId="77777777" w:rsidTr="009510BF">
        <w:trPr>
          <w:trHeight w:val="290"/>
        </w:trPr>
        <w:tc>
          <w:tcPr>
            <w:tcW w:w="1892" w:type="dxa"/>
            <w:noWrap/>
            <w:hideMark/>
          </w:tcPr>
          <w:p w14:paraId="6419176E"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Австрия</w:t>
            </w:r>
          </w:p>
        </w:tc>
        <w:tc>
          <w:tcPr>
            <w:tcW w:w="1789" w:type="dxa"/>
            <w:noWrap/>
            <w:hideMark/>
          </w:tcPr>
          <w:p w14:paraId="31A4BF7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18,040</w:t>
            </w:r>
          </w:p>
        </w:tc>
        <w:tc>
          <w:tcPr>
            <w:tcW w:w="709" w:type="dxa"/>
            <w:noWrap/>
            <w:hideMark/>
          </w:tcPr>
          <w:p w14:paraId="1852E0C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1.14</w:t>
            </w:r>
          </w:p>
        </w:tc>
        <w:tc>
          <w:tcPr>
            <w:tcW w:w="850" w:type="dxa"/>
            <w:noWrap/>
            <w:hideMark/>
          </w:tcPr>
          <w:p w14:paraId="3E86C96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1.15</w:t>
            </w:r>
          </w:p>
        </w:tc>
        <w:tc>
          <w:tcPr>
            <w:tcW w:w="870" w:type="dxa"/>
            <w:noWrap/>
            <w:hideMark/>
          </w:tcPr>
          <w:p w14:paraId="53E93F5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1.01</w:t>
            </w:r>
          </w:p>
        </w:tc>
        <w:tc>
          <w:tcPr>
            <w:tcW w:w="1098" w:type="dxa"/>
            <w:noWrap/>
            <w:hideMark/>
          </w:tcPr>
          <w:p w14:paraId="36300563"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1.38</w:t>
            </w:r>
          </w:p>
        </w:tc>
        <w:tc>
          <w:tcPr>
            <w:tcW w:w="1098" w:type="dxa"/>
            <w:noWrap/>
            <w:hideMark/>
          </w:tcPr>
          <w:p w14:paraId="6B4B6873"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3.06</w:t>
            </w:r>
          </w:p>
        </w:tc>
        <w:tc>
          <w:tcPr>
            <w:tcW w:w="1160" w:type="dxa"/>
            <w:noWrap/>
            <w:hideMark/>
          </w:tcPr>
          <w:p w14:paraId="46F2FA8A" w14:textId="77777777" w:rsidR="009510BF" w:rsidRPr="00FB5EB6" w:rsidRDefault="009510BF" w:rsidP="00834454">
            <w:pPr>
              <w:jc w:val="right"/>
              <w:rPr>
                <w:rFonts w:asciiTheme="majorBidi" w:hAnsiTheme="majorBidi" w:cstheme="majorBidi"/>
                <w:color w:val="000000"/>
                <w:sz w:val="20"/>
                <w:szCs w:val="20"/>
                <w:lang w:eastAsia="zh-CN"/>
              </w:rPr>
            </w:pPr>
          </w:p>
        </w:tc>
      </w:tr>
      <w:tr w:rsidR="009510BF" w:rsidRPr="00FB5EB6" w14:paraId="5681B14D" w14:textId="77777777" w:rsidTr="009510BF">
        <w:trPr>
          <w:trHeight w:val="290"/>
        </w:trPr>
        <w:tc>
          <w:tcPr>
            <w:tcW w:w="1892" w:type="dxa"/>
            <w:noWrap/>
            <w:hideMark/>
          </w:tcPr>
          <w:p w14:paraId="0D32BD99"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 xml:space="preserve">Великобритания </w:t>
            </w:r>
          </w:p>
        </w:tc>
        <w:tc>
          <w:tcPr>
            <w:tcW w:w="1789" w:type="dxa"/>
            <w:noWrap/>
            <w:hideMark/>
          </w:tcPr>
          <w:p w14:paraId="6EA057D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133,558</w:t>
            </w:r>
          </w:p>
        </w:tc>
        <w:tc>
          <w:tcPr>
            <w:tcW w:w="709" w:type="dxa"/>
            <w:noWrap/>
            <w:hideMark/>
          </w:tcPr>
          <w:p w14:paraId="1856DB5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2.09</w:t>
            </w:r>
          </w:p>
        </w:tc>
        <w:tc>
          <w:tcPr>
            <w:tcW w:w="850" w:type="dxa"/>
            <w:noWrap/>
            <w:hideMark/>
          </w:tcPr>
          <w:p w14:paraId="5728E1A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1.98</w:t>
            </w:r>
          </w:p>
        </w:tc>
        <w:tc>
          <w:tcPr>
            <w:tcW w:w="870" w:type="dxa"/>
            <w:noWrap/>
            <w:hideMark/>
          </w:tcPr>
          <w:p w14:paraId="5666CAF1"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2.47</w:t>
            </w:r>
          </w:p>
        </w:tc>
        <w:tc>
          <w:tcPr>
            <w:tcW w:w="1098" w:type="dxa"/>
            <w:noWrap/>
            <w:hideMark/>
          </w:tcPr>
          <w:p w14:paraId="40846D9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1.78</w:t>
            </w:r>
          </w:p>
        </w:tc>
        <w:tc>
          <w:tcPr>
            <w:tcW w:w="1098" w:type="dxa"/>
            <w:noWrap/>
            <w:hideMark/>
          </w:tcPr>
          <w:p w14:paraId="336E4015" w14:textId="77777777" w:rsidR="009510BF" w:rsidRPr="00FB5EB6" w:rsidRDefault="009510BF" w:rsidP="00834454">
            <w:pPr>
              <w:jc w:val="right"/>
              <w:rPr>
                <w:rFonts w:asciiTheme="majorBidi" w:hAnsiTheme="majorBidi" w:cstheme="majorBidi"/>
                <w:color w:val="000000"/>
                <w:sz w:val="20"/>
                <w:szCs w:val="20"/>
                <w:lang w:eastAsia="zh-CN"/>
              </w:rPr>
            </w:pPr>
          </w:p>
        </w:tc>
        <w:tc>
          <w:tcPr>
            <w:tcW w:w="1160" w:type="dxa"/>
            <w:noWrap/>
            <w:hideMark/>
          </w:tcPr>
          <w:p w14:paraId="279D3EDF"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2A4821BF" w14:textId="77777777" w:rsidTr="009510BF">
        <w:trPr>
          <w:trHeight w:val="290"/>
        </w:trPr>
        <w:tc>
          <w:tcPr>
            <w:tcW w:w="1892" w:type="dxa"/>
            <w:noWrap/>
            <w:hideMark/>
          </w:tcPr>
          <w:p w14:paraId="487BAAF8"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Венгрия</w:t>
            </w:r>
          </w:p>
        </w:tc>
        <w:tc>
          <w:tcPr>
            <w:tcW w:w="1789" w:type="dxa"/>
            <w:noWrap/>
            <w:hideMark/>
          </w:tcPr>
          <w:p w14:paraId="4B5AB75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31</w:t>
            </w:r>
          </w:p>
        </w:tc>
        <w:tc>
          <w:tcPr>
            <w:tcW w:w="709" w:type="dxa"/>
            <w:noWrap/>
            <w:hideMark/>
          </w:tcPr>
          <w:p w14:paraId="7237ACB6" w14:textId="77777777" w:rsidR="009510BF" w:rsidRPr="00FB5EB6" w:rsidRDefault="009510BF" w:rsidP="00834454">
            <w:pPr>
              <w:ind w:right="1000"/>
              <w:rPr>
                <w:rFonts w:asciiTheme="majorBidi" w:hAnsiTheme="majorBidi" w:cstheme="majorBidi"/>
                <w:color w:val="000000"/>
                <w:sz w:val="20"/>
                <w:szCs w:val="20"/>
                <w:lang w:eastAsia="zh-CN"/>
              </w:rPr>
            </w:pPr>
          </w:p>
        </w:tc>
        <w:tc>
          <w:tcPr>
            <w:tcW w:w="850" w:type="dxa"/>
            <w:noWrap/>
            <w:hideMark/>
          </w:tcPr>
          <w:p w14:paraId="5CE9BFD8"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0E71B9E2"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3BF4C29B"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37DA944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0.97</w:t>
            </w:r>
          </w:p>
        </w:tc>
        <w:tc>
          <w:tcPr>
            <w:tcW w:w="1160" w:type="dxa"/>
            <w:noWrap/>
            <w:hideMark/>
          </w:tcPr>
          <w:p w14:paraId="5777CED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2.81</w:t>
            </w:r>
          </w:p>
        </w:tc>
      </w:tr>
      <w:tr w:rsidR="009510BF" w:rsidRPr="00FB5EB6" w14:paraId="5B205CDC" w14:textId="77777777" w:rsidTr="009510BF">
        <w:trPr>
          <w:trHeight w:val="290"/>
        </w:trPr>
        <w:tc>
          <w:tcPr>
            <w:tcW w:w="1892" w:type="dxa"/>
            <w:noWrap/>
            <w:hideMark/>
          </w:tcPr>
          <w:p w14:paraId="2C4362F8"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Германия</w:t>
            </w:r>
          </w:p>
        </w:tc>
        <w:tc>
          <w:tcPr>
            <w:tcW w:w="1789" w:type="dxa"/>
            <w:noWrap/>
            <w:hideMark/>
          </w:tcPr>
          <w:p w14:paraId="3038A1F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266,815</w:t>
            </w:r>
          </w:p>
        </w:tc>
        <w:tc>
          <w:tcPr>
            <w:tcW w:w="709" w:type="dxa"/>
            <w:noWrap/>
            <w:hideMark/>
          </w:tcPr>
          <w:p w14:paraId="07AAE48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2.24</w:t>
            </w:r>
          </w:p>
        </w:tc>
        <w:tc>
          <w:tcPr>
            <w:tcW w:w="850" w:type="dxa"/>
            <w:noWrap/>
            <w:hideMark/>
          </w:tcPr>
          <w:p w14:paraId="420D569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2.38</w:t>
            </w:r>
          </w:p>
        </w:tc>
        <w:tc>
          <w:tcPr>
            <w:tcW w:w="870" w:type="dxa"/>
            <w:noWrap/>
            <w:hideMark/>
          </w:tcPr>
          <w:p w14:paraId="14C0F43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2.27</w:t>
            </w:r>
          </w:p>
        </w:tc>
        <w:tc>
          <w:tcPr>
            <w:tcW w:w="1098" w:type="dxa"/>
            <w:noWrap/>
            <w:hideMark/>
          </w:tcPr>
          <w:p w14:paraId="4965D5B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2.14</w:t>
            </w:r>
          </w:p>
        </w:tc>
        <w:tc>
          <w:tcPr>
            <w:tcW w:w="1098" w:type="dxa"/>
            <w:noWrap/>
            <w:hideMark/>
          </w:tcPr>
          <w:p w14:paraId="62C5CC3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3.29</w:t>
            </w:r>
          </w:p>
        </w:tc>
        <w:tc>
          <w:tcPr>
            <w:tcW w:w="1160" w:type="dxa"/>
            <w:noWrap/>
            <w:hideMark/>
          </w:tcPr>
          <w:p w14:paraId="59382CE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3.48</w:t>
            </w:r>
          </w:p>
        </w:tc>
      </w:tr>
      <w:tr w:rsidR="009510BF" w:rsidRPr="00FB5EB6" w14:paraId="1A1CE568" w14:textId="77777777" w:rsidTr="009510BF">
        <w:trPr>
          <w:trHeight w:val="290"/>
        </w:trPr>
        <w:tc>
          <w:tcPr>
            <w:tcW w:w="1892" w:type="dxa"/>
            <w:noWrap/>
            <w:hideMark/>
          </w:tcPr>
          <w:p w14:paraId="039738D2"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Греция</w:t>
            </w:r>
          </w:p>
        </w:tc>
        <w:tc>
          <w:tcPr>
            <w:tcW w:w="1789" w:type="dxa"/>
            <w:noWrap/>
            <w:hideMark/>
          </w:tcPr>
          <w:p w14:paraId="5B6B7C0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3,839</w:t>
            </w:r>
          </w:p>
        </w:tc>
        <w:tc>
          <w:tcPr>
            <w:tcW w:w="709" w:type="dxa"/>
            <w:noWrap/>
            <w:hideMark/>
          </w:tcPr>
          <w:p w14:paraId="4582B53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0.08</w:t>
            </w:r>
          </w:p>
        </w:tc>
        <w:tc>
          <w:tcPr>
            <w:tcW w:w="850" w:type="dxa"/>
            <w:noWrap/>
            <w:hideMark/>
          </w:tcPr>
          <w:p w14:paraId="426E1B07"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150FA98C"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14E816B6"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26BBF619"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13DCD67B"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4990C137" w14:textId="77777777" w:rsidTr="009510BF">
        <w:trPr>
          <w:trHeight w:val="290"/>
        </w:trPr>
        <w:tc>
          <w:tcPr>
            <w:tcW w:w="1892" w:type="dxa"/>
            <w:noWrap/>
            <w:hideMark/>
          </w:tcPr>
          <w:p w14:paraId="61998D83"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Дания</w:t>
            </w:r>
          </w:p>
        </w:tc>
        <w:tc>
          <w:tcPr>
            <w:tcW w:w="1789" w:type="dxa"/>
            <w:noWrap/>
            <w:hideMark/>
          </w:tcPr>
          <w:p w14:paraId="5AD6C66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107,000</w:t>
            </w:r>
          </w:p>
        </w:tc>
        <w:tc>
          <w:tcPr>
            <w:tcW w:w="709" w:type="dxa"/>
            <w:noWrap/>
            <w:hideMark/>
          </w:tcPr>
          <w:p w14:paraId="7C86929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0.91</w:t>
            </w:r>
          </w:p>
        </w:tc>
        <w:tc>
          <w:tcPr>
            <w:tcW w:w="850" w:type="dxa"/>
            <w:noWrap/>
            <w:hideMark/>
          </w:tcPr>
          <w:p w14:paraId="51B2B300"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0.39</w:t>
            </w:r>
          </w:p>
        </w:tc>
        <w:tc>
          <w:tcPr>
            <w:tcW w:w="870" w:type="dxa"/>
            <w:noWrap/>
            <w:hideMark/>
          </w:tcPr>
          <w:p w14:paraId="4F89E27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0.56</w:t>
            </w:r>
          </w:p>
        </w:tc>
        <w:tc>
          <w:tcPr>
            <w:tcW w:w="1098" w:type="dxa"/>
            <w:noWrap/>
            <w:hideMark/>
          </w:tcPr>
          <w:p w14:paraId="77C2A6E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0.90</w:t>
            </w:r>
          </w:p>
        </w:tc>
        <w:tc>
          <w:tcPr>
            <w:tcW w:w="1098" w:type="dxa"/>
            <w:noWrap/>
            <w:hideMark/>
          </w:tcPr>
          <w:p w14:paraId="018AEA4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0.11</w:t>
            </w:r>
          </w:p>
        </w:tc>
        <w:tc>
          <w:tcPr>
            <w:tcW w:w="1160" w:type="dxa"/>
            <w:noWrap/>
            <w:hideMark/>
          </w:tcPr>
          <w:p w14:paraId="494A7C56" w14:textId="77777777" w:rsidR="009510BF" w:rsidRPr="00FB5EB6" w:rsidRDefault="009510BF" w:rsidP="00834454">
            <w:pPr>
              <w:jc w:val="right"/>
              <w:rPr>
                <w:rFonts w:asciiTheme="majorBidi" w:hAnsiTheme="majorBidi" w:cstheme="majorBidi"/>
                <w:color w:val="000000"/>
                <w:sz w:val="20"/>
                <w:szCs w:val="20"/>
                <w:lang w:eastAsia="zh-CN"/>
              </w:rPr>
            </w:pPr>
          </w:p>
        </w:tc>
      </w:tr>
      <w:tr w:rsidR="009510BF" w:rsidRPr="00FB5EB6" w14:paraId="0C3A7515" w14:textId="77777777" w:rsidTr="009510BF">
        <w:trPr>
          <w:trHeight w:val="290"/>
        </w:trPr>
        <w:tc>
          <w:tcPr>
            <w:tcW w:w="1892" w:type="dxa"/>
            <w:noWrap/>
            <w:hideMark/>
          </w:tcPr>
          <w:p w14:paraId="51513558"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Европейский Союз</w:t>
            </w:r>
          </w:p>
        </w:tc>
        <w:tc>
          <w:tcPr>
            <w:tcW w:w="1789" w:type="dxa"/>
            <w:noWrap/>
            <w:hideMark/>
          </w:tcPr>
          <w:p w14:paraId="33784D0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226,237</w:t>
            </w:r>
          </w:p>
        </w:tc>
        <w:tc>
          <w:tcPr>
            <w:tcW w:w="709" w:type="dxa"/>
            <w:noWrap/>
            <w:hideMark/>
          </w:tcPr>
          <w:p w14:paraId="2930F4F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1.64</w:t>
            </w:r>
          </w:p>
        </w:tc>
        <w:tc>
          <w:tcPr>
            <w:tcW w:w="850" w:type="dxa"/>
            <w:noWrap/>
            <w:hideMark/>
          </w:tcPr>
          <w:p w14:paraId="5633851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1.91</w:t>
            </w:r>
          </w:p>
        </w:tc>
        <w:tc>
          <w:tcPr>
            <w:tcW w:w="870" w:type="dxa"/>
            <w:noWrap/>
            <w:hideMark/>
          </w:tcPr>
          <w:p w14:paraId="1186CFB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3.90</w:t>
            </w:r>
          </w:p>
        </w:tc>
        <w:tc>
          <w:tcPr>
            <w:tcW w:w="1098" w:type="dxa"/>
            <w:noWrap/>
            <w:hideMark/>
          </w:tcPr>
          <w:p w14:paraId="7BDBE7C3"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3.91</w:t>
            </w:r>
          </w:p>
        </w:tc>
        <w:tc>
          <w:tcPr>
            <w:tcW w:w="1098" w:type="dxa"/>
            <w:noWrap/>
            <w:hideMark/>
          </w:tcPr>
          <w:p w14:paraId="3E5711D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3.50</w:t>
            </w:r>
          </w:p>
        </w:tc>
        <w:tc>
          <w:tcPr>
            <w:tcW w:w="1160" w:type="dxa"/>
            <w:noWrap/>
            <w:hideMark/>
          </w:tcPr>
          <w:p w14:paraId="2D540B1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2.29</w:t>
            </w:r>
          </w:p>
        </w:tc>
      </w:tr>
      <w:tr w:rsidR="009510BF" w:rsidRPr="00FB5EB6" w14:paraId="52D439D8" w14:textId="77777777" w:rsidTr="009510BF">
        <w:trPr>
          <w:trHeight w:val="290"/>
        </w:trPr>
        <w:tc>
          <w:tcPr>
            <w:tcW w:w="1892" w:type="dxa"/>
            <w:noWrap/>
            <w:hideMark/>
          </w:tcPr>
          <w:p w14:paraId="39AA668B"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Испания</w:t>
            </w:r>
          </w:p>
        </w:tc>
        <w:tc>
          <w:tcPr>
            <w:tcW w:w="1789" w:type="dxa"/>
            <w:noWrap/>
            <w:hideMark/>
          </w:tcPr>
          <w:p w14:paraId="592CBA03"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69,409</w:t>
            </w:r>
          </w:p>
        </w:tc>
        <w:tc>
          <w:tcPr>
            <w:tcW w:w="709" w:type="dxa"/>
            <w:noWrap/>
            <w:hideMark/>
          </w:tcPr>
          <w:p w14:paraId="23E8E4E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0.40</w:t>
            </w:r>
          </w:p>
        </w:tc>
        <w:tc>
          <w:tcPr>
            <w:tcW w:w="850" w:type="dxa"/>
            <w:noWrap/>
            <w:hideMark/>
          </w:tcPr>
          <w:p w14:paraId="38A317C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0.47</w:t>
            </w:r>
          </w:p>
        </w:tc>
        <w:tc>
          <w:tcPr>
            <w:tcW w:w="870" w:type="dxa"/>
            <w:noWrap/>
            <w:hideMark/>
          </w:tcPr>
          <w:p w14:paraId="63D462F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0.46</w:t>
            </w:r>
          </w:p>
        </w:tc>
        <w:tc>
          <w:tcPr>
            <w:tcW w:w="1098" w:type="dxa"/>
            <w:noWrap/>
            <w:hideMark/>
          </w:tcPr>
          <w:p w14:paraId="65E6967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0.54</w:t>
            </w:r>
          </w:p>
        </w:tc>
        <w:tc>
          <w:tcPr>
            <w:tcW w:w="1098" w:type="dxa"/>
            <w:noWrap/>
            <w:hideMark/>
          </w:tcPr>
          <w:p w14:paraId="5A275E8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1.27</w:t>
            </w:r>
          </w:p>
        </w:tc>
        <w:tc>
          <w:tcPr>
            <w:tcW w:w="1160" w:type="dxa"/>
            <w:noWrap/>
            <w:hideMark/>
          </w:tcPr>
          <w:p w14:paraId="336207DB" w14:textId="77777777" w:rsidR="009510BF" w:rsidRPr="00FB5EB6" w:rsidRDefault="009510BF" w:rsidP="00834454">
            <w:pPr>
              <w:jc w:val="right"/>
              <w:rPr>
                <w:rFonts w:asciiTheme="majorBidi" w:hAnsiTheme="majorBidi" w:cstheme="majorBidi"/>
                <w:color w:val="000000"/>
                <w:sz w:val="20"/>
                <w:szCs w:val="20"/>
                <w:lang w:eastAsia="zh-CN"/>
              </w:rPr>
            </w:pPr>
          </w:p>
        </w:tc>
      </w:tr>
      <w:tr w:rsidR="009510BF" w:rsidRPr="00FB5EB6" w14:paraId="01D78F89" w14:textId="77777777" w:rsidTr="009510BF">
        <w:trPr>
          <w:trHeight w:val="290"/>
        </w:trPr>
        <w:tc>
          <w:tcPr>
            <w:tcW w:w="1892" w:type="dxa"/>
            <w:noWrap/>
            <w:hideMark/>
          </w:tcPr>
          <w:p w14:paraId="32BBF2C7"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Италия</w:t>
            </w:r>
          </w:p>
        </w:tc>
        <w:tc>
          <w:tcPr>
            <w:tcW w:w="1789" w:type="dxa"/>
            <w:noWrap/>
            <w:hideMark/>
          </w:tcPr>
          <w:p w14:paraId="6F5D97E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27,314</w:t>
            </w:r>
          </w:p>
        </w:tc>
        <w:tc>
          <w:tcPr>
            <w:tcW w:w="709" w:type="dxa"/>
            <w:noWrap/>
            <w:hideMark/>
          </w:tcPr>
          <w:p w14:paraId="749A64E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1.49</w:t>
            </w:r>
          </w:p>
        </w:tc>
        <w:tc>
          <w:tcPr>
            <w:tcW w:w="850" w:type="dxa"/>
            <w:noWrap/>
            <w:hideMark/>
          </w:tcPr>
          <w:p w14:paraId="621E751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1.61</w:t>
            </w:r>
          </w:p>
        </w:tc>
        <w:tc>
          <w:tcPr>
            <w:tcW w:w="870" w:type="dxa"/>
            <w:noWrap/>
            <w:hideMark/>
          </w:tcPr>
          <w:p w14:paraId="457EFEF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2.80</w:t>
            </w:r>
          </w:p>
        </w:tc>
        <w:tc>
          <w:tcPr>
            <w:tcW w:w="1098" w:type="dxa"/>
            <w:noWrap/>
            <w:hideMark/>
          </w:tcPr>
          <w:p w14:paraId="340772F7" w14:textId="77777777" w:rsidR="009510BF" w:rsidRPr="00FB5EB6" w:rsidRDefault="009510BF" w:rsidP="00834454">
            <w:pPr>
              <w:jc w:val="right"/>
              <w:rPr>
                <w:rFonts w:asciiTheme="majorBidi" w:hAnsiTheme="majorBidi" w:cstheme="majorBidi"/>
                <w:color w:val="000000"/>
                <w:sz w:val="20"/>
                <w:szCs w:val="20"/>
                <w:lang w:eastAsia="zh-CN"/>
              </w:rPr>
            </w:pPr>
          </w:p>
        </w:tc>
        <w:tc>
          <w:tcPr>
            <w:tcW w:w="1098" w:type="dxa"/>
            <w:noWrap/>
            <w:hideMark/>
          </w:tcPr>
          <w:p w14:paraId="1CD23A89"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481C5437"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1AD342BD" w14:textId="77777777" w:rsidTr="009510BF">
        <w:trPr>
          <w:trHeight w:val="290"/>
        </w:trPr>
        <w:tc>
          <w:tcPr>
            <w:tcW w:w="1892" w:type="dxa"/>
            <w:noWrap/>
            <w:hideMark/>
          </w:tcPr>
          <w:p w14:paraId="45AA2E2C"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Канада</w:t>
            </w:r>
          </w:p>
        </w:tc>
        <w:tc>
          <w:tcPr>
            <w:tcW w:w="1789" w:type="dxa"/>
            <w:noWrap/>
            <w:hideMark/>
          </w:tcPr>
          <w:p w14:paraId="2CBA18B1"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77,160</w:t>
            </w:r>
          </w:p>
        </w:tc>
        <w:tc>
          <w:tcPr>
            <w:tcW w:w="709" w:type="dxa"/>
            <w:noWrap/>
            <w:hideMark/>
          </w:tcPr>
          <w:p w14:paraId="7A520C73"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1.00</w:t>
            </w:r>
          </w:p>
        </w:tc>
        <w:tc>
          <w:tcPr>
            <w:tcW w:w="850" w:type="dxa"/>
            <w:noWrap/>
            <w:hideMark/>
          </w:tcPr>
          <w:p w14:paraId="38B482E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0.61</w:t>
            </w:r>
          </w:p>
        </w:tc>
        <w:tc>
          <w:tcPr>
            <w:tcW w:w="870" w:type="dxa"/>
            <w:noWrap/>
            <w:hideMark/>
          </w:tcPr>
          <w:p w14:paraId="000F8E5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0.60</w:t>
            </w:r>
          </w:p>
        </w:tc>
        <w:tc>
          <w:tcPr>
            <w:tcW w:w="1098" w:type="dxa"/>
            <w:noWrap/>
            <w:hideMark/>
          </w:tcPr>
          <w:p w14:paraId="6FD4B469" w14:textId="77777777" w:rsidR="009510BF" w:rsidRPr="00FB5EB6" w:rsidRDefault="009510BF" w:rsidP="00834454">
            <w:pPr>
              <w:jc w:val="right"/>
              <w:rPr>
                <w:rFonts w:asciiTheme="majorBidi" w:hAnsiTheme="majorBidi" w:cstheme="majorBidi"/>
                <w:color w:val="000000"/>
                <w:sz w:val="20"/>
                <w:szCs w:val="20"/>
                <w:lang w:eastAsia="zh-CN"/>
              </w:rPr>
            </w:pPr>
          </w:p>
        </w:tc>
        <w:tc>
          <w:tcPr>
            <w:tcW w:w="1098" w:type="dxa"/>
            <w:noWrap/>
            <w:hideMark/>
          </w:tcPr>
          <w:p w14:paraId="4E1A164F"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9D6A70B"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753F1AF9" w14:textId="77777777" w:rsidTr="009510BF">
        <w:trPr>
          <w:trHeight w:val="290"/>
        </w:trPr>
        <w:tc>
          <w:tcPr>
            <w:tcW w:w="1892" w:type="dxa"/>
            <w:noWrap/>
            <w:hideMark/>
          </w:tcPr>
          <w:p w14:paraId="35B41C29"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Китай</w:t>
            </w:r>
          </w:p>
        </w:tc>
        <w:tc>
          <w:tcPr>
            <w:tcW w:w="1789" w:type="dxa"/>
            <w:noWrap/>
            <w:hideMark/>
          </w:tcPr>
          <w:p w14:paraId="59A9200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600</w:t>
            </w:r>
          </w:p>
        </w:tc>
        <w:tc>
          <w:tcPr>
            <w:tcW w:w="709" w:type="dxa"/>
            <w:noWrap/>
            <w:hideMark/>
          </w:tcPr>
          <w:p w14:paraId="483E327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10.83</w:t>
            </w:r>
          </w:p>
        </w:tc>
        <w:tc>
          <w:tcPr>
            <w:tcW w:w="850" w:type="dxa"/>
            <w:noWrap/>
            <w:hideMark/>
          </w:tcPr>
          <w:p w14:paraId="1522C01F"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71312446"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0549886B"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7103356E"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23259E85"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2C7D6E0E" w14:textId="77777777" w:rsidTr="009510BF">
        <w:trPr>
          <w:trHeight w:val="290"/>
        </w:trPr>
        <w:tc>
          <w:tcPr>
            <w:tcW w:w="1892" w:type="dxa"/>
            <w:noWrap/>
            <w:hideMark/>
          </w:tcPr>
          <w:p w14:paraId="10FAA750"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Латвия</w:t>
            </w:r>
          </w:p>
        </w:tc>
        <w:tc>
          <w:tcPr>
            <w:tcW w:w="1789" w:type="dxa"/>
            <w:noWrap/>
            <w:hideMark/>
          </w:tcPr>
          <w:p w14:paraId="7AF16E6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54</w:t>
            </w:r>
          </w:p>
        </w:tc>
        <w:tc>
          <w:tcPr>
            <w:tcW w:w="709" w:type="dxa"/>
            <w:noWrap/>
            <w:hideMark/>
          </w:tcPr>
          <w:p w14:paraId="1B25EE3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4.11</w:t>
            </w:r>
          </w:p>
        </w:tc>
        <w:tc>
          <w:tcPr>
            <w:tcW w:w="850" w:type="dxa"/>
            <w:noWrap/>
            <w:hideMark/>
          </w:tcPr>
          <w:p w14:paraId="19308AD3"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764A8822"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24556522"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7B1588AA"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0428CE42"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24D4E17E" w14:textId="77777777" w:rsidTr="009510BF">
        <w:trPr>
          <w:trHeight w:val="290"/>
        </w:trPr>
        <w:tc>
          <w:tcPr>
            <w:tcW w:w="1892" w:type="dxa"/>
            <w:noWrap/>
            <w:hideMark/>
          </w:tcPr>
          <w:p w14:paraId="62F3CBC7"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Лихтенштейн</w:t>
            </w:r>
          </w:p>
        </w:tc>
        <w:tc>
          <w:tcPr>
            <w:tcW w:w="1789" w:type="dxa"/>
            <w:noWrap/>
            <w:hideMark/>
          </w:tcPr>
          <w:p w14:paraId="3DDD701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22,038</w:t>
            </w:r>
          </w:p>
        </w:tc>
        <w:tc>
          <w:tcPr>
            <w:tcW w:w="709" w:type="dxa"/>
            <w:noWrap/>
            <w:hideMark/>
          </w:tcPr>
          <w:p w14:paraId="7321807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1.10</w:t>
            </w:r>
          </w:p>
        </w:tc>
        <w:tc>
          <w:tcPr>
            <w:tcW w:w="850" w:type="dxa"/>
            <w:noWrap/>
            <w:hideMark/>
          </w:tcPr>
          <w:p w14:paraId="674B115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1.15</w:t>
            </w:r>
          </w:p>
        </w:tc>
        <w:tc>
          <w:tcPr>
            <w:tcW w:w="870" w:type="dxa"/>
            <w:noWrap/>
            <w:hideMark/>
          </w:tcPr>
          <w:p w14:paraId="45E590B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1.21</w:t>
            </w:r>
          </w:p>
        </w:tc>
        <w:tc>
          <w:tcPr>
            <w:tcW w:w="1098" w:type="dxa"/>
            <w:noWrap/>
            <w:hideMark/>
          </w:tcPr>
          <w:p w14:paraId="12EDD9A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1.26</w:t>
            </w:r>
          </w:p>
        </w:tc>
        <w:tc>
          <w:tcPr>
            <w:tcW w:w="1098" w:type="dxa"/>
            <w:noWrap/>
            <w:hideMark/>
          </w:tcPr>
          <w:p w14:paraId="49C4C53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1.21</w:t>
            </w:r>
          </w:p>
        </w:tc>
        <w:tc>
          <w:tcPr>
            <w:tcW w:w="1160" w:type="dxa"/>
            <w:noWrap/>
            <w:hideMark/>
          </w:tcPr>
          <w:p w14:paraId="1CCDF8F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1.17</w:t>
            </w:r>
          </w:p>
        </w:tc>
      </w:tr>
      <w:tr w:rsidR="009510BF" w:rsidRPr="00FB5EB6" w14:paraId="4E94DD8E" w14:textId="77777777" w:rsidTr="009510BF">
        <w:trPr>
          <w:trHeight w:val="290"/>
        </w:trPr>
        <w:tc>
          <w:tcPr>
            <w:tcW w:w="1892" w:type="dxa"/>
            <w:noWrap/>
            <w:hideMark/>
          </w:tcPr>
          <w:p w14:paraId="15DB5660"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Люксембург</w:t>
            </w:r>
          </w:p>
        </w:tc>
        <w:tc>
          <w:tcPr>
            <w:tcW w:w="1789" w:type="dxa"/>
            <w:noWrap/>
            <w:hideMark/>
          </w:tcPr>
          <w:p w14:paraId="1A8D4BD0"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3,348</w:t>
            </w:r>
          </w:p>
        </w:tc>
        <w:tc>
          <w:tcPr>
            <w:tcW w:w="709" w:type="dxa"/>
            <w:noWrap/>
            <w:hideMark/>
          </w:tcPr>
          <w:p w14:paraId="39A2211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2.90</w:t>
            </w:r>
          </w:p>
        </w:tc>
        <w:tc>
          <w:tcPr>
            <w:tcW w:w="850" w:type="dxa"/>
            <w:noWrap/>
            <w:hideMark/>
          </w:tcPr>
          <w:p w14:paraId="1BDD1201"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0B087A3F"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5F467A1B"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2DC758FE"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3ADD36D"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357E6A87" w14:textId="77777777" w:rsidTr="009510BF">
        <w:trPr>
          <w:trHeight w:val="290"/>
        </w:trPr>
        <w:tc>
          <w:tcPr>
            <w:tcW w:w="1892" w:type="dxa"/>
            <w:noWrap/>
            <w:hideMark/>
          </w:tcPr>
          <w:p w14:paraId="40046C13"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Нидерланды</w:t>
            </w:r>
          </w:p>
        </w:tc>
        <w:tc>
          <w:tcPr>
            <w:tcW w:w="1789" w:type="dxa"/>
            <w:noWrap/>
            <w:hideMark/>
          </w:tcPr>
          <w:p w14:paraId="04B2E66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143,445</w:t>
            </w:r>
          </w:p>
        </w:tc>
        <w:tc>
          <w:tcPr>
            <w:tcW w:w="709" w:type="dxa"/>
            <w:noWrap/>
            <w:hideMark/>
          </w:tcPr>
          <w:p w14:paraId="5E3EAF0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0.40</w:t>
            </w:r>
          </w:p>
        </w:tc>
        <w:tc>
          <w:tcPr>
            <w:tcW w:w="850" w:type="dxa"/>
            <w:noWrap/>
            <w:hideMark/>
          </w:tcPr>
          <w:p w14:paraId="25CE5C31"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0.69</w:t>
            </w:r>
          </w:p>
        </w:tc>
        <w:tc>
          <w:tcPr>
            <w:tcW w:w="870" w:type="dxa"/>
            <w:noWrap/>
            <w:hideMark/>
          </w:tcPr>
          <w:p w14:paraId="78B38EC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0.72</w:t>
            </w:r>
          </w:p>
        </w:tc>
        <w:tc>
          <w:tcPr>
            <w:tcW w:w="1098" w:type="dxa"/>
            <w:noWrap/>
            <w:hideMark/>
          </w:tcPr>
          <w:p w14:paraId="1B7A47D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0.93</w:t>
            </w:r>
          </w:p>
        </w:tc>
        <w:tc>
          <w:tcPr>
            <w:tcW w:w="1098" w:type="dxa"/>
            <w:noWrap/>
            <w:hideMark/>
          </w:tcPr>
          <w:p w14:paraId="3D23804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0.84</w:t>
            </w:r>
          </w:p>
        </w:tc>
        <w:tc>
          <w:tcPr>
            <w:tcW w:w="1160" w:type="dxa"/>
            <w:noWrap/>
            <w:hideMark/>
          </w:tcPr>
          <w:p w14:paraId="15FD67A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1.08</w:t>
            </w:r>
          </w:p>
        </w:tc>
      </w:tr>
      <w:tr w:rsidR="009510BF" w:rsidRPr="00FB5EB6" w14:paraId="19290FFA" w14:textId="77777777" w:rsidTr="009510BF">
        <w:trPr>
          <w:trHeight w:val="290"/>
        </w:trPr>
        <w:tc>
          <w:tcPr>
            <w:tcW w:w="1892" w:type="dxa"/>
            <w:noWrap/>
            <w:hideMark/>
          </w:tcPr>
          <w:p w14:paraId="4DC9965B"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Новая Зеландия</w:t>
            </w:r>
          </w:p>
        </w:tc>
        <w:tc>
          <w:tcPr>
            <w:tcW w:w="1789" w:type="dxa"/>
            <w:noWrap/>
            <w:hideMark/>
          </w:tcPr>
          <w:p w14:paraId="499A0EA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16,838</w:t>
            </w:r>
          </w:p>
        </w:tc>
        <w:tc>
          <w:tcPr>
            <w:tcW w:w="709" w:type="dxa"/>
            <w:noWrap/>
            <w:hideMark/>
          </w:tcPr>
          <w:p w14:paraId="3631F91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1.48</w:t>
            </w:r>
          </w:p>
        </w:tc>
        <w:tc>
          <w:tcPr>
            <w:tcW w:w="850" w:type="dxa"/>
            <w:noWrap/>
            <w:hideMark/>
          </w:tcPr>
          <w:p w14:paraId="362D8C9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1.24</w:t>
            </w:r>
          </w:p>
        </w:tc>
        <w:tc>
          <w:tcPr>
            <w:tcW w:w="870" w:type="dxa"/>
            <w:noWrap/>
            <w:hideMark/>
          </w:tcPr>
          <w:p w14:paraId="0C7787A0"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1.22</w:t>
            </w:r>
          </w:p>
        </w:tc>
        <w:tc>
          <w:tcPr>
            <w:tcW w:w="1098" w:type="dxa"/>
            <w:noWrap/>
            <w:hideMark/>
          </w:tcPr>
          <w:p w14:paraId="609AC7E2" w14:textId="77777777" w:rsidR="009510BF" w:rsidRPr="00FB5EB6" w:rsidRDefault="009510BF" w:rsidP="00834454">
            <w:pPr>
              <w:jc w:val="right"/>
              <w:rPr>
                <w:rFonts w:asciiTheme="majorBidi" w:hAnsiTheme="majorBidi" w:cstheme="majorBidi"/>
                <w:color w:val="000000"/>
                <w:sz w:val="20"/>
                <w:szCs w:val="20"/>
                <w:lang w:eastAsia="zh-CN"/>
              </w:rPr>
            </w:pPr>
          </w:p>
        </w:tc>
        <w:tc>
          <w:tcPr>
            <w:tcW w:w="1098" w:type="dxa"/>
            <w:noWrap/>
            <w:hideMark/>
          </w:tcPr>
          <w:p w14:paraId="2CF3233C"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069B917D"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1ECC6E94" w14:textId="77777777" w:rsidTr="009510BF">
        <w:trPr>
          <w:trHeight w:val="290"/>
        </w:trPr>
        <w:tc>
          <w:tcPr>
            <w:tcW w:w="1892" w:type="dxa"/>
            <w:noWrap/>
            <w:hideMark/>
          </w:tcPr>
          <w:p w14:paraId="575699B3"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Норвегия</w:t>
            </w:r>
          </w:p>
        </w:tc>
        <w:tc>
          <w:tcPr>
            <w:tcW w:w="1789" w:type="dxa"/>
            <w:noWrap/>
            <w:hideMark/>
          </w:tcPr>
          <w:p w14:paraId="3053447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117,863</w:t>
            </w:r>
          </w:p>
        </w:tc>
        <w:tc>
          <w:tcPr>
            <w:tcW w:w="709" w:type="dxa"/>
            <w:noWrap/>
            <w:hideMark/>
          </w:tcPr>
          <w:p w14:paraId="05774EC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3.51</w:t>
            </w:r>
          </w:p>
        </w:tc>
        <w:tc>
          <w:tcPr>
            <w:tcW w:w="850" w:type="dxa"/>
            <w:noWrap/>
            <w:hideMark/>
          </w:tcPr>
          <w:p w14:paraId="4D16A45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3.32</w:t>
            </w:r>
          </w:p>
        </w:tc>
        <w:tc>
          <w:tcPr>
            <w:tcW w:w="870" w:type="dxa"/>
            <w:noWrap/>
            <w:hideMark/>
          </w:tcPr>
          <w:p w14:paraId="78ABEC0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3.77</w:t>
            </w:r>
          </w:p>
        </w:tc>
        <w:tc>
          <w:tcPr>
            <w:tcW w:w="1098" w:type="dxa"/>
            <w:noWrap/>
            <w:hideMark/>
          </w:tcPr>
          <w:p w14:paraId="768AD8DA" w14:textId="77777777" w:rsidR="009510BF" w:rsidRPr="00FB5EB6" w:rsidRDefault="009510BF" w:rsidP="00834454">
            <w:pPr>
              <w:jc w:val="right"/>
              <w:rPr>
                <w:rFonts w:asciiTheme="majorBidi" w:hAnsiTheme="majorBidi" w:cstheme="majorBidi"/>
                <w:color w:val="000000"/>
                <w:sz w:val="20"/>
                <w:szCs w:val="20"/>
                <w:lang w:eastAsia="zh-CN"/>
              </w:rPr>
            </w:pPr>
          </w:p>
        </w:tc>
        <w:tc>
          <w:tcPr>
            <w:tcW w:w="1098" w:type="dxa"/>
            <w:noWrap/>
            <w:hideMark/>
          </w:tcPr>
          <w:p w14:paraId="47AE1D67"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7DAADC25"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79ABDE4F" w14:textId="77777777" w:rsidTr="009510BF">
        <w:trPr>
          <w:trHeight w:val="290"/>
        </w:trPr>
        <w:tc>
          <w:tcPr>
            <w:tcW w:w="1892" w:type="dxa"/>
            <w:noWrap/>
            <w:hideMark/>
          </w:tcPr>
          <w:p w14:paraId="23BAF66A"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Польша</w:t>
            </w:r>
          </w:p>
        </w:tc>
        <w:tc>
          <w:tcPr>
            <w:tcW w:w="1789" w:type="dxa"/>
            <w:noWrap/>
            <w:hideMark/>
          </w:tcPr>
          <w:p w14:paraId="568C016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1,497</w:t>
            </w:r>
          </w:p>
        </w:tc>
        <w:tc>
          <w:tcPr>
            <w:tcW w:w="709" w:type="dxa"/>
            <w:noWrap/>
            <w:hideMark/>
          </w:tcPr>
          <w:p w14:paraId="541E651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1.60</w:t>
            </w:r>
          </w:p>
        </w:tc>
        <w:tc>
          <w:tcPr>
            <w:tcW w:w="850" w:type="dxa"/>
            <w:noWrap/>
            <w:hideMark/>
          </w:tcPr>
          <w:p w14:paraId="2D18342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1.66</w:t>
            </w:r>
          </w:p>
        </w:tc>
        <w:tc>
          <w:tcPr>
            <w:tcW w:w="870" w:type="dxa"/>
            <w:noWrap/>
            <w:hideMark/>
          </w:tcPr>
          <w:p w14:paraId="1495F3D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1.73</w:t>
            </w:r>
          </w:p>
        </w:tc>
        <w:tc>
          <w:tcPr>
            <w:tcW w:w="1098" w:type="dxa"/>
            <w:noWrap/>
            <w:hideMark/>
          </w:tcPr>
          <w:p w14:paraId="57B77A7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0.42</w:t>
            </w:r>
          </w:p>
        </w:tc>
        <w:tc>
          <w:tcPr>
            <w:tcW w:w="1098" w:type="dxa"/>
            <w:noWrap/>
            <w:hideMark/>
          </w:tcPr>
          <w:p w14:paraId="34E2AD8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0.86</w:t>
            </w:r>
          </w:p>
        </w:tc>
        <w:tc>
          <w:tcPr>
            <w:tcW w:w="1160" w:type="dxa"/>
            <w:noWrap/>
            <w:hideMark/>
          </w:tcPr>
          <w:p w14:paraId="7728F780" w14:textId="77777777" w:rsidR="009510BF" w:rsidRPr="00FB5EB6" w:rsidRDefault="009510BF" w:rsidP="00834454">
            <w:pPr>
              <w:jc w:val="right"/>
              <w:rPr>
                <w:rFonts w:asciiTheme="majorBidi" w:hAnsiTheme="majorBidi" w:cstheme="majorBidi"/>
                <w:color w:val="000000"/>
                <w:sz w:val="20"/>
                <w:szCs w:val="20"/>
                <w:lang w:eastAsia="zh-CN"/>
              </w:rPr>
            </w:pPr>
          </w:p>
        </w:tc>
      </w:tr>
      <w:tr w:rsidR="009510BF" w:rsidRPr="00FB5EB6" w14:paraId="28797C07" w14:textId="77777777" w:rsidTr="009510BF">
        <w:trPr>
          <w:trHeight w:val="290"/>
        </w:trPr>
        <w:tc>
          <w:tcPr>
            <w:tcW w:w="1892" w:type="dxa"/>
            <w:noWrap/>
            <w:hideMark/>
          </w:tcPr>
          <w:p w14:paraId="517C83CB"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Португалия</w:t>
            </w:r>
          </w:p>
        </w:tc>
        <w:tc>
          <w:tcPr>
            <w:tcW w:w="1789" w:type="dxa"/>
            <w:noWrap/>
            <w:hideMark/>
          </w:tcPr>
          <w:p w14:paraId="30D8EFC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2,446</w:t>
            </w:r>
          </w:p>
        </w:tc>
        <w:tc>
          <w:tcPr>
            <w:tcW w:w="709" w:type="dxa"/>
            <w:noWrap/>
            <w:hideMark/>
          </w:tcPr>
          <w:p w14:paraId="0D73170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0.49</w:t>
            </w:r>
          </w:p>
        </w:tc>
        <w:tc>
          <w:tcPr>
            <w:tcW w:w="850" w:type="dxa"/>
            <w:noWrap/>
            <w:hideMark/>
          </w:tcPr>
          <w:p w14:paraId="134860A9"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5AB0EE70"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50B81D9F"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42553BEC"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AE89A6F"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725D160A" w14:textId="77777777" w:rsidTr="009510BF">
        <w:trPr>
          <w:trHeight w:val="290"/>
        </w:trPr>
        <w:tc>
          <w:tcPr>
            <w:tcW w:w="1892" w:type="dxa"/>
            <w:noWrap/>
            <w:hideMark/>
          </w:tcPr>
          <w:p w14:paraId="5797DB01"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Республика Корея</w:t>
            </w:r>
          </w:p>
        </w:tc>
        <w:tc>
          <w:tcPr>
            <w:tcW w:w="1789" w:type="dxa"/>
            <w:noWrap/>
            <w:hideMark/>
          </w:tcPr>
          <w:p w14:paraId="77B9939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13,283</w:t>
            </w:r>
          </w:p>
        </w:tc>
        <w:tc>
          <w:tcPr>
            <w:tcW w:w="709" w:type="dxa"/>
            <w:noWrap/>
            <w:hideMark/>
          </w:tcPr>
          <w:p w14:paraId="256127EF" w14:textId="77777777" w:rsidR="009510BF" w:rsidRPr="00FB5EB6" w:rsidRDefault="009510BF" w:rsidP="00834454">
            <w:pPr>
              <w:jc w:val="right"/>
              <w:rPr>
                <w:rFonts w:asciiTheme="majorBidi" w:hAnsiTheme="majorBidi" w:cstheme="majorBidi"/>
                <w:color w:val="000000"/>
                <w:sz w:val="20"/>
                <w:szCs w:val="20"/>
                <w:lang w:eastAsia="zh-CN"/>
              </w:rPr>
            </w:pPr>
          </w:p>
        </w:tc>
        <w:tc>
          <w:tcPr>
            <w:tcW w:w="850" w:type="dxa"/>
            <w:noWrap/>
            <w:hideMark/>
          </w:tcPr>
          <w:p w14:paraId="1B45C85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2.36</w:t>
            </w:r>
          </w:p>
        </w:tc>
        <w:tc>
          <w:tcPr>
            <w:tcW w:w="870" w:type="dxa"/>
            <w:noWrap/>
            <w:hideMark/>
          </w:tcPr>
          <w:p w14:paraId="5F230373" w14:textId="77777777" w:rsidR="009510BF" w:rsidRPr="00FB5EB6" w:rsidRDefault="009510BF" w:rsidP="00834454">
            <w:pPr>
              <w:jc w:val="right"/>
              <w:rPr>
                <w:rFonts w:asciiTheme="majorBidi" w:hAnsiTheme="majorBidi" w:cstheme="majorBidi"/>
                <w:color w:val="000000"/>
                <w:sz w:val="20"/>
                <w:szCs w:val="20"/>
                <w:lang w:eastAsia="zh-CN"/>
              </w:rPr>
            </w:pPr>
          </w:p>
        </w:tc>
        <w:tc>
          <w:tcPr>
            <w:tcW w:w="1098" w:type="dxa"/>
            <w:noWrap/>
            <w:hideMark/>
          </w:tcPr>
          <w:p w14:paraId="5D4830D0"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358573D4"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BB964CE"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193D9F4E" w14:textId="77777777" w:rsidTr="009510BF">
        <w:trPr>
          <w:trHeight w:val="290"/>
        </w:trPr>
        <w:tc>
          <w:tcPr>
            <w:tcW w:w="1892" w:type="dxa"/>
            <w:noWrap/>
            <w:hideMark/>
          </w:tcPr>
          <w:p w14:paraId="78236A5A"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Словения</w:t>
            </w:r>
          </w:p>
        </w:tc>
        <w:tc>
          <w:tcPr>
            <w:tcW w:w="1789" w:type="dxa"/>
            <w:noWrap/>
            <w:hideMark/>
          </w:tcPr>
          <w:p w14:paraId="01B3EE1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528</w:t>
            </w:r>
          </w:p>
        </w:tc>
        <w:tc>
          <w:tcPr>
            <w:tcW w:w="709" w:type="dxa"/>
            <w:noWrap/>
            <w:hideMark/>
          </w:tcPr>
          <w:p w14:paraId="6EC2AC4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0.56</w:t>
            </w:r>
          </w:p>
        </w:tc>
        <w:tc>
          <w:tcPr>
            <w:tcW w:w="850" w:type="dxa"/>
            <w:noWrap/>
            <w:hideMark/>
          </w:tcPr>
          <w:p w14:paraId="3D57B5D3"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68E739A4"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099B2831"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20618A96"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90E6B77"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6DA8292A" w14:textId="77777777" w:rsidTr="009510BF">
        <w:trPr>
          <w:trHeight w:val="290"/>
        </w:trPr>
        <w:tc>
          <w:tcPr>
            <w:tcW w:w="1892" w:type="dxa"/>
            <w:noWrap/>
            <w:hideMark/>
          </w:tcPr>
          <w:p w14:paraId="6C153C77"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Финляндия</w:t>
            </w:r>
          </w:p>
        </w:tc>
        <w:tc>
          <w:tcPr>
            <w:tcW w:w="1789" w:type="dxa"/>
            <w:noWrap/>
            <w:hideMark/>
          </w:tcPr>
          <w:p w14:paraId="05BD85D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19,945</w:t>
            </w:r>
          </w:p>
        </w:tc>
        <w:tc>
          <w:tcPr>
            <w:tcW w:w="709" w:type="dxa"/>
            <w:noWrap/>
            <w:hideMark/>
          </w:tcPr>
          <w:p w14:paraId="52C520A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1.31</w:t>
            </w:r>
          </w:p>
        </w:tc>
        <w:tc>
          <w:tcPr>
            <w:tcW w:w="850" w:type="dxa"/>
            <w:noWrap/>
            <w:hideMark/>
          </w:tcPr>
          <w:p w14:paraId="6F82E821"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0.69</w:t>
            </w:r>
          </w:p>
        </w:tc>
        <w:tc>
          <w:tcPr>
            <w:tcW w:w="870" w:type="dxa"/>
            <w:noWrap/>
            <w:hideMark/>
          </w:tcPr>
          <w:p w14:paraId="0C103A0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0.46</w:t>
            </w:r>
          </w:p>
        </w:tc>
        <w:tc>
          <w:tcPr>
            <w:tcW w:w="1098" w:type="dxa"/>
            <w:noWrap/>
            <w:hideMark/>
          </w:tcPr>
          <w:p w14:paraId="658F7BCE"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0.35</w:t>
            </w:r>
          </w:p>
        </w:tc>
        <w:tc>
          <w:tcPr>
            <w:tcW w:w="1098" w:type="dxa"/>
            <w:noWrap/>
            <w:hideMark/>
          </w:tcPr>
          <w:p w14:paraId="4C8D766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0.24</w:t>
            </w:r>
          </w:p>
        </w:tc>
        <w:tc>
          <w:tcPr>
            <w:tcW w:w="1160" w:type="dxa"/>
            <w:noWrap/>
            <w:hideMark/>
          </w:tcPr>
          <w:p w14:paraId="6A05700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0.33</w:t>
            </w:r>
          </w:p>
        </w:tc>
      </w:tr>
      <w:tr w:rsidR="009510BF" w:rsidRPr="00FB5EB6" w14:paraId="7DFC56C7" w14:textId="77777777" w:rsidTr="009510BF">
        <w:trPr>
          <w:trHeight w:val="290"/>
        </w:trPr>
        <w:tc>
          <w:tcPr>
            <w:tcW w:w="1892" w:type="dxa"/>
            <w:noWrap/>
            <w:hideMark/>
          </w:tcPr>
          <w:p w14:paraId="674021EC"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Франция</w:t>
            </w:r>
          </w:p>
        </w:tc>
        <w:tc>
          <w:tcPr>
            <w:tcW w:w="1789" w:type="dxa"/>
            <w:noWrap/>
            <w:hideMark/>
          </w:tcPr>
          <w:p w14:paraId="226249B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144,392</w:t>
            </w:r>
          </w:p>
        </w:tc>
        <w:tc>
          <w:tcPr>
            <w:tcW w:w="709" w:type="dxa"/>
            <w:noWrap/>
            <w:hideMark/>
          </w:tcPr>
          <w:p w14:paraId="2FB2589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2.31</w:t>
            </w:r>
          </w:p>
        </w:tc>
        <w:tc>
          <w:tcPr>
            <w:tcW w:w="850" w:type="dxa"/>
            <w:noWrap/>
            <w:hideMark/>
          </w:tcPr>
          <w:p w14:paraId="67FE007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2.81</w:t>
            </w:r>
          </w:p>
        </w:tc>
        <w:tc>
          <w:tcPr>
            <w:tcW w:w="870" w:type="dxa"/>
            <w:noWrap/>
            <w:hideMark/>
          </w:tcPr>
          <w:p w14:paraId="166473A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2.66</w:t>
            </w:r>
          </w:p>
        </w:tc>
        <w:tc>
          <w:tcPr>
            <w:tcW w:w="1098" w:type="dxa"/>
            <w:noWrap/>
            <w:hideMark/>
          </w:tcPr>
          <w:p w14:paraId="26B59DC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3.77</w:t>
            </w:r>
          </w:p>
        </w:tc>
        <w:tc>
          <w:tcPr>
            <w:tcW w:w="1098" w:type="dxa"/>
            <w:noWrap/>
            <w:hideMark/>
          </w:tcPr>
          <w:p w14:paraId="207248B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3.83</w:t>
            </w:r>
          </w:p>
        </w:tc>
        <w:tc>
          <w:tcPr>
            <w:tcW w:w="1160" w:type="dxa"/>
            <w:noWrap/>
            <w:hideMark/>
          </w:tcPr>
          <w:p w14:paraId="5B5C462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4.80</w:t>
            </w:r>
          </w:p>
        </w:tc>
      </w:tr>
      <w:tr w:rsidR="009510BF" w:rsidRPr="00FB5EB6" w14:paraId="6F1A5294" w14:textId="77777777" w:rsidTr="009510BF">
        <w:trPr>
          <w:trHeight w:val="290"/>
        </w:trPr>
        <w:tc>
          <w:tcPr>
            <w:tcW w:w="1892" w:type="dxa"/>
            <w:noWrap/>
            <w:hideMark/>
          </w:tcPr>
          <w:p w14:paraId="5499FFDC"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Хорватия</w:t>
            </w:r>
          </w:p>
        </w:tc>
        <w:tc>
          <w:tcPr>
            <w:tcW w:w="1789" w:type="dxa"/>
            <w:noWrap/>
            <w:hideMark/>
          </w:tcPr>
          <w:p w14:paraId="32F9869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21</w:t>
            </w:r>
          </w:p>
        </w:tc>
        <w:tc>
          <w:tcPr>
            <w:tcW w:w="709" w:type="dxa"/>
            <w:noWrap/>
            <w:hideMark/>
          </w:tcPr>
          <w:p w14:paraId="29AD4FB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2.95</w:t>
            </w:r>
          </w:p>
        </w:tc>
        <w:tc>
          <w:tcPr>
            <w:tcW w:w="850" w:type="dxa"/>
            <w:noWrap/>
            <w:hideMark/>
          </w:tcPr>
          <w:p w14:paraId="78D8A2F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3.81</w:t>
            </w:r>
          </w:p>
        </w:tc>
        <w:tc>
          <w:tcPr>
            <w:tcW w:w="870" w:type="dxa"/>
            <w:noWrap/>
            <w:hideMark/>
          </w:tcPr>
          <w:p w14:paraId="29F06BA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2.76</w:t>
            </w:r>
          </w:p>
        </w:tc>
        <w:tc>
          <w:tcPr>
            <w:tcW w:w="1098" w:type="dxa"/>
            <w:noWrap/>
            <w:hideMark/>
          </w:tcPr>
          <w:p w14:paraId="075F50D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2.43</w:t>
            </w:r>
          </w:p>
        </w:tc>
        <w:tc>
          <w:tcPr>
            <w:tcW w:w="1098" w:type="dxa"/>
            <w:noWrap/>
            <w:hideMark/>
          </w:tcPr>
          <w:p w14:paraId="6EAE3501"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2.43</w:t>
            </w:r>
          </w:p>
        </w:tc>
        <w:tc>
          <w:tcPr>
            <w:tcW w:w="1160" w:type="dxa"/>
            <w:noWrap/>
            <w:hideMark/>
          </w:tcPr>
          <w:p w14:paraId="2C3457D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2.57</w:t>
            </w:r>
          </w:p>
        </w:tc>
      </w:tr>
      <w:tr w:rsidR="009510BF" w:rsidRPr="00FB5EB6" w14:paraId="5D45317E" w14:textId="77777777" w:rsidTr="009510BF">
        <w:trPr>
          <w:trHeight w:val="290"/>
        </w:trPr>
        <w:tc>
          <w:tcPr>
            <w:tcW w:w="1892" w:type="dxa"/>
            <w:noWrap/>
            <w:hideMark/>
          </w:tcPr>
          <w:p w14:paraId="5FDEED8D"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Чехия</w:t>
            </w:r>
          </w:p>
        </w:tc>
        <w:tc>
          <w:tcPr>
            <w:tcW w:w="1789" w:type="dxa"/>
            <w:noWrap/>
            <w:hideMark/>
          </w:tcPr>
          <w:p w14:paraId="064C28B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2,858</w:t>
            </w:r>
          </w:p>
        </w:tc>
        <w:tc>
          <w:tcPr>
            <w:tcW w:w="709" w:type="dxa"/>
            <w:noWrap/>
            <w:hideMark/>
          </w:tcPr>
          <w:p w14:paraId="32C3D7C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0.82</w:t>
            </w:r>
          </w:p>
        </w:tc>
        <w:tc>
          <w:tcPr>
            <w:tcW w:w="850" w:type="dxa"/>
            <w:noWrap/>
            <w:hideMark/>
          </w:tcPr>
          <w:p w14:paraId="1E3A4743"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3CCC97E0"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0FEB519B"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51A669FE"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783D286F"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75975CBC" w14:textId="77777777" w:rsidTr="009510BF">
        <w:trPr>
          <w:trHeight w:val="290"/>
        </w:trPr>
        <w:tc>
          <w:tcPr>
            <w:tcW w:w="1892" w:type="dxa"/>
            <w:noWrap/>
            <w:hideMark/>
          </w:tcPr>
          <w:p w14:paraId="4288A2B0"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Швейцария</w:t>
            </w:r>
          </w:p>
        </w:tc>
        <w:tc>
          <w:tcPr>
            <w:tcW w:w="1789" w:type="dxa"/>
            <w:noWrap/>
            <w:hideMark/>
          </w:tcPr>
          <w:p w14:paraId="0ED613B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49,315</w:t>
            </w:r>
          </w:p>
        </w:tc>
        <w:tc>
          <w:tcPr>
            <w:tcW w:w="709" w:type="dxa"/>
            <w:noWrap/>
            <w:hideMark/>
          </w:tcPr>
          <w:p w14:paraId="45BEAB18"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1.30</w:t>
            </w:r>
          </w:p>
        </w:tc>
        <w:tc>
          <w:tcPr>
            <w:tcW w:w="850" w:type="dxa"/>
            <w:noWrap/>
            <w:hideMark/>
          </w:tcPr>
          <w:p w14:paraId="3EB6953B" w14:textId="77777777" w:rsidR="009510BF" w:rsidRPr="00FB5EB6" w:rsidRDefault="009510BF" w:rsidP="00834454">
            <w:pPr>
              <w:jc w:val="right"/>
              <w:rPr>
                <w:rFonts w:asciiTheme="majorBidi" w:hAnsiTheme="majorBidi" w:cstheme="majorBidi"/>
                <w:color w:val="000000"/>
                <w:sz w:val="20"/>
                <w:szCs w:val="20"/>
                <w:lang w:eastAsia="zh-CN"/>
              </w:rPr>
            </w:pPr>
          </w:p>
        </w:tc>
        <w:tc>
          <w:tcPr>
            <w:tcW w:w="870" w:type="dxa"/>
            <w:noWrap/>
            <w:hideMark/>
          </w:tcPr>
          <w:p w14:paraId="7D87C648" w14:textId="77777777" w:rsidR="009510BF" w:rsidRPr="00FB5EB6" w:rsidRDefault="009510BF" w:rsidP="00834454">
            <w:pPr>
              <w:jc w:val="left"/>
              <w:rPr>
                <w:rFonts w:asciiTheme="majorBidi" w:hAnsiTheme="majorBidi" w:cstheme="majorBidi"/>
                <w:sz w:val="20"/>
                <w:szCs w:val="20"/>
                <w:lang w:eastAsia="zh-CN"/>
              </w:rPr>
            </w:pPr>
          </w:p>
        </w:tc>
        <w:tc>
          <w:tcPr>
            <w:tcW w:w="1098" w:type="dxa"/>
            <w:noWrap/>
            <w:hideMark/>
          </w:tcPr>
          <w:p w14:paraId="5CCEADC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2.62</w:t>
            </w:r>
          </w:p>
        </w:tc>
        <w:tc>
          <w:tcPr>
            <w:tcW w:w="1098" w:type="dxa"/>
            <w:noWrap/>
            <w:hideMark/>
          </w:tcPr>
          <w:p w14:paraId="7FEE257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2.62</w:t>
            </w:r>
          </w:p>
        </w:tc>
        <w:tc>
          <w:tcPr>
            <w:tcW w:w="1160" w:type="dxa"/>
            <w:noWrap/>
            <w:hideMark/>
          </w:tcPr>
          <w:p w14:paraId="6E20A643" w14:textId="77777777" w:rsidR="009510BF" w:rsidRPr="00FB5EB6" w:rsidRDefault="009510BF" w:rsidP="00834454">
            <w:pPr>
              <w:jc w:val="right"/>
              <w:rPr>
                <w:rFonts w:asciiTheme="majorBidi" w:hAnsiTheme="majorBidi" w:cstheme="majorBidi"/>
                <w:color w:val="000000"/>
                <w:sz w:val="20"/>
                <w:szCs w:val="20"/>
                <w:lang w:eastAsia="zh-CN"/>
              </w:rPr>
            </w:pPr>
          </w:p>
        </w:tc>
      </w:tr>
      <w:tr w:rsidR="009510BF" w:rsidRPr="00FB5EB6" w14:paraId="5A5165F7" w14:textId="77777777" w:rsidTr="009510BF">
        <w:trPr>
          <w:trHeight w:val="290"/>
        </w:trPr>
        <w:tc>
          <w:tcPr>
            <w:tcW w:w="1892" w:type="dxa"/>
            <w:noWrap/>
            <w:hideMark/>
          </w:tcPr>
          <w:p w14:paraId="4ACD9700"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Швеция</w:t>
            </w:r>
          </w:p>
        </w:tc>
        <w:tc>
          <w:tcPr>
            <w:tcW w:w="1789" w:type="dxa"/>
            <w:noWrap/>
            <w:hideMark/>
          </w:tcPr>
          <w:p w14:paraId="4C26BAD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74,172</w:t>
            </w:r>
          </w:p>
        </w:tc>
        <w:tc>
          <w:tcPr>
            <w:tcW w:w="709" w:type="dxa"/>
            <w:noWrap/>
            <w:hideMark/>
          </w:tcPr>
          <w:p w14:paraId="04DA636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1.48</w:t>
            </w:r>
          </w:p>
        </w:tc>
        <w:tc>
          <w:tcPr>
            <w:tcW w:w="850" w:type="dxa"/>
            <w:noWrap/>
            <w:hideMark/>
          </w:tcPr>
          <w:p w14:paraId="49255BE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1.70</w:t>
            </w:r>
          </w:p>
        </w:tc>
        <w:tc>
          <w:tcPr>
            <w:tcW w:w="870" w:type="dxa"/>
            <w:noWrap/>
            <w:hideMark/>
          </w:tcPr>
          <w:p w14:paraId="3944CC0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1.91</w:t>
            </w:r>
          </w:p>
        </w:tc>
        <w:tc>
          <w:tcPr>
            <w:tcW w:w="1098" w:type="dxa"/>
            <w:noWrap/>
            <w:hideMark/>
          </w:tcPr>
          <w:p w14:paraId="1F53C0B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2.47</w:t>
            </w:r>
          </w:p>
        </w:tc>
        <w:tc>
          <w:tcPr>
            <w:tcW w:w="1098" w:type="dxa"/>
            <w:noWrap/>
            <w:hideMark/>
          </w:tcPr>
          <w:p w14:paraId="6B162C90"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2.96</w:t>
            </w:r>
          </w:p>
        </w:tc>
        <w:tc>
          <w:tcPr>
            <w:tcW w:w="1160" w:type="dxa"/>
            <w:noWrap/>
            <w:hideMark/>
          </w:tcPr>
          <w:p w14:paraId="4CB86D9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2.85</w:t>
            </w:r>
          </w:p>
        </w:tc>
      </w:tr>
      <w:tr w:rsidR="009510BF" w:rsidRPr="00FB5EB6" w14:paraId="735C64BE" w14:textId="77777777" w:rsidTr="009510BF">
        <w:trPr>
          <w:trHeight w:val="290"/>
        </w:trPr>
        <w:tc>
          <w:tcPr>
            <w:tcW w:w="1892" w:type="dxa"/>
            <w:noWrap/>
            <w:hideMark/>
          </w:tcPr>
          <w:p w14:paraId="7FC19755"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Эстония</w:t>
            </w:r>
          </w:p>
        </w:tc>
        <w:tc>
          <w:tcPr>
            <w:tcW w:w="1789" w:type="dxa"/>
            <w:noWrap/>
            <w:hideMark/>
          </w:tcPr>
          <w:p w14:paraId="40D7999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w:t>
            </w:r>
          </w:p>
        </w:tc>
        <w:tc>
          <w:tcPr>
            <w:tcW w:w="709" w:type="dxa"/>
            <w:noWrap/>
            <w:hideMark/>
          </w:tcPr>
          <w:p w14:paraId="2A2BACCA"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18.89</w:t>
            </w:r>
          </w:p>
        </w:tc>
        <w:tc>
          <w:tcPr>
            <w:tcW w:w="850" w:type="dxa"/>
            <w:noWrap/>
            <w:hideMark/>
          </w:tcPr>
          <w:p w14:paraId="68909C0B"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16.16</w:t>
            </w:r>
          </w:p>
        </w:tc>
        <w:tc>
          <w:tcPr>
            <w:tcW w:w="870" w:type="dxa"/>
            <w:noWrap/>
            <w:hideMark/>
          </w:tcPr>
          <w:p w14:paraId="0EBF49F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42.74</w:t>
            </w:r>
          </w:p>
        </w:tc>
        <w:tc>
          <w:tcPr>
            <w:tcW w:w="1098" w:type="dxa"/>
            <w:noWrap/>
            <w:hideMark/>
          </w:tcPr>
          <w:p w14:paraId="5B850E6C" w14:textId="77777777" w:rsidR="009510BF" w:rsidRPr="00FB5EB6" w:rsidRDefault="009510BF" w:rsidP="00834454">
            <w:pPr>
              <w:jc w:val="right"/>
              <w:rPr>
                <w:rFonts w:asciiTheme="majorBidi" w:hAnsiTheme="majorBidi" w:cstheme="majorBidi"/>
                <w:color w:val="000000"/>
                <w:sz w:val="20"/>
                <w:szCs w:val="20"/>
                <w:lang w:eastAsia="zh-CN"/>
              </w:rPr>
            </w:pPr>
          </w:p>
        </w:tc>
        <w:tc>
          <w:tcPr>
            <w:tcW w:w="1098" w:type="dxa"/>
            <w:noWrap/>
            <w:hideMark/>
          </w:tcPr>
          <w:p w14:paraId="1A873DF2" w14:textId="77777777" w:rsidR="009510BF" w:rsidRPr="00FB5EB6" w:rsidRDefault="009510BF" w:rsidP="00834454">
            <w:pPr>
              <w:jc w:val="left"/>
              <w:rPr>
                <w:rFonts w:asciiTheme="majorBidi" w:hAnsiTheme="majorBidi" w:cstheme="majorBidi"/>
                <w:sz w:val="20"/>
                <w:szCs w:val="20"/>
                <w:lang w:eastAsia="zh-CN"/>
              </w:rPr>
            </w:pPr>
          </w:p>
        </w:tc>
        <w:tc>
          <w:tcPr>
            <w:tcW w:w="1160" w:type="dxa"/>
            <w:noWrap/>
            <w:hideMark/>
          </w:tcPr>
          <w:p w14:paraId="5160384B"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0C3128A2" w14:textId="77777777" w:rsidTr="009510BF">
        <w:trPr>
          <w:trHeight w:val="290"/>
        </w:trPr>
        <w:tc>
          <w:tcPr>
            <w:tcW w:w="1892" w:type="dxa"/>
            <w:noWrap/>
            <w:hideMark/>
          </w:tcPr>
          <w:p w14:paraId="3A91C283"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Япония</w:t>
            </w:r>
          </w:p>
        </w:tc>
        <w:tc>
          <w:tcPr>
            <w:tcW w:w="1789" w:type="dxa"/>
            <w:noWrap/>
            <w:hideMark/>
          </w:tcPr>
          <w:p w14:paraId="04DFEE3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1,239,208</w:t>
            </w:r>
          </w:p>
        </w:tc>
        <w:tc>
          <w:tcPr>
            <w:tcW w:w="709" w:type="dxa"/>
            <w:noWrap/>
            <w:hideMark/>
          </w:tcPr>
          <w:p w14:paraId="1DC35B0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1.50</w:t>
            </w:r>
          </w:p>
        </w:tc>
        <w:tc>
          <w:tcPr>
            <w:tcW w:w="850" w:type="dxa"/>
            <w:noWrap/>
            <w:hideMark/>
          </w:tcPr>
          <w:p w14:paraId="6A88C0BC"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0.56</w:t>
            </w:r>
          </w:p>
        </w:tc>
        <w:tc>
          <w:tcPr>
            <w:tcW w:w="870" w:type="dxa"/>
            <w:noWrap/>
            <w:hideMark/>
          </w:tcPr>
          <w:p w14:paraId="1B56E34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0.35</w:t>
            </w:r>
          </w:p>
        </w:tc>
        <w:tc>
          <w:tcPr>
            <w:tcW w:w="1098" w:type="dxa"/>
            <w:noWrap/>
            <w:hideMark/>
          </w:tcPr>
          <w:p w14:paraId="6F5A2C1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0.50</w:t>
            </w:r>
          </w:p>
        </w:tc>
        <w:tc>
          <w:tcPr>
            <w:tcW w:w="1098" w:type="dxa"/>
            <w:noWrap/>
            <w:hideMark/>
          </w:tcPr>
          <w:p w14:paraId="7159DCD2" w14:textId="77777777" w:rsidR="009510BF" w:rsidRPr="00FB5EB6" w:rsidRDefault="009510BF" w:rsidP="00834454">
            <w:pPr>
              <w:jc w:val="right"/>
              <w:rPr>
                <w:rFonts w:asciiTheme="majorBidi" w:hAnsiTheme="majorBidi" w:cstheme="majorBidi"/>
                <w:color w:val="000000"/>
                <w:sz w:val="20"/>
                <w:szCs w:val="20"/>
                <w:lang w:eastAsia="zh-CN"/>
              </w:rPr>
            </w:pPr>
          </w:p>
        </w:tc>
        <w:tc>
          <w:tcPr>
            <w:tcW w:w="1160" w:type="dxa"/>
            <w:noWrap/>
            <w:hideMark/>
          </w:tcPr>
          <w:p w14:paraId="1F795150" w14:textId="77777777" w:rsidR="009510BF" w:rsidRPr="00FB5EB6" w:rsidRDefault="009510BF" w:rsidP="00834454">
            <w:pPr>
              <w:jc w:val="left"/>
              <w:rPr>
                <w:rFonts w:asciiTheme="majorBidi" w:hAnsiTheme="majorBidi" w:cstheme="majorBidi"/>
                <w:sz w:val="20"/>
                <w:szCs w:val="20"/>
                <w:lang w:eastAsia="zh-CN"/>
              </w:rPr>
            </w:pPr>
          </w:p>
        </w:tc>
      </w:tr>
      <w:tr w:rsidR="009510BF" w:rsidRPr="00FB5EB6" w14:paraId="2D23E76C" w14:textId="77777777" w:rsidTr="009510BF">
        <w:trPr>
          <w:trHeight w:val="290"/>
        </w:trPr>
        <w:tc>
          <w:tcPr>
            <w:tcW w:w="1892" w:type="dxa"/>
            <w:noWrap/>
            <w:hideMark/>
          </w:tcPr>
          <w:p w14:paraId="54F075AA" w14:textId="58582466" w:rsidR="009510BF" w:rsidRPr="00FB5EB6" w:rsidRDefault="009510BF" w:rsidP="00834454">
            <w:pPr>
              <w:jc w:val="left"/>
              <w:rPr>
                <w:rFonts w:asciiTheme="majorBidi" w:hAnsiTheme="majorBidi" w:cstheme="majorBidi"/>
                <w:b/>
                <w:bCs/>
                <w:color w:val="000000"/>
                <w:sz w:val="20"/>
                <w:szCs w:val="20"/>
                <w:lang w:eastAsia="zh-CN"/>
              </w:rPr>
            </w:pPr>
            <w:r>
              <w:rPr>
                <w:rFonts w:asciiTheme="majorBidi" w:hAnsiTheme="majorBidi" w:cstheme="majorBidi"/>
                <w:b/>
                <w:bCs/>
                <w:color w:val="000000"/>
                <w:sz w:val="20"/>
                <w:szCs w:val="20"/>
                <w:lang w:eastAsia="zh-CN"/>
              </w:rPr>
              <w:t>Итого</w:t>
            </w:r>
          </w:p>
        </w:tc>
        <w:tc>
          <w:tcPr>
            <w:tcW w:w="1789" w:type="dxa"/>
            <w:noWrap/>
            <w:hideMark/>
          </w:tcPr>
          <w:p w14:paraId="27DED80C"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2,943,976</w:t>
            </w:r>
          </w:p>
        </w:tc>
        <w:tc>
          <w:tcPr>
            <w:tcW w:w="709" w:type="dxa"/>
            <w:noWrap/>
            <w:hideMark/>
          </w:tcPr>
          <w:p w14:paraId="2B12FD4E"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1.66</w:t>
            </w:r>
          </w:p>
        </w:tc>
        <w:tc>
          <w:tcPr>
            <w:tcW w:w="850" w:type="dxa"/>
            <w:noWrap/>
            <w:hideMark/>
          </w:tcPr>
          <w:p w14:paraId="128C74FA"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1.23</w:t>
            </w:r>
          </w:p>
        </w:tc>
        <w:tc>
          <w:tcPr>
            <w:tcW w:w="870" w:type="dxa"/>
            <w:noWrap/>
            <w:hideMark/>
          </w:tcPr>
          <w:p w14:paraId="317053EB"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1.34</w:t>
            </w:r>
          </w:p>
        </w:tc>
        <w:tc>
          <w:tcPr>
            <w:tcW w:w="1098" w:type="dxa"/>
            <w:noWrap/>
            <w:hideMark/>
          </w:tcPr>
          <w:p w14:paraId="3D502195"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1.39</w:t>
            </w:r>
          </w:p>
        </w:tc>
        <w:tc>
          <w:tcPr>
            <w:tcW w:w="1098" w:type="dxa"/>
            <w:noWrap/>
            <w:hideMark/>
          </w:tcPr>
          <w:p w14:paraId="46252858"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2.52</w:t>
            </w:r>
          </w:p>
        </w:tc>
        <w:tc>
          <w:tcPr>
            <w:tcW w:w="1160" w:type="dxa"/>
            <w:noWrap/>
            <w:hideMark/>
          </w:tcPr>
          <w:p w14:paraId="1A89A24B" w14:textId="77777777" w:rsidR="009510BF" w:rsidRPr="00FB5EB6" w:rsidRDefault="009510BF" w:rsidP="00834454">
            <w:pPr>
              <w:jc w:val="right"/>
              <w:rPr>
                <w:rFonts w:asciiTheme="majorBidi" w:hAnsiTheme="majorBidi" w:cstheme="majorBidi"/>
                <w:b/>
                <w:bCs/>
                <w:color w:val="000000"/>
                <w:sz w:val="20"/>
                <w:szCs w:val="20"/>
                <w:lang w:eastAsia="zh-CN"/>
              </w:rPr>
            </w:pPr>
            <w:r w:rsidRPr="00FB5EB6">
              <w:rPr>
                <w:rFonts w:asciiTheme="majorBidi" w:hAnsiTheme="majorBidi" w:cstheme="majorBidi"/>
                <w:b/>
                <w:bCs/>
                <w:color w:val="000000"/>
                <w:sz w:val="20"/>
                <w:szCs w:val="20"/>
                <w:lang w:eastAsia="zh-CN"/>
              </w:rPr>
              <w:t>2.83</w:t>
            </w:r>
          </w:p>
        </w:tc>
      </w:tr>
      <w:tr w:rsidR="009510BF" w:rsidRPr="00FB5EB6" w14:paraId="10801318" w14:textId="77777777" w:rsidTr="009510BF">
        <w:trPr>
          <w:trHeight w:val="290"/>
        </w:trPr>
        <w:tc>
          <w:tcPr>
            <w:tcW w:w="1892" w:type="dxa"/>
            <w:noWrap/>
            <w:hideMark/>
          </w:tcPr>
          <w:p w14:paraId="5571DB59" w14:textId="77777777" w:rsidR="009510BF" w:rsidRPr="00FB5EB6" w:rsidRDefault="009510BF" w:rsidP="00834454">
            <w:pPr>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Количество стран, представивших отчетность</w:t>
            </w:r>
          </w:p>
        </w:tc>
        <w:tc>
          <w:tcPr>
            <w:tcW w:w="1789" w:type="dxa"/>
            <w:noWrap/>
            <w:hideMark/>
          </w:tcPr>
          <w:p w14:paraId="0BF8B941" w14:textId="77777777" w:rsidR="009510BF" w:rsidRPr="00FB5EB6" w:rsidRDefault="009510BF" w:rsidP="00834454">
            <w:pPr>
              <w:jc w:val="left"/>
              <w:rPr>
                <w:rFonts w:asciiTheme="majorBidi" w:hAnsiTheme="majorBidi" w:cstheme="majorBidi"/>
                <w:color w:val="000000"/>
                <w:sz w:val="20"/>
                <w:szCs w:val="20"/>
                <w:lang w:eastAsia="zh-CN"/>
              </w:rPr>
            </w:pPr>
          </w:p>
        </w:tc>
        <w:tc>
          <w:tcPr>
            <w:tcW w:w="709" w:type="dxa"/>
            <w:noWrap/>
            <w:hideMark/>
          </w:tcPr>
          <w:p w14:paraId="5FE7B6D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28</w:t>
            </w:r>
          </w:p>
        </w:tc>
        <w:tc>
          <w:tcPr>
            <w:tcW w:w="850" w:type="dxa"/>
            <w:noWrap/>
            <w:hideMark/>
          </w:tcPr>
          <w:p w14:paraId="575F750F"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w:t>
            </w:r>
          </w:p>
        </w:tc>
        <w:tc>
          <w:tcPr>
            <w:tcW w:w="870" w:type="dxa"/>
            <w:noWrap/>
            <w:hideMark/>
          </w:tcPr>
          <w:p w14:paraId="041A9772"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19</w:t>
            </w:r>
          </w:p>
        </w:tc>
        <w:tc>
          <w:tcPr>
            <w:tcW w:w="1098" w:type="dxa"/>
            <w:noWrap/>
            <w:hideMark/>
          </w:tcPr>
          <w:p w14:paraId="0B309F7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15</w:t>
            </w:r>
          </w:p>
        </w:tc>
        <w:tc>
          <w:tcPr>
            <w:tcW w:w="1098" w:type="dxa"/>
            <w:noWrap/>
            <w:hideMark/>
          </w:tcPr>
          <w:p w14:paraId="63629B21"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14</w:t>
            </w:r>
          </w:p>
        </w:tc>
        <w:tc>
          <w:tcPr>
            <w:tcW w:w="1160" w:type="dxa"/>
            <w:noWrap/>
            <w:hideMark/>
          </w:tcPr>
          <w:p w14:paraId="58E62757"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9</w:t>
            </w:r>
          </w:p>
        </w:tc>
      </w:tr>
      <w:tr w:rsidR="009510BF" w:rsidRPr="00FB5EB6" w14:paraId="3923E194" w14:textId="77777777" w:rsidTr="009510BF">
        <w:trPr>
          <w:trHeight w:val="290"/>
        </w:trPr>
        <w:tc>
          <w:tcPr>
            <w:tcW w:w="1892" w:type="dxa"/>
            <w:tcBorders>
              <w:bottom w:val="single" w:sz="4" w:space="0" w:color="auto"/>
            </w:tcBorders>
            <w:noWrap/>
            <w:hideMark/>
          </w:tcPr>
          <w:p w14:paraId="1C693512" w14:textId="3D909B41" w:rsidR="009510BF" w:rsidRPr="00FB5EB6" w:rsidRDefault="009510BF" w:rsidP="00834454">
            <w:pPr>
              <w:keepNext/>
              <w:jc w:val="lef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 xml:space="preserve">Доля от </w:t>
            </w:r>
            <w:r w:rsidR="0092026E">
              <w:rPr>
                <w:rFonts w:asciiTheme="majorBidi" w:hAnsiTheme="majorBidi" w:cstheme="majorBidi"/>
                <w:color w:val="000000"/>
                <w:sz w:val="20"/>
                <w:szCs w:val="20"/>
                <w:lang w:eastAsia="zh-CN"/>
              </w:rPr>
              <w:t>исходного</w:t>
            </w:r>
            <w:r w:rsidRPr="00FB5EB6">
              <w:rPr>
                <w:rFonts w:asciiTheme="majorBidi" w:hAnsiTheme="majorBidi" w:cstheme="majorBidi"/>
                <w:color w:val="000000"/>
                <w:sz w:val="20"/>
                <w:szCs w:val="20"/>
                <w:lang w:eastAsia="zh-CN"/>
              </w:rPr>
              <w:t xml:space="preserve"> уровня</w:t>
            </w:r>
          </w:p>
        </w:tc>
        <w:tc>
          <w:tcPr>
            <w:tcW w:w="1789" w:type="dxa"/>
            <w:tcBorders>
              <w:bottom w:val="single" w:sz="4" w:space="0" w:color="auto"/>
            </w:tcBorders>
            <w:noWrap/>
            <w:hideMark/>
          </w:tcPr>
          <w:p w14:paraId="0B25B39B" w14:textId="77777777" w:rsidR="009510BF" w:rsidRPr="00FB5EB6" w:rsidRDefault="009510BF" w:rsidP="00834454">
            <w:pPr>
              <w:jc w:val="left"/>
              <w:rPr>
                <w:rFonts w:asciiTheme="majorBidi" w:hAnsiTheme="majorBidi" w:cstheme="majorBidi"/>
                <w:color w:val="000000"/>
                <w:sz w:val="20"/>
                <w:szCs w:val="20"/>
                <w:lang w:eastAsia="zh-CN"/>
              </w:rPr>
            </w:pPr>
          </w:p>
        </w:tc>
        <w:tc>
          <w:tcPr>
            <w:tcW w:w="709" w:type="dxa"/>
            <w:tcBorders>
              <w:bottom w:val="single" w:sz="4" w:space="0" w:color="auto"/>
            </w:tcBorders>
            <w:noWrap/>
            <w:hideMark/>
          </w:tcPr>
          <w:p w14:paraId="40680066"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0.995</w:t>
            </w:r>
          </w:p>
        </w:tc>
        <w:tc>
          <w:tcPr>
            <w:tcW w:w="850" w:type="dxa"/>
            <w:tcBorders>
              <w:bottom w:val="single" w:sz="4" w:space="0" w:color="auto"/>
            </w:tcBorders>
            <w:noWrap/>
            <w:hideMark/>
          </w:tcPr>
          <w:p w14:paraId="70E420A5"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0.923</w:t>
            </w:r>
          </w:p>
        </w:tc>
        <w:tc>
          <w:tcPr>
            <w:tcW w:w="870" w:type="dxa"/>
            <w:tcBorders>
              <w:bottom w:val="single" w:sz="4" w:space="0" w:color="auto"/>
            </w:tcBorders>
            <w:noWrap/>
            <w:hideMark/>
          </w:tcPr>
          <w:p w14:paraId="7AC540BD"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0.919</w:t>
            </w:r>
          </w:p>
        </w:tc>
        <w:tc>
          <w:tcPr>
            <w:tcW w:w="1098" w:type="dxa"/>
            <w:tcBorders>
              <w:bottom w:val="single" w:sz="4" w:space="0" w:color="auto"/>
            </w:tcBorders>
            <w:noWrap/>
            <w:hideMark/>
          </w:tcPr>
          <w:p w14:paraId="7C519AF4"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0.854</w:t>
            </w:r>
          </w:p>
        </w:tc>
        <w:tc>
          <w:tcPr>
            <w:tcW w:w="1098" w:type="dxa"/>
            <w:tcBorders>
              <w:bottom w:val="single" w:sz="4" w:space="0" w:color="auto"/>
            </w:tcBorders>
            <w:noWrap/>
            <w:hideMark/>
          </w:tcPr>
          <w:p w14:paraId="61B26C10"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0.388</w:t>
            </w:r>
          </w:p>
        </w:tc>
        <w:tc>
          <w:tcPr>
            <w:tcW w:w="1160" w:type="dxa"/>
            <w:tcBorders>
              <w:bottom w:val="single" w:sz="4" w:space="0" w:color="auto"/>
            </w:tcBorders>
            <w:noWrap/>
            <w:hideMark/>
          </w:tcPr>
          <w:p w14:paraId="14E89189" w14:textId="77777777" w:rsidR="009510BF" w:rsidRPr="00FB5EB6" w:rsidRDefault="009510BF" w:rsidP="00834454">
            <w:pPr>
              <w:jc w:val="right"/>
              <w:rPr>
                <w:rFonts w:asciiTheme="majorBidi" w:hAnsiTheme="majorBidi" w:cstheme="majorBidi"/>
                <w:color w:val="000000"/>
                <w:sz w:val="20"/>
                <w:szCs w:val="20"/>
                <w:lang w:eastAsia="zh-CN"/>
              </w:rPr>
            </w:pPr>
            <w:r w:rsidRPr="00FB5EB6">
              <w:rPr>
                <w:rFonts w:asciiTheme="majorBidi" w:hAnsiTheme="majorBidi" w:cstheme="majorBidi"/>
                <w:color w:val="000000"/>
                <w:sz w:val="20"/>
                <w:szCs w:val="20"/>
                <w:lang w:eastAsia="zh-CN"/>
              </w:rPr>
              <w:t>0.305</w:t>
            </w:r>
          </w:p>
        </w:tc>
      </w:tr>
      <w:tr w:rsidR="005A4D4B" w14:paraId="05DE070E" w14:textId="77777777" w:rsidTr="009510BF">
        <w:tc>
          <w:tcPr>
            <w:tcW w:w="9466" w:type="dxa"/>
            <w:gridSpan w:val="8"/>
            <w:tcBorders>
              <w:top w:val="single" w:sz="4" w:space="0" w:color="auto"/>
              <w:left w:val="nil"/>
              <w:bottom w:val="nil"/>
              <w:right w:val="nil"/>
            </w:tcBorders>
          </w:tcPr>
          <w:p w14:paraId="5FC0E354" w14:textId="08B16816" w:rsidR="00512B70" w:rsidRPr="0013552A" w:rsidRDefault="00512B70" w:rsidP="000C76E7">
            <w:pPr>
              <w:suppressLineNumbers/>
              <w:suppressAutoHyphens/>
              <w:kinsoku w:val="0"/>
              <w:overflowPunct w:val="0"/>
              <w:autoSpaceDE w:val="0"/>
              <w:autoSpaceDN w:val="0"/>
              <w:adjustRightInd w:val="0"/>
              <w:snapToGrid w:val="0"/>
              <w:rPr>
                <w:rFonts w:asciiTheme="majorBidi" w:hAnsiTheme="majorBidi" w:cstheme="majorBidi"/>
                <w:bCs/>
                <w:snapToGrid w:val="0"/>
                <w:kern w:val="22"/>
                <w:sz w:val="20"/>
                <w:szCs w:val="20"/>
              </w:rPr>
            </w:pPr>
            <w:r>
              <w:rPr>
                <w:rFonts w:asciiTheme="majorBidi" w:hAnsiTheme="majorBidi"/>
                <w:bCs/>
                <w:i/>
                <w:iCs/>
                <w:snapToGrid w:val="0"/>
                <w:sz w:val="20"/>
                <w:szCs w:val="20"/>
              </w:rPr>
              <w:t xml:space="preserve">Источник: Рассчитано с учетом текущего курса доллар США на основе данных, предоставленных </w:t>
            </w:r>
            <w:r w:rsidR="002B73FE">
              <w:rPr>
                <w:rFonts w:asciiTheme="majorBidi" w:hAnsiTheme="majorBidi"/>
                <w:bCs/>
                <w:i/>
                <w:iCs/>
                <w:snapToGrid w:val="0"/>
                <w:sz w:val="20"/>
                <w:szCs w:val="20"/>
              </w:rPr>
              <w:t>посредством</w:t>
            </w:r>
            <w:r>
              <w:rPr>
                <w:rFonts w:asciiTheme="majorBidi" w:hAnsiTheme="majorBidi"/>
                <w:bCs/>
                <w:i/>
                <w:iCs/>
                <w:snapToGrid w:val="0"/>
                <w:sz w:val="20"/>
                <w:szCs w:val="20"/>
              </w:rPr>
              <w:t xml:space="preserve"> структуры представления финансовой отчетности.</w:t>
            </w:r>
          </w:p>
        </w:tc>
      </w:tr>
    </w:tbl>
    <w:p w14:paraId="028A2129" w14:textId="77777777" w:rsidR="003520C6" w:rsidRDefault="003520C6">
      <w:pPr>
        <w:jc w:val="left"/>
        <w:rPr>
          <w:bCs/>
          <w:snapToGrid w:val="0"/>
          <w:kern w:val="22"/>
          <w:szCs w:val="22"/>
        </w:rPr>
      </w:pPr>
      <w:r>
        <w:br w:type="page"/>
      </w:r>
    </w:p>
    <w:p w14:paraId="5D6F4D26" w14:textId="77777777" w:rsidR="0021711D" w:rsidRPr="00F22800" w:rsidRDefault="0021711D" w:rsidP="00F22800">
      <w:pPr>
        <w:keepNext/>
        <w:spacing w:before="120" w:after="120"/>
        <w:jc w:val="center"/>
        <w:outlineLvl w:val="2"/>
      </w:pPr>
      <w:r>
        <w:rPr>
          <w:i/>
          <w:iCs/>
        </w:rPr>
        <w:lastRenderedPageBreak/>
        <w:t>Приложение III</w:t>
      </w:r>
    </w:p>
    <w:p w14:paraId="7248E73B" w14:textId="03263588" w:rsidR="00B3369F" w:rsidRDefault="00C60300" w:rsidP="009510BF">
      <w:pPr>
        <w:pStyle w:val="Heading1longmultiline"/>
        <w:ind w:left="0" w:firstLine="0"/>
        <w:jc w:val="center"/>
        <w:rPr>
          <w:snapToGrid w:val="0"/>
          <w:lang w:val="en-GB"/>
        </w:rPr>
      </w:pPr>
      <w:r w:rsidRPr="009510BF">
        <w:rPr>
          <w:snapToGrid w:val="0"/>
          <w:lang w:val="en-GB"/>
        </w:rPr>
        <w:t>ЕЖЕГОДНЫЕ РАСХОДЫ НА СОХРАНЕНИЕ БИОРАЗНООБРАЗИЯ И ЛАНДШАФТОВ В ПРОЦЕНТАХ ОТ ВАЛОВОГО ВНУТРЕННЕГО ПРОДУКТА</w:t>
      </w:r>
      <w:r w:rsidR="00596110">
        <w:rPr>
          <w:rStyle w:val="Appelnotedebasdep"/>
          <w:snapToGrid w:val="0"/>
        </w:rPr>
        <w:footnoteReference w:id="26"/>
      </w:r>
    </w:p>
    <w:tbl>
      <w:tblPr>
        <w:tblStyle w:val="Grilledutableau"/>
        <w:tblW w:w="0" w:type="auto"/>
        <w:tblLook w:val="04A0" w:firstRow="1" w:lastRow="0" w:firstColumn="1" w:lastColumn="0" w:noHBand="0" w:noVBand="1"/>
      </w:tblPr>
      <w:tblGrid>
        <w:gridCol w:w="1492"/>
        <w:gridCol w:w="1110"/>
        <w:gridCol w:w="1112"/>
        <w:gridCol w:w="1112"/>
        <w:gridCol w:w="1112"/>
        <w:gridCol w:w="1112"/>
        <w:gridCol w:w="1112"/>
        <w:gridCol w:w="1304"/>
      </w:tblGrid>
      <w:tr w:rsidR="009510BF" w:rsidRPr="00FB5EB6" w14:paraId="37062403" w14:textId="77777777" w:rsidTr="009510BF">
        <w:trPr>
          <w:cantSplit/>
          <w:tblHeader/>
        </w:trPr>
        <w:tc>
          <w:tcPr>
            <w:tcW w:w="1492" w:type="dxa"/>
            <w:hideMark/>
          </w:tcPr>
          <w:p w14:paraId="34F6C571" w14:textId="77777777" w:rsidR="009510BF" w:rsidRPr="00FB5EB6" w:rsidRDefault="009510BF" w:rsidP="00834454">
            <w:pPr>
              <w:jc w:val="left"/>
              <w:rPr>
                <w:rFonts w:asciiTheme="majorBidi" w:hAnsiTheme="majorBidi" w:cstheme="majorBidi"/>
                <w:sz w:val="20"/>
                <w:lang w:eastAsia="zh-CN"/>
              </w:rPr>
            </w:pPr>
          </w:p>
        </w:tc>
        <w:tc>
          <w:tcPr>
            <w:tcW w:w="1110" w:type="dxa"/>
            <w:hideMark/>
          </w:tcPr>
          <w:p w14:paraId="7A01511F"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2015</w:t>
            </w:r>
          </w:p>
        </w:tc>
        <w:tc>
          <w:tcPr>
            <w:tcW w:w="1112" w:type="dxa"/>
            <w:hideMark/>
          </w:tcPr>
          <w:p w14:paraId="1F9200A2"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2016</w:t>
            </w:r>
          </w:p>
        </w:tc>
        <w:tc>
          <w:tcPr>
            <w:tcW w:w="1112" w:type="dxa"/>
            <w:hideMark/>
          </w:tcPr>
          <w:p w14:paraId="3F2F0FC2"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2017</w:t>
            </w:r>
          </w:p>
        </w:tc>
        <w:tc>
          <w:tcPr>
            <w:tcW w:w="1112" w:type="dxa"/>
            <w:hideMark/>
          </w:tcPr>
          <w:p w14:paraId="0B7C5534"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2018</w:t>
            </w:r>
          </w:p>
        </w:tc>
        <w:tc>
          <w:tcPr>
            <w:tcW w:w="1112" w:type="dxa"/>
            <w:hideMark/>
          </w:tcPr>
          <w:p w14:paraId="3BDD698F"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2019</w:t>
            </w:r>
          </w:p>
        </w:tc>
        <w:tc>
          <w:tcPr>
            <w:tcW w:w="1112" w:type="dxa"/>
            <w:hideMark/>
          </w:tcPr>
          <w:p w14:paraId="3827593C"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2020</w:t>
            </w:r>
          </w:p>
        </w:tc>
        <w:tc>
          <w:tcPr>
            <w:tcW w:w="1304" w:type="dxa"/>
            <w:hideMark/>
          </w:tcPr>
          <w:p w14:paraId="589714CF" w14:textId="77777777" w:rsidR="009510BF" w:rsidRPr="00FB5EB6" w:rsidRDefault="009510BF" w:rsidP="00834454">
            <w:pPr>
              <w:spacing w:before="60" w:after="60"/>
              <w:jc w:val="center"/>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2021</w:t>
            </w:r>
          </w:p>
        </w:tc>
      </w:tr>
      <w:tr w:rsidR="009510BF" w:rsidRPr="00FB5EB6" w14:paraId="7FC20647" w14:textId="77777777" w:rsidTr="009510BF">
        <w:trPr>
          <w:trHeight w:val="330"/>
        </w:trPr>
        <w:tc>
          <w:tcPr>
            <w:tcW w:w="1492" w:type="dxa"/>
            <w:hideMark/>
          </w:tcPr>
          <w:p w14:paraId="01A066A1"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Австралия</w:t>
            </w:r>
          </w:p>
        </w:tc>
        <w:tc>
          <w:tcPr>
            <w:tcW w:w="1110" w:type="dxa"/>
            <w:hideMark/>
          </w:tcPr>
          <w:p w14:paraId="018DD24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0.15091</w:t>
            </w:r>
          </w:p>
        </w:tc>
        <w:tc>
          <w:tcPr>
            <w:tcW w:w="1112" w:type="dxa"/>
            <w:hideMark/>
          </w:tcPr>
          <w:p w14:paraId="38C9CD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0.15627</w:t>
            </w:r>
          </w:p>
        </w:tc>
        <w:tc>
          <w:tcPr>
            <w:tcW w:w="1112" w:type="dxa"/>
            <w:hideMark/>
          </w:tcPr>
          <w:p w14:paraId="30DAEB2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0.15704</w:t>
            </w:r>
          </w:p>
        </w:tc>
        <w:tc>
          <w:tcPr>
            <w:tcW w:w="1112" w:type="dxa"/>
            <w:hideMark/>
          </w:tcPr>
          <w:p w14:paraId="597C483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0.16102</w:t>
            </w:r>
          </w:p>
        </w:tc>
        <w:tc>
          <w:tcPr>
            <w:tcW w:w="1112" w:type="dxa"/>
            <w:hideMark/>
          </w:tcPr>
          <w:p w14:paraId="0FEBCC1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0.16177</w:t>
            </w:r>
          </w:p>
        </w:tc>
        <w:tc>
          <w:tcPr>
            <w:tcW w:w="1112" w:type="dxa"/>
            <w:hideMark/>
          </w:tcPr>
          <w:p w14:paraId="64013AD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0.13831</w:t>
            </w:r>
          </w:p>
        </w:tc>
        <w:tc>
          <w:tcPr>
            <w:tcW w:w="1304" w:type="dxa"/>
            <w:hideMark/>
          </w:tcPr>
          <w:p w14:paraId="1E3C061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3AE73E5E" w14:textId="77777777" w:rsidTr="009510BF">
        <w:trPr>
          <w:trHeight w:val="330"/>
        </w:trPr>
        <w:tc>
          <w:tcPr>
            <w:tcW w:w="1492" w:type="dxa"/>
            <w:hideMark/>
          </w:tcPr>
          <w:p w14:paraId="5177C9E7"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Австрия</w:t>
            </w:r>
          </w:p>
        </w:tc>
        <w:tc>
          <w:tcPr>
            <w:tcW w:w="1110" w:type="dxa"/>
            <w:hideMark/>
          </w:tcPr>
          <w:p w14:paraId="7B89835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0.02104</w:t>
            </w:r>
          </w:p>
        </w:tc>
        <w:tc>
          <w:tcPr>
            <w:tcW w:w="1112" w:type="dxa"/>
            <w:hideMark/>
          </w:tcPr>
          <w:p w14:paraId="6580E4C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0.02288</w:t>
            </w:r>
          </w:p>
        </w:tc>
        <w:tc>
          <w:tcPr>
            <w:tcW w:w="1112" w:type="dxa"/>
            <w:hideMark/>
          </w:tcPr>
          <w:p w14:paraId="1CD521B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0.02021</w:t>
            </w:r>
          </w:p>
        </w:tc>
        <w:tc>
          <w:tcPr>
            <w:tcW w:w="1112" w:type="dxa"/>
            <w:hideMark/>
          </w:tcPr>
          <w:p w14:paraId="377B8CF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0.02067</w:t>
            </w:r>
          </w:p>
        </w:tc>
        <w:tc>
          <w:tcPr>
            <w:tcW w:w="1112" w:type="dxa"/>
            <w:hideMark/>
          </w:tcPr>
          <w:p w14:paraId="19DC135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0.02089</w:t>
            </w:r>
          </w:p>
        </w:tc>
        <w:tc>
          <w:tcPr>
            <w:tcW w:w="1112" w:type="dxa"/>
            <w:hideMark/>
          </w:tcPr>
          <w:p w14:paraId="2ADE8CC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0.02138</w:t>
            </w:r>
          </w:p>
        </w:tc>
        <w:tc>
          <w:tcPr>
            <w:tcW w:w="1304" w:type="dxa"/>
            <w:hideMark/>
          </w:tcPr>
          <w:p w14:paraId="36CB9386"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7E44EE73" w14:textId="77777777" w:rsidTr="009510BF">
        <w:trPr>
          <w:trHeight w:val="330"/>
        </w:trPr>
        <w:tc>
          <w:tcPr>
            <w:tcW w:w="1492" w:type="dxa"/>
            <w:hideMark/>
          </w:tcPr>
          <w:p w14:paraId="545068F3"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Азербайджан</w:t>
            </w:r>
          </w:p>
        </w:tc>
        <w:tc>
          <w:tcPr>
            <w:tcW w:w="1110" w:type="dxa"/>
            <w:hideMark/>
          </w:tcPr>
          <w:p w14:paraId="2BD7131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0.00772</w:t>
            </w:r>
          </w:p>
        </w:tc>
        <w:tc>
          <w:tcPr>
            <w:tcW w:w="1112" w:type="dxa"/>
            <w:hideMark/>
          </w:tcPr>
          <w:p w14:paraId="7504008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0.03906</w:t>
            </w:r>
          </w:p>
        </w:tc>
        <w:tc>
          <w:tcPr>
            <w:tcW w:w="1112" w:type="dxa"/>
            <w:hideMark/>
          </w:tcPr>
          <w:p w14:paraId="3595AE4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0.02116</w:t>
            </w:r>
          </w:p>
        </w:tc>
        <w:tc>
          <w:tcPr>
            <w:tcW w:w="1112" w:type="dxa"/>
            <w:hideMark/>
          </w:tcPr>
          <w:p w14:paraId="4A4B0B3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0.02066</w:t>
            </w:r>
          </w:p>
        </w:tc>
        <w:tc>
          <w:tcPr>
            <w:tcW w:w="1112" w:type="dxa"/>
            <w:hideMark/>
          </w:tcPr>
          <w:p w14:paraId="3BF9424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0.01709</w:t>
            </w:r>
          </w:p>
        </w:tc>
        <w:tc>
          <w:tcPr>
            <w:tcW w:w="1112" w:type="dxa"/>
            <w:hideMark/>
          </w:tcPr>
          <w:p w14:paraId="646F56D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304" w:type="dxa"/>
            <w:hideMark/>
          </w:tcPr>
          <w:p w14:paraId="1E6405F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CE8601A" w14:textId="77777777" w:rsidTr="009510BF">
        <w:trPr>
          <w:trHeight w:val="330"/>
        </w:trPr>
        <w:tc>
          <w:tcPr>
            <w:tcW w:w="1492" w:type="dxa"/>
            <w:hideMark/>
          </w:tcPr>
          <w:p w14:paraId="357CB44E"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Албания</w:t>
            </w:r>
          </w:p>
        </w:tc>
        <w:tc>
          <w:tcPr>
            <w:tcW w:w="1110" w:type="dxa"/>
            <w:hideMark/>
          </w:tcPr>
          <w:p w14:paraId="0C1DD80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0.00173</w:t>
            </w:r>
          </w:p>
        </w:tc>
        <w:tc>
          <w:tcPr>
            <w:tcW w:w="1112" w:type="dxa"/>
            <w:hideMark/>
          </w:tcPr>
          <w:p w14:paraId="6FF42C4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0.00166</w:t>
            </w:r>
          </w:p>
        </w:tc>
        <w:tc>
          <w:tcPr>
            <w:tcW w:w="1112" w:type="dxa"/>
            <w:hideMark/>
          </w:tcPr>
          <w:p w14:paraId="0554579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0.00161</w:t>
            </w:r>
          </w:p>
        </w:tc>
        <w:tc>
          <w:tcPr>
            <w:tcW w:w="1112" w:type="dxa"/>
            <w:hideMark/>
          </w:tcPr>
          <w:p w14:paraId="0FB04E8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0.00091</w:t>
            </w:r>
          </w:p>
        </w:tc>
        <w:tc>
          <w:tcPr>
            <w:tcW w:w="1112" w:type="dxa"/>
            <w:hideMark/>
          </w:tcPr>
          <w:p w14:paraId="79C1B71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0.00080</w:t>
            </w:r>
          </w:p>
        </w:tc>
        <w:tc>
          <w:tcPr>
            <w:tcW w:w="1112" w:type="dxa"/>
            <w:hideMark/>
          </w:tcPr>
          <w:p w14:paraId="17998E4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0.00075</w:t>
            </w:r>
          </w:p>
        </w:tc>
        <w:tc>
          <w:tcPr>
            <w:tcW w:w="1304" w:type="dxa"/>
            <w:hideMark/>
          </w:tcPr>
          <w:p w14:paraId="78F2FD3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48F3EF0E" w14:textId="77777777" w:rsidTr="009510BF">
        <w:trPr>
          <w:trHeight w:val="330"/>
        </w:trPr>
        <w:tc>
          <w:tcPr>
            <w:tcW w:w="1492" w:type="dxa"/>
            <w:hideMark/>
          </w:tcPr>
          <w:p w14:paraId="19BB7F84"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Армения</w:t>
            </w:r>
          </w:p>
        </w:tc>
        <w:tc>
          <w:tcPr>
            <w:tcW w:w="1110" w:type="dxa"/>
            <w:hideMark/>
          </w:tcPr>
          <w:p w14:paraId="4917BC06" w14:textId="77777777" w:rsidR="009510BF" w:rsidRPr="00FB5EB6" w:rsidRDefault="009510BF" w:rsidP="00834454">
            <w:pPr>
              <w:jc w:val="left"/>
              <w:rPr>
                <w:rFonts w:asciiTheme="majorBidi" w:hAnsiTheme="majorBidi" w:cstheme="majorBidi"/>
                <w:color w:val="000000"/>
                <w:sz w:val="18"/>
                <w:szCs w:val="18"/>
                <w:lang w:eastAsia="zh-CN"/>
              </w:rPr>
            </w:pPr>
          </w:p>
        </w:tc>
        <w:tc>
          <w:tcPr>
            <w:tcW w:w="1112" w:type="dxa"/>
            <w:hideMark/>
          </w:tcPr>
          <w:p w14:paraId="2E95208D"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2A0E8A0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0.05980</w:t>
            </w:r>
          </w:p>
        </w:tc>
        <w:tc>
          <w:tcPr>
            <w:tcW w:w="1112" w:type="dxa"/>
            <w:hideMark/>
          </w:tcPr>
          <w:p w14:paraId="0AD303D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0.07386</w:t>
            </w:r>
          </w:p>
        </w:tc>
        <w:tc>
          <w:tcPr>
            <w:tcW w:w="1112" w:type="dxa"/>
            <w:hideMark/>
          </w:tcPr>
          <w:p w14:paraId="5C47374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0.05371</w:t>
            </w:r>
          </w:p>
        </w:tc>
        <w:tc>
          <w:tcPr>
            <w:tcW w:w="1112" w:type="dxa"/>
            <w:hideMark/>
          </w:tcPr>
          <w:p w14:paraId="331FA4E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0.02038</w:t>
            </w:r>
          </w:p>
        </w:tc>
        <w:tc>
          <w:tcPr>
            <w:tcW w:w="1304" w:type="dxa"/>
            <w:hideMark/>
          </w:tcPr>
          <w:p w14:paraId="60055DFF"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11F4D589" w14:textId="77777777" w:rsidTr="009510BF">
        <w:trPr>
          <w:trHeight w:val="330"/>
        </w:trPr>
        <w:tc>
          <w:tcPr>
            <w:tcW w:w="1492" w:type="dxa"/>
            <w:hideMark/>
          </w:tcPr>
          <w:p w14:paraId="5126C9BF"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Афганистан</w:t>
            </w:r>
          </w:p>
        </w:tc>
        <w:tc>
          <w:tcPr>
            <w:tcW w:w="1110" w:type="dxa"/>
            <w:hideMark/>
          </w:tcPr>
          <w:p w14:paraId="5816802C" w14:textId="77777777" w:rsidR="009510BF" w:rsidRPr="00FB5EB6" w:rsidRDefault="009510BF" w:rsidP="00834454">
            <w:pPr>
              <w:jc w:val="left"/>
              <w:rPr>
                <w:rFonts w:asciiTheme="majorBidi" w:hAnsiTheme="majorBidi" w:cstheme="majorBidi"/>
                <w:color w:val="000000"/>
                <w:sz w:val="18"/>
                <w:szCs w:val="18"/>
                <w:lang w:eastAsia="zh-CN"/>
              </w:rPr>
            </w:pPr>
          </w:p>
        </w:tc>
        <w:tc>
          <w:tcPr>
            <w:tcW w:w="1112" w:type="dxa"/>
            <w:hideMark/>
          </w:tcPr>
          <w:p w14:paraId="7240056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0.00943</w:t>
            </w:r>
          </w:p>
        </w:tc>
        <w:tc>
          <w:tcPr>
            <w:tcW w:w="1112" w:type="dxa"/>
            <w:hideMark/>
          </w:tcPr>
          <w:p w14:paraId="1D1B3B9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0.09134</w:t>
            </w:r>
          </w:p>
        </w:tc>
        <w:tc>
          <w:tcPr>
            <w:tcW w:w="1112" w:type="dxa"/>
            <w:hideMark/>
          </w:tcPr>
          <w:p w14:paraId="38C92815" w14:textId="77777777" w:rsidR="009510BF" w:rsidRPr="00FB5EB6" w:rsidRDefault="009510BF" w:rsidP="00834454">
            <w:pPr>
              <w:jc w:val="right"/>
              <w:rPr>
                <w:rFonts w:asciiTheme="majorBidi" w:hAnsiTheme="majorBidi" w:cstheme="majorBidi"/>
                <w:color w:val="000000"/>
                <w:sz w:val="18"/>
                <w:szCs w:val="18"/>
                <w:lang w:eastAsia="zh-CN"/>
              </w:rPr>
            </w:pPr>
          </w:p>
        </w:tc>
        <w:tc>
          <w:tcPr>
            <w:tcW w:w="1112" w:type="dxa"/>
            <w:hideMark/>
          </w:tcPr>
          <w:p w14:paraId="18137184"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3CF69E29" w14:textId="77777777" w:rsidR="009510BF" w:rsidRPr="00FB5EB6" w:rsidRDefault="009510BF" w:rsidP="00834454">
            <w:pPr>
              <w:jc w:val="right"/>
              <w:rPr>
                <w:rFonts w:asciiTheme="majorBidi" w:hAnsiTheme="majorBidi" w:cstheme="majorBidi"/>
                <w:sz w:val="18"/>
                <w:szCs w:val="18"/>
                <w:lang w:eastAsia="zh-CN"/>
              </w:rPr>
            </w:pPr>
          </w:p>
        </w:tc>
        <w:tc>
          <w:tcPr>
            <w:tcW w:w="1304" w:type="dxa"/>
            <w:hideMark/>
          </w:tcPr>
          <w:p w14:paraId="5C1E5020" w14:textId="77777777" w:rsidR="009510BF" w:rsidRPr="00FB5EB6" w:rsidRDefault="009510BF" w:rsidP="00834454">
            <w:pPr>
              <w:jc w:val="right"/>
              <w:rPr>
                <w:rFonts w:asciiTheme="majorBidi" w:hAnsiTheme="majorBidi" w:cstheme="majorBidi"/>
                <w:sz w:val="18"/>
                <w:szCs w:val="18"/>
                <w:lang w:eastAsia="zh-CN"/>
              </w:rPr>
            </w:pPr>
          </w:p>
        </w:tc>
      </w:tr>
      <w:tr w:rsidR="009510BF" w:rsidRPr="00FB5EB6" w14:paraId="1145336A" w14:textId="77777777" w:rsidTr="009510BF">
        <w:trPr>
          <w:trHeight w:val="330"/>
        </w:trPr>
        <w:tc>
          <w:tcPr>
            <w:tcW w:w="1492" w:type="dxa"/>
            <w:hideMark/>
          </w:tcPr>
          <w:p w14:paraId="78B0B08C"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Бельгия</w:t>
            </w:r>
          </w:p>
        </w:tc>
        <w:tc>
          <w:tcPr>
            <w:tcW w:w="1110" w:type="dxa"/>
            <w:hideMark/>
          </w:tcPr>
          <w:p w14:paraId="2D71EB8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0.05071</w:t>
            </w:r>
          </w:p>
        </w:tc>
        <w:tc>
          <w:tcPr>
            <w:tcW w:w="1112" w:type="dxa"/>
            <w:hideMark/>
          </w:tcPr>
          <w:p w14:paraId="0664D5C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0.05871</w:t>
            </w:r>
          </w:p>
        </w:tc>
        <w:tc>
          <w:tcPr>
            <w:tcW w:w="1112" w:type="dxa"/>
            <w:hideMark/>
          </w:tcPr>
          <w:p w14:paraId="656A47A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0.05860</w:t>
            </w:r>
          </w:p>
        </w:tc>
        <w:tc>
          <w:tcPr>
            <w:tcW w:w="1112" w:type="dxa"/>
            <w:hideMark/>
          </w:tcPr>
          <w:p w14:paraId="394B9E0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0.04764</w:t>
            </w:r>
          </w:p>
        </w:tc>
        <w:tc>
          <w:tcPr>
            <w:tcW w:w="1112" w:type="dxa"/>
            <w:hideMark/>
          </w:tcPr>
          <w:p w14:paraId="24FA032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0.05836</w:t>
            </w:r>
          </w:p>
        </w:tc>
        <w:tc>
          <w:tcPr>
            <w:tcW w:w="1112" w:type="dxa"/>
            <w:hideMark/>
          </w:tcPr>
          <w:p w14:paraId="2658BBA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0.06505</w:t>
            </w:r>
          </w:p>
        </w:tc>
        <w:tc>
          <w:tcPr>
            <w:tcW w:w="1304" w:type="dxa"/>
            <w:hideMark/>
          </w:tcPr>
          <w:p w14:paraId="3522C0A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3B65F008" w14:textId="77777777" w:rsidTr="009510BF">
        <w:trPr>
          <w:trHeight w:val="330"/>
        </w:trPr>
        <w:tc>
          <w:tcPr>
            <w:tcW w:w="1492" w:type="dxa"/>
            <w:hideMark/>
          </w:tcPr>
          <w:p w14:paraId="26D22933"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Болгария</w:t>
            </w:r>
          </w:p>
        </w:tc>
        <w:tc>
          <w:tcPr>
            <w:tcW w:w="1110" w:type="dxa"/>
            <w:hideMark/>
          </w:tcPr>
          <w:p w14:paraId="67834C2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0.00991</w:t>
            </w:r>
          </w:p>
        </w:tc>
        <w:tc>
          <w:tcPr>
            <w:tcW w:w="1112" w:type="dxa"/>
            <w:hideMark/>
          </w:tcPr>
          <w:p w14:paraId="330CC6E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0.00156</w:t>
            </w:r>
          </w:p>
        </w:tc>
        <w:tc>
          <w:tcPr>
            <w:tcW w:w="1112" w:type="dxa"/>
            <w:hideMark/>
          </w:tcPr>
          <w:p w14:paraId="0C37BD9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0.01260</w:t>
            </w:r>
          </w:p>
        </w:tc>
        <w:tc>
          <w:tcPr>
            <w:tcW w:w="1112" w:type="dxa"/>
            <w:hideMark/>
          </w:tcPr>
          <w:p w14:paraId="51707D9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0.00668</w:t>
            </w:r>
          </w:p>
        </w:tc>
        <w:tc>
          <w:tcPr>
            <w:tcW w:w="1112" w:type="dxa"/>
            <w:hideMark/>
          </w:tcPr>
          <w:p w14:paraId="638E740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0.00961</w:t>
            </w:r>
          </w:p>
        </w:tc>
        <w:tc>
          <w:tcPr>
            <w:tcW w:w="1112" w:type="dxa"/>
            <w:hideMark/>
          </w:tcPr>
          <w:p w14:paraId="6B06F60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0.00522</w:t>
            </w:r>
          </w:p>
        </w:tc>
        <w:tc>
          <w:tcPr>
            <w:tcW w:w="1304" w:type="dxa"/>
            <w:hideMark/>
          </w:tcPr>
          <w:p w14:paraId="05196C8C"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4F7784CC" w14:textId="77777777" w:rsidTr="009510BF">
        <w:trPr>
          <w:trHeight w:val="330"/>
        </w:trPr>
        <w:tc>
          <w:tcPr>
            <w:tcW w:w="1492" w:type="dxa"/>
            <w:tcBorders>
              <w:bottom w:val="single" w:sz="4" w:space="0" w:color="auto"/>
            </w:tcBorders>
            <w:hideMark/>
          </w:tcPr>
          <w:p w14:paraId="50B62D1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Великобритания</w:t>
            </w:r>
          </w:p>
        </w:tc>
        <w:tc>
          <w:tcPr>
            <w:tcW w:w="1110" w:type="dxa"/>
            <w:tcBorders>
              <w:bottom w:val="single" w:sz="4" w:space="0" w:color="auto"/>
            </w:tcBorders>
            <w:hideMark/>
          </w:tcPr>
          <w:p w14:paraId="77EC781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0.02920</w:t>
            </w:r>
          </w:p>
        </w:tc>
        <w:tc>
          <w:tcPr>
            <w:tcW w:w="1112" w:type="dxa"/>
            <w:tcBorders>
              <w:bottom w:val="single" w:sz="4" w:space="0" w:color="auto"/>
            </w:tcBorders>
            <w:hideMark/>
          </w:tcPr>
          <w:p w14:paraId="45C7CEB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0.02911</w:t>
            </w:r>
          </w:p>
        </w:tc>
        <w:tc>
          <w:tcPr>
            <w:tcW w:w="1112" w:type="dxa"/>
            <w:tcBorders>
              <w:bottom w:val="single" w:sz="4" w:space="0" w:color="auto"/>
            </w:tcBorders>
            <w:hideMark/>
          </w:tcPr>
          <w:p w14:paraId="1D5128F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0.02661</w:t>
            </w:r>
          </w:p>
        </w:tc>
        <w:tc>
          <w:tcPr>
            <w:tcW w:w="1112" w:type="dxa"/>
            <w:tcBorders>
              <w:bottom w:val="single" w:sz="4" w:space="0" w:color="auto"/>
            </w:tcBorders>
            <w:hideMark/>
          </w:tcPr>
          <w:p w14:paraId="4D9CEB8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0.02171</w:t>
            </w:r>
          </w:p>
        </w:tc>
        <w:tc>
          <w:tcPr>
            <w:tcW w:w="1112" w:type="dxa"/>
            <w:tcBorders>
              <w:bottom w:val="single" w:sz="4" w:space="0" w:color="auto"/>
            </w:tcBorders>
            <w:hideMark/>
          </w:tcPr>
          <w:p w14:paraId="1803D66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0.01929</w:t>
            </w:r>
          </w:p>
        </w:tc>
        <w:tc>
          <w:tcPr>
            <w:tcW w:w="1112" w:type="dxa"/>
            <w:tcBorders>
              <w:bottom w:val="single" w:sz="4" w:space="0" w:color="auto"/>
            </w:tcBorders>
            <w:hideMark/>
          </w:tcPr>
          <w:p w14:paraId="6644469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0.01814</w:t>
            </w:r>
          </w:p>
        </w:tc>
        <w:tc>
          <w:tcPr>
            <w:tcW w:w="1304" w:type="dxa"/>
            <w:tcBorders>
              <w:bottom w:val="single" w:sz="4" w:space="0" w:color="auto"/>
            </w:tcBorders>
            <w:hideMark/>
          </w:tcPr>
          <w:p w14:paraId="6455ED2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07AD37B4" w14:textId="77777777" w:rsidTr="009510BF">
        <w:trPr>
          <w:trHeight w:val="330"/>
        </w:trPr>
        <w:tc>
          <w:tcPr>
            <w:tcW w:w="1492" w:type="dxa"/>
            <w:hideMark/>
          </w:tcPr>
          <w:p w14:paraId="372E7694"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Венгрия</w:t>
            </w:r>
          </w:p>
        </w:tc>
        <w:tc>
          <w:tcPr>
            <w:tcW w:w="1110" w:type="dxa"/>
            <w:hideMark/>
          </w:tcPr>
          <w:p w14:paraId="0C87D7E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0.07368</w:t>
            </w:r>
          </w:p>
        </w:tc>
        <w:tc>
          <w:tcPr>
            <w:tcW w:w="1112" w:type="dxa"/>
            <w:hideMark/>
          </w:tcPr>
          <w:p w14:paraId="527234A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0.05320</w:t>
            </w:r>
          </w:p>
        </w:tc>
        <w:tc>
          <w:tcPr>
            <w:tcW w:w="1112" w:type="dxa"/>
            <w:hideMark/>
          </w:tcPr>
          <w:p w14:paraId="025A909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0.05198</w:t>
            </w:r>
          </w:p>
        </w:tc>
        <w:tc>
          <w:tcPr>
            <w:tcW w:w="1112" w:type="dxa"/>
            <w:hideMark/>
          </w:tcPr>
          <w:p w14:paraId="67697A8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0.05197</w:t>
            </w:r>
          </w:p>
        </w:tc>
        <w:tc>
          <w:tcPr>
            <w:tcW w:w="1112" w:type="dxa"/>
            <w:hideMark/>
          </w:tcPr>
          <w:p w14:paraId="548E2AB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0.06348</w:t>
            </w:r>
          </w:p>
        </w:tc>
        <w:tc>
          <w:tcPr>
            <w:tcW w:w="1112" w:type="dxa"/>
            <w:hideMark/>
          </w:tcPr>
          <w:p w14:paraId="6D099C9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0.05908</w:t>
            </w:r>
          </w:p>
        </w:tc>
        <w:tc>
          <w:tcPr>
            <w:tcW w:w="1304" w:type="dxa"/>
            <w:hideMark/>
          </w:tcPr>
          <w:p w14:paraId="24CA806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4C81F607" w14:textId="77777777" w:rsidTr="009510BF">
        <w:trPr>
          <w:trHeight w:val="330"/>
        </w:trPr>
        <w:tc>
          <w:tcPr>
            <w:tcW w:w="1492" w:type="dxa"/>
            <w:hideMark/>
          </w:tcPr>
          <w:p w14:paraId="1B3EBC0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Гватемала</w:t>
            </w:r>
          </w:p>
        </w:tc>
        <w:tc>
          <w:tcPr>
            <w:tcW w:w="1110" w:type="dxa"/>
            <w:hideMark/>
          </w:tcPr>
          <w:p w14:paraId="50BFFE8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0.09150</w:t>
            </w:r>
          </w:p>
        </w:tc>
        <w:tc>
          <w:tcPr>
            <w:tcW w:w="1112" w:type="dxa"/>
            <w:hideMark/>
          </w:tcPr>
          <w:p w14:paraId="709484C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0.09825</w:t>
            </w:r>
          </w:p>
        </w:tc>
        <w:tc>
          <w:tcPr>
            <w:tcW w:w="1112" w:type="dxa"/>
            <w:hideMark/>
          </w:tcPr>
          <w:p w14:paraId="0CB6397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0.06112</w:t>
            </w:r>
          </w:p>
        </w:tc>
        <w:tc>
          <w:tcPr>
            <w:tcW w:w="1112" w:type="dxa"/>
            <w:hideMark/>
          </w:tcPr>
          <w:p w14:paraId="45C7FB4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0.09993</w:t>
            </w:r>
          </w:p>
        </w:tc>
        <w:tc>
          <w:tcPr>
            <w:tcW w:w="1112" w:type="dxa"/>
            <w:hideMark/>
          </w:tcPr>
          <w:p w14:paraId="23FF933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0.10179</w:t>
            </w:r>
          </w:p>
        </w:tc>
        <w:tc>
          <w:tcPr>
            <w:tcW w:w="1112" w:type="dxa"/>
            <w:hideMark/>
          </w:tcPr>
          <w:p w14:paraId="1EC0205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0.11316</w:t>
            </w:r>
          </w:p>
        </w:tc>
        <w:tc>
          <w:tcPr>
            <w:tcW w:w="1304" w:type="dxa"/>
            <w:hideMark/>
          </w:tcPr>
          <w:p w14:paraId="4BA67922"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23AC75BC" w14:textId="77777777" w:rsidTr="009510BF">
        <w:trPr>
          <w:trHeight w:val="330"/>
        </w:trPr>
        <w:tc>
          <w:tcPr>
            <w:tcW w:w="1492" w:type="dxa"/>
            <w:hideMark/>
          </w:tcPr>
          <w:p w14:paraId="30C83ADE"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Германия</w:t>
            </w:r>
          </w:p>
        </w:tc>
        <w:tc>
          <w:tcPr>
            <w:tcW w:w="1110" w:type="dxa"/>
            <w:hideMark/>
          </w:tcPr>
          <w:p w14:paraId="0C8725B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0.04778</w:t>
            </w:r>
          </w:p>
        </w:tc>
        <w:tc>
          <w:tcPr>
            <w:tcW w:w="1112" w:type="dxa"/>
            <w:hideMark/>
          </w:tcPr>
          <w:p w14:paraId="37BE0FB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0.04760</w:t>
            </w:r>
          </w:p>
        </w:tc>
        <w:tc>
          <w:tcPr>
            <w:tcW w:w="1112" w:type="dxa"/>
            <w:hideMark/>
          </w:tcPr>
          <w:p w14:paraId="116D57C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0.04937</w:t>
            </w:r>
          </w:p>
        </w:tc>
        <w:tc>
          <w:tcPr>
            <w:tcW w:w="1112" w:type="dxa"/>
            <w:hideMark/>
          </w:tcPr>
          <w:p w14:paraId="2ACCB8D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0.04763</w:t>
            </w:r>
          </w:p>
        </w:tc>
        <w:tc>
          <w:tcPr>
            <w:tcW w:w="1112" w:type="dxa"/>
            <w:hideMark/>
          </w:tcPr>
          <w:p w14:paraId="0ADC0A9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0.05142</w:t>
            </w:r>
          </w:p>
        </w:tc>
        <w:tc>
          <w:tcPr>
            <w:tcW w:w="1112" w:type="dxa"/>
            <w:hideMark/>
          </w:tcPr>
          <w:p w14:paraId="3690023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0.05764</w:t>
            </w:r>
          </w:p>
        </w:tc>
        <w:tc>
          <w:tcPr>
            <w:tcW w:w="1304" w:type="dxa"/>
            <w:hideMark/>
          </w:tcPr>
          <w:p w14:paraId="4DB13E36"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6AD695A6" w14:textId="77777777" w:rsidTr="009510BF">
        <w:trPr>
          <w:trHeight w:val="330"/>
        </w:trPr>
        <w:tc>
          <w:tcPr>
            <w:tcW w:w="1492" w:type="dxa"/>
            <w:hideMark/>
          </w:tcPr>
          <w:p w14:paraId="2A2D7827"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Греция</w:t>
            </w:r>
          </w:p>
        </w:tc>
        <w:tc>
          <w:tcPr>
            <w:tcW w:w="1110" w:type="dxa"/>
            <w:hideMark/>
          </w:tcPr>
          <w:p w14:paraId="2D67354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0.00227</w:t>
            </w:r>
          </w:p>
        </w:tc>
        <w:tc>
          <w:tcPr>
            <w:tcW w:w="1112" w:type="dxa"/>
            <w:hideMark/>
          </w:tcPr>
          <w:p w14:paraId="6B72C43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0.00230</w:t>
            </w:r>
          </w:p>
        </w:tc>
        <w:tc>
          <w:tcPr>
            <w:tcW w:w="1112" w:type="dxa"/>
            <w:hideMark/>
          </w:tcPr>
          <w:p w14:paraId="2CDE8EB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0.00226</w:t>
            </w:r>
          </w:p>
        </w:tc>
        <w:tc>
          <w:tcPr>
            <w:tcW w:w="1112" w:type="dxa"/>
            <w:hideMark/>
          </w:tcPr>
          <w:p w14:paraId="7116757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0.00223</w:t>
            </w:r>
          </w:p>
        </w:tc>
        <w:tc>
          <w:tcPr>
            <w:tcW w:w="1112" w:type="dxa"/>
            <w:hideMark/>
          </w:tcPr>
          <w:p w14:paraId="05A57F1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0.00218</w:t>
            </w:r>
          </w:p>
        </w:tc>
        <w:tc>
          <w:tcPr>
            <w:tcW w:w="1112" w:type="dxa"/>
            <w:hideMark/>
          </w:tcPr>
          <w:p w14:paraId="390A8BE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0.00181</w:t>
            </w:r>
          </w:p>
        </w:tc>
        <w:tc>
          <w:tcPr>
            <w:tcW w:w="1304" w:type="dxa"/>
            <w:hideMark/>
          </w:tcPr>
          <w:p w14:paraId="64A6B76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77E3D277" w14:textId="77777777" w:rsidTr="009510BF">
        <w:trPr>
          <w:trHeight w:val="330"/>
        </w:trPr>
        <w:tc>
          <w:tcPr>
            <w:tcW w:w="1492" w:type="dxa"/>
            <w:hideMark/>
          </w:tcPr>
          <w:p w14:paraId="4537FA17"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Грузия</w:t>
            </w:r>
          </w:p>
        </w:tc>
        <w:tc>
          <w:tcPr>
            <w:tcW w:w="1110" w:type="dxa"/>
            <w:hideMark/>
          </w:tcPr>
          <w:p w14:paraId="0F8216B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0.16031</w:t>
            </w:r>
          </w:p>
        </w:tc>
        <w:tc>
          <w:tcPr>
            <w:tcW w:w="1112" w:type="dxa"/>
            <w:hideMark/>
          </w:tcPr>
          <w:p w14:paraId="0CADC2C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0.17245</w:t>
            </w:r>
          </w:p>
        </w:tc>
        <w:tc>
          <w:tcPr>
            <w:tcW w:w="1112" w:type="dxa"/>
            <w:hideMark/>
          </w:tcPr>
          <w:p w14:paraId="0115CF1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0.15529</w:t>
            </w:r>
          </w:p>
        </w:tc>
        <w:tc>
          <w:tcPr>
            <w:tcW w:w="1112" w:type="dxa"/>
            <w:hideMark/>
          </w:tcPr>
          <w:p w14:paraId="3CB58E4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0.12242</w:t>
            </w:r>
          </w:p>
        </w:tc>
        <w:tc>
          <w:tcPr>
            <w:tcW w:w="1112" w:type="dxa"/>
            <w:hideMark/>
          </w:tcPr>
          <w:p w14:paraId="1C20F29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0.17156</w:t>
            </w:r>
          </w:p>
        </w:tc>
        <w:tc>
          <w:tcPr>
            <w:tcW w:w="1112" w:type="dxa"/>
            <w:hideMark/>
          </w:tcPr>
          <w:p w14:paraId="37088A1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0.21089</w:t>
            </w:r>
          </w:p>
        </w:tc>
        <w:tc>
          <w:tcPr>
            <w:tcW w:w="1304" w:type="dxa"/>
            <w:hideMark/>
          </w:tcPr>
          <w:p w14:paraId="5DA757E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0.24854</w:t>
            </w:r>
          </w:p>
        </w:tc>
      </w:tr>
      <w:tr w:rsidR="009510BF" w:rsidRPr="00FB5EB6" w14:paraId="052A6DF0" w14:textId="77777777" w:rsidTr="009510BF">
        <w:trPr>
          <w:trHeight w:val="330"/>
        </w:trPr>
        <w:tc>
          <w:tcPr>
            <w:tcW w:w="1492" w:type="dxa"/>
            <w:hideMark/>
          </w:tcPr>
          <w:p w14:paraId="7A0E1D1B"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Дания</w:t>
            </w:r>
          </w:p>
        </w:tc>
        <w:tc>
          <w:tcPr>
            <w:tcW w:w="1110" w:type="dxa"/>
            <w:hideMark/>
          </w:tcPr>
          <w:p w14:paraId="0A7F9B0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0.19884</w:t>
            </w:r>
          </w:p>
        </w:tc>
        <w:tc>
          <w:tcPr>
            <w:tcW w:w="1112" w:type="dxa"/>
            <w:hideMark/>
          </w:tcPr>
          <w:p w14:paraId="5C6A5B7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0.19822</w:t>
            </w:r>
          </w:p>
        </w:tc>
        <w:tc>
          <w:tcPr>
            <w:tcW w:w="1112" w:type="dxa"/>
            <w:hideMark/>
          </w:tcPr>
          <w:p w14:paraId="7744BA5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0.18295</w:t>
            </w:r>
          </w:p>
        </w:tc>
        <w:tc>
          <w:tcPr>
            <w:tcW w:w="1112" w:type="dxa"/>
            <w:hideMark/>
          </w:tcPr>
          <w:p w14:paraId="22ADF6C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0.18981</w:t>
            </w:r>
          </w:p>
        </w:tc>
        <w:tc>
          <w:tcPr>
            <w:tcW w:w="1112" w:type="dxa"/>
            <w:hideMark/>
          </w:tcPr>
          <w:p w14:paraId="06E0C8F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0.17454</w:t>
            </w:r>
          </w:p>
        </w:tc>
        <w:tc>
          <w:tcPr>
            <w:tcW w:w="1112" w:type="dxa"/>
            <w:hideMark/>
          </w:tcPr>
          <w:p w14:paraId="7889BC8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0.18755</w:t>
            </w:r>
          </w:p>
        </w:tc>
        <w:tc>
          <w:tcPr>
            <w:tcW w:w="1304" w:type="dxa"/>
            <w:hideMark/>
          </w:tcPr>
          <w:p w14:paraId="5712BEB1"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744EA5B2" w14:textId="77777777" w:rsidTr="009510BF">
        <w:trPr>
          <w:trHeight w:val="330"/>
        </w:trPr>
        <w:tc>
          <w:tcPr>
            <w:tcW w:w="1492" w:type="dxa"/>
            <w:hideMark/>
          </w:tcPr>
          <w:p w14:paraId="47C8374D"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Израиль</w:t>
            </w:r>
          </w:p>
        </w:tc>
        <w:tc>
          <w:tcPr>
            <w:tcW w:w="1110" w:type="dxa"/>
            <w:hideMark/>
          </w:tcPr>
          <w:p w14:paraId="66FE57C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0.00469</w:t>
            </w:r>
          </w:p>
        </w:tc>
        <w:tc>
          <w:tcPr>
            <w:tcW w:w="1112" w:type="dxa"/>
            <w:hideMark/>
          </w:tcPr>
          <w:p w14:paraId="4679EF6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0.00730</w:t>
            </w:r>
          </w:p>
        </w:tc>
        <w:tc>
          <w:tcPr>
            <w:tcW w:w="1112" w:type="dxa"/>
            <w:hideMark/>
          </w:tcPr>
          <w:p w14:paraId="4EE1AC7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0.00551</w:t>
            </w:r>
          </w:p>
        </w:tc>
        <w:tc>
          <w:tcPr>
            <w:tcW w:w="1112" w:type="dxa"/>
            <w:hideMark/>
          </w:tcPr>
          <w:p w14:paraId="42A2229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0.00774</w:t>
            </w:r>
          </w:p>
        </w:tc>
        <w:tc>
          <w:tcPr>
            <w:tcW w:w="1112" w:type="dxa"/>
            <w:hideMark/>
          </w:tcPr>
          <w:p w14:paraId="611651D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0.01297</w:t>
            </w:r>
          </w:p>
        </w:tc>
        <w:tc>
          <w:tcPr>
            <w:tcW w:w="1112" w:type="dxa"/>
            <w:hideMark/>
          </w:tcPr>
          <w:p w14:paraId="304DEA5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0.00977</w:t>
            </w:r>
          </w:p>
        </w:tc>
        <w:tc>
          <w:tcPr>
            <w:tcW w:w="1304" w:type="dxa"/>
            <w:hideMark/>
          </w:tcPr>
          <w:p w14:paraId="3824BC0A"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0FF3AB97" w14:textId="77777777" w:rsidTr="009510BF">
        <w:trPr>
          <w:trHeight w:val="330"/>
        </w:trPr>
        <w:tc>
          <w:tcPr>
            <w:tcW w:w="1492" w:type="dxa"/>
            <w:hideMark/>
          </w:tcPr>
          <w:p w14:paraId="0837843F"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Ирландия</w:t>
            </w:r>
          </w:p>
        </w:tc>
        <w:tc>
          <w:tcPr>
            <w:tcW w:w="1110" w:type="dxa"/>
            <w:hideMark/>
          </w:tcPr>
          <w:p w14:paraId="54D90BA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0.10942</w:t>
            </w:r>
          </w:p>
        </w:tc>
        <w:tc>
          <w:tcPr>
            <w:tcW w:w="1112" w:type="dxa"/>
            <w:hideMark/>
          </w:tcPr>
          <w:p w14:paraId="259FCF7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0.10164</w:t>
            </w:r>
          </w:p>
        </w:tc>
        <w:tc>
          <w:tcPr>
            <w:tcW w:w="1112" w:type="dxa"/>
            <w:hideMark/>
          </w:tcPr>
          <w:p w14:paraId="7EE6057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0.09008</w:t>
            </w:r>
          </w:p>
        </w:tc>
        <w:tc>
          <w:tcPr>
            <w:tcW w:w="1112" w:type="dxa"/>
            <w:hideMark/>
          </w:tcPr>
          <w:p w14:paraId="596D1AF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0.08985</w:t>
            </w:r>
          </w:p>
        </w:tc>
        <w:tc>
          <w:tcPr>
            <w:tcW w:w="1112" w:type="dxa"/>
            <w:hideMark/>
          </w:tcPr>
          <w:p w14:paraId="49AF990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0.07647</w:t>
            </w:r>
          </w:p>
        </w:tc>
        <w:tc>
          <w:tcPr>
            <w:tcW w:w="1112" w:type="dxa"/>
            <w:hideMark/>
          </w:tcPr>
          <w:p w14:paraId="708F20B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0.07480</w:t>
            </w:r>
          </w:p>
        </w:tc>
        <w:tc>
          <w:tcPr>
            <w:tcW w:w="1304" w:type="dxa"/>
            <w:hideMark/>
          </w:tcPr>
          <w:p w14:paraId="3DE832D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03AC6635" w14:textId="77777777" w:rsidTr="009510BF">
        <w:trPr>
          <w:trHeight w:val="330"/>
        </w:trPr>
        <w:tc>
          <w:tcPr>
            <w:tcW w:w="1492" w:type="dxa"/>
            <w:hideMark/>
          </w:tcPr>
          <w:p w14:paraId="120A83E5"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Исландия</w:t>
            </w:r>
          </w:p>
        </w:tc>
        <w:tc>
          <w:tcPr>
            <w:tcW w:w="1110" w:type="dxa"/>
            <w:hideMark/>
          </w:tcPr>
          <w:p w14:paraId="387298F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0.16448</w:t>
            </w:r>
          </w:p>
        </w:tc>
        <w:tc>
          <w:tcPr>
            <w:tcW w:w="1112" w:type="dxa"/>
            <w:hideMark/>
          </w:tcPr>
          <w:p w14:paraId="1F63457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0.16321</w:t>
            </w:r>
          </w:p>
        </w:tc>
        <w:tc>
          <w:tcPr>
            <w:tcW w:w="1112" w:type="dxa"/>
            <w:hideMark/>
          </w:tcPr>
          <w:p w14:paraId="3E6C211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0.20405</w:t>
            </w:r>
          </w:p>
        </w:tc>
        <w:tc>
          <w:tcPr>
            <w:tcW w:w="1112" w:type="dxa"/>
            <w:hideMark/>
          </w:tcPr>
          <w:p w14:paraId="553D96A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0.21024</w:t>
            </w:r>
          </w:p>
        </w:tc>
        <w:tc>
          <w:tcPr>
            <w:tcW w:w="1112" w:type="dxa"/>
            <w:hideMark/>
          </w:tcPr>
          <w:p w14:paraId="36C8E90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0.18342</w:t>
            </w:r>
          </w:p>
        </w:tc>
        <w:tc>
          <w:tcPr>
            <w:tcW w:w="1112" w:type="dxa"/>
            <w:hideMark/>
          </w:tcPr>
          <w:p w14:paraId="54A03DA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0.22610</w:t>
            </w:r>
          </w:p>
        </w:tc>
        <w:tc>
          <w:tcPr>
            <w:tcW w:w="1304" w:type="dxa"/>
            <w:hideMark/>
          </w:tcPr>
          <w:p w14:paraId="226B266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0.20635</w:t>
            </w:r>
          </w:p>
        </w:tc>
      </w:tr>
      <w:tr w:rsidR="009510BF" w:rsidRPr="00FB5EB6" w14:paraId="64EF7881" w14:textId="77777777" w:rsidTr="009510BF">
        <w:trPr>
          <w:trHeight w:val="330"/>
        </w:trPr>
        <w:tc>
          <w:tcPr>
            <w:tcW w:w="1492" w:type="dxa"/>
            <w:hideMark/>
          </w:tcPr>
          <w:p w14:paraId="07D9A240"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Испания</w:t>
            </w:r>
          </w:p>
        </w:tc>
        <w:tc>
          <w:tcPr>
            <w:tcW w:w="1110" w:type="dxa"/>
            <w:hideMark/>
          </w:tcPr>
          <w:p w14:paraId="43321E0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0.08278</w:t>
            </w:r>
          </w:p>
        </w:tc>
        <w:tc>
          <w:tcPr>
            <w:tcW w:w="1112" w:type="dxa"/>
            <w:hideMark/>
          </w:tcPr>
          <w:p w14:paraId="74B7F0C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0.07155</w:t>
            </w:r>
          </w:p>
        </w:tc>
        <w:tc>
          <w:tcPr>
            <w:tcW w:w="1112" w:type="dxa"/>
            <w:hideMark/>
          </w:tcPr>
          <w:p w14:paraId="4F9BE4A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0.06825</w:t>
            </w:r>
          </w:p>
        </w:tc>
        <w:tc>
          <w:tcPr>
            <w:tcW w:w="1112" w:type="dxa"/>
            <w:hideMark/>
          </w:tcPr>
          <w:p w14:paraId="2A9F613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0.06499</w:t>
            </w:r>
          </w:p>
        </w:tc>
        <w:tc>
          <w:tcPr>
            <w:tcW w:w="1112" w:type="dxa"/>
            <w:hideMark/>
          </w:tcPr>
          <w:p w14:paraId="3F6040B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0.05810</w:t>
            </w:r>
          </w:p>
        </w:tc>
        <w:tc>
          <w:tcPr>
            <w:tcW w:w="1112" w:type="dxa"/>
            <w:hideMark/>
          </w:tcPr>
          <w:p w14:paraId="6A9F4A8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0.06622</w:t>
            </w:r>
          </w:p>
        </w:tc>
        <w:tc>
          <w:tcPr>
            <w:tcW w:w="1304" w:type="dxa"/>
            <w:hideMark/>
          </w:tcPr>
          <w:p w14:paraId="7BFAF0A9"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75D21DD1" w14:textId="77777777" w:rsidTr="009510BF">
        <w:trPr>
          <w:trHeight w:val="330"/>
        </w:trPr>
        <w:tc>
          <w:tcPr>
            <w:tcW w:w="1492" w:type="dxa"/>
            <w:hideMark/>
          </w:tcPr>
          <w:p w14:paraId="51EEE978"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Италия</w:t>
            </w:r>
          </w:p>
        </w:tc>
        <w:tc>
          <w:tcPr>
            <w:tcW w:w="1110" w:type="dxa"/>
            <w:hideMark/>
          </w:tcPr>
          <w:p w14:paraId="557F7D0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0.13834</w:t>
            </w:r>
          </w:p>
        </w:tc>
        <w:tc>
          <w:tcPr>
            <w:tcW w:w="1112" w:type="dxa"/>
            <w:hideMark/>
          </w:tcPr>
          <w:p w14:paraId="16ED617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0.12507</w:t>
            </w:r>
          </w:p>
        </w:tc>
        <w:tc>
          <w:tcPr>
            <w:tcW w:w="1112" w:type="dxa"/>
            <w:hideMark/>
          </w:tcPr>
          <w:p w14:paraId="2BC11B3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0.11390</w:t>
            </w:r>
          </w:p>
        </w:tc>
        <w:tc>
          <w:tcPr>
            <w:tcW w:w="1112" w:type="dxa"/>
            <w:hideMark/>
          </w:tcPr>
          <w:p w14:paraId="2A3D4ED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0.11098</w:t>
            </w:r>
          </w:p>
        </w:tc>
        <w:tc>
          <w:tcPr>
            <w:tcW w:w="1112" w:type="dxa"/>
            <w:hideMark/>
          </w:tcPr>
          <w:p w14:paraId="0D075E3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0.12368</w:t>
            </w:r>
          </w:p>
        </w:tc>
        <w:tc>
          <w:tcPr>
            <w:tcW w:w="1112" w:type="dxa"/>
            <w:hideMark/>
          </w:tcPr>
          <w:p w14:paraId="6EB6F77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0.13720</w:t>
            </w:r>
          </w:p>
        </w:tc>
        <w:tc>
          <w:tcPr>
            <w:tcW w:w="1304" w:type="dxa"/>
            <w:hideMark/>
          </w:tcPr>
          <w:p w14:paraId="7C41727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6B06B9E" w14:textId="77777777" w:rsidTr="009510BF">
        <w:trPr>
          <w:trHeight w:val="330"/>
        </w:trPr>
        <w:tc>
          <w:tcPr>
            <w:tcW w:w="1492" w:type="dxa"/>
            <w:hideMark/>
          </w:tcPr>
          <w:p w14:paraId="18CED73C"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Казахстан</w:t>
            </w:r>
          </w:p>
        </w:tc>
        <w:tc>
          <w:tcPr>
            <w:tcW w:w="1110" w:type="dxa"/>
            <w:hideMark/>
          </w:tcPr>
          <w:p w14:paraId="5223D97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0.00000</w:t>
            </w:r>
          </w:p>
        </w:tc>
        <w:tc>
          <w:tcPr>
            <w:tcW w:w="1112" w:type="dxa"/>
            <w:hideMark/>
          </w:tcPr>
          <w:p w14:paraId="445A545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0.05284</w:t>
            </w:r>
          </w:p>
        </w:tc>
        <w:tc>
          <w:tcPr>
            <w:tcW w:w="1112" w:type="dxa"/>
            <w:hideMark/>
          </w:tcPr>
          <w:p w14:paraId="58626A9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0.03145</w:t>
            </w:r>
          </w:p>
        </w:tc>
        <w:tc>
          <w:tcPr>
            <w:tcW w:w="1112" w:type="dxa"/>
            <w:hideMark/>
          </w:tcPr>
          <w:p w14:paraId="52A00CA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0.08603</w:t>
            </w:r>
          </w:p>
        </w:tc>
        <w:tc>
          <w:tcPr>
            <w:tcW w:w="1112" w:type="dxa"/>
            <w:hideMark/>
          </w:tcPr>
          <w:p w14:paraId="61124EC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0.03636</w:t>
            </w:r>
          </w:p>
        </w:tc>
        <w:tc>
          <w:tcPr>
            <w:tcW w:w="1112" w:type="dxa"/>
            <w:hideMark/>
          </w:tcPr>
          <w:p w14:paraId="1665795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0.07798</w:t>
            </w:r>
          </w:p>
        </w:tc>
        <w:tc>
          <w:tcPr>
            <w:tcW w:w="1304" w:type="dxa"/>
            <w:hideMark/>
          </w:tcPr>
          <w:p w14:paraId="4DECF64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7C0BF0B" w14:textId="77777777" w:rsidTr="009510BF">
        <w:trPr>
          <w:trHeight w:val="330"/>
        </w:trPr>
        <w:tc>
          <w:tcPr>
            <w:tcW w:w="1492" w:type="dxa"/>
            <w:hideMark/>
          </w:tcPr>
          <w:p w14:paraId="091D48DF"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Канада</w:t>
            </w:r>
          </w:p>
        </w:tc>
        <w:tc>
          <w:tcPr>
            <w:tcW w:w="1110" w:type="dxa"/>
            <w:hideMark/>
          </w:tcPr>
          <w:p w14:paraId="4381368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0.09420</w:t>
            </w:r>
          </w:p>
        </w:tc>
        <w:tc>
          <w:tcPr>
            <w:tcW w:w="1112" w:type="dxa"/>
            <w:hideMark/>
          </w:tcPr>
          <w:p w14:paraId="4F15B6A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0.08057</w:t>
            </w:r>
          </w:p>
        </w:tc>
        <w:tc>
          <w:tcPr>
            <w:tcW w:w="1112" w:type="dxa"/>
            <w:hideMark/>
          </w:tcPr>
          <w:p w14:paraId="0F0C134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0.08633</w:t>
            </w:r>
          </w:p>
        </w:tc>
        <w:tc>
          <w:tcPr>
            <w:tcW w:w="1112" w:type="dxa"/>
            <w:hideMark/>
          </w:tcPr>
          <w:p w14:paraId="5D4D88D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0.07613</w:t>
            </w:r>
          </w:p>
        </w:tc>
        <w:tc>
          <w:tcPr>
            <w:tcW w:w="1112" w:type="dxa"/>
            <w:hideMark/>
          </w:tcPr>
          <w:p w14:paraId="0287F42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0.09268</w:t>
            </w:r>
          </w:p>
        </w:tc>
        <w:tc>
          <w:tcPr>
            <w:tcW w:w="1112" w:type="dxa"/>
            <w:hideMark/>
          </w:tcPr>
          <w:p w14:paraId="34AE57A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0.08750</w:t>
            </w:r>
          </w:p>
        </w:tc>
        <w:tc>
          <w:tcPr>
            <w:tcW w:w="1304" w:type="dxa"/>
            <w:hideMark/>
          </w:tcPr>
          <w:p w14:paraId="1F65998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3CB6DA71" w14:textId="77777777" w:rsidTr="009510BF">
        <w:trPr>
          <w:trHeight w:val="330"/>
        </w:trPr>
        <w:tc>
          <w:tcPr>
            <w:tcW w:w="1492" w:type="dxa"/>
            <w:hideMark/>
          </w:tcPr>
          <w:p w14:paraId="586DD665"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Кения</w:t>
            </w:r>
          </w:p>
        </w:tc>
        <w:tc>
          <w:tcPr>
            <w:tcW w:w="1110" w:type="dxa"/>
            <w:hideMark/>
          </w:tcPr>
          <w:p w14:paraId="08C6D2E3" w14:textId="77777777" w:rsidR="009510BF" w:rsidRPr="00FB5EB6" w:rsidRDefault="009510BF" w:rsidP="00834454">
            <w:pPr>
              <w:jc w:val="left"/>
              <w:rPr>
                <w:rFonts w:asciiTheme="majorBidi" w:hAnsiTheme="majorBidi" w:cstheme="majorBidi"/>
                <w:color w:val="000000"/>
                <w:sz w:val="18"/>
                <w:szCs w:val="18"/>
                <w:lang w:eastAsia="zh-CN"/>
              </w:rPr>
            </w:pPr>
          </w:p>
        </w:tc>
        <w:tc>
          <w:tcPr>
            <w:tcW w:w="1112" w:type="dxa"/>
            <w:hideMark/>
          </w:tcPr>
          <w:p w14:paraId="4E94FB0C"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446FD81F"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11C2F229"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7ED0BAA6"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2895758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0.15314</w:t>
            </w:r>
          </w:p>
        </w:tc>
        <w:tc>
          <w:tcPr>
            <w:tcW w:w="1304" w:type="dxa"/>
            <w:hideMark/>
          </w:tcPr>
          <w:p w14:paraId="08C9B1CE"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31A1F3D6" w14:textId="77777777" w:rsidTr="009510BF">
        <w:trPr>
          <w:trHeight w:val="330"/>
        </w:trPr>
        <w:tc>
          <w:tcPr>
            <w:tcW w:w="1492" w:type="dxa"/>
            <w:hideMark/>
          </w:tcPr>
          <w:p w14:paraId="4DE6FA24"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Кипр</w:t>
            </w:r>
          </w:p>
        </w:tc>
        <w:tc>
          <w:tcPr>
            <w:tcW w:w="1110" w:type="dxa"/>
            <w:hideMark/>
          </w:tcPr>
          <w:p w14:paraId="31170FC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0.00671</w:t>
            </w:r>
          </w:p>
        </w:tc>
        <w:tc>
          <w:tcPr>
            <w:tcW w:w="1112" w:type="dxa"/>
            <w:hideMark/>
          </w:tcPr>
          <w:p w14:paraId="5CC5BAF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0.00581</w:t>
            </w:r>
          </w:p>
        </w:tc>
        <w:tc>
          <w:tcPr>
            <w:tcW w:w="1112" w:type="dxa"/>
            <w:hideMark/>
          </w:tcPr>
          <w:p w14:paraId="28A3200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0.00497</w:t>
            </w:r>
          </w:p>
        </w:tc>
        <w:tc>
          <w:tcPr>
            <w:tcW w:w="1112" w:type="dxa"/>
            <w:hideMark/>
          </w:tcPr>
          <w:p w14:paraId="1510752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0.00607</w:t>
            </w:r>
          </w:p>
        </w:tc>
        <w:tc>
          <w:tcPr>
            <w:tcW w:w="1112" w:type="dxa"/>
            <w:hideMark/>
          </w:tcPr>
          <w:p w14:paraId="336B0D0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0.00897</w:t>
            </w:r>
          </w:p>
        </w:tc>
        <w:tc>
          <w:tcPr>
            <w:tcW w:w="1112" w:type="dxa"/>
            <w:hideMark/>
          </w:tcPr>
          <w:p w14:paraId="2CDF46F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0.02591</w:t>
            </w:r>
          </w:p>
        </w:tc>
        <w:tc>
          <w:tcPr>
            <w:tcW w:w="1304" w:type="dxa"/>
            <w:hideMark/>
          </w:tcPr>
          <w:p w14:paraId="0CB25CE2"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6A981FD7" w14:textId="77777777" w:rsidTr="009510BF">
        <w:trPr>
          <w:trHeight w:val="330"/>
        </w:trPr>
        <w:tc>
          <w:tcPr>
            <w:tcW w:w="1492" w:type="dxa"/>
            <w:hideMark/>
          </w:tcPr>
          <w:p w14:paraId="2D143940"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Кыргызстан</w:t>
            </w:r>
          </w:p>
        </w:tc>
        <w:tc>
          <w:tcPr>
            <w:tcW w:w="1110" w:type="dxa"/>
            <w:hideMark/>
          </w:tcPr>
          <w:p w14:paraId="7BE5244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0.16992</w:t>
            </w:r>
          </w:p>
        </w:tc>
        <w:tc>
          <w:tcPr>
            <w:tcW w:w="1112" w:type="dxa"/>
            <w:hideMark/>
          </w:tcPr>
          <w:p w14:paraId="20AE152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0.18164</w:t>
            </w:r>
          </w:p>
        </w:tc>
        <w:tc>
          <w:tcPr>
            <w:tcW w:w="1112" w:type="dxa"/>
            <w:hideMark/>
          </w:tcPr>
          <w:p w14:paraId="516D82B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0.13169</w:t>
            </w:r>
          </w:p>
        </w:tc>
        <w:tc>
          <w:tcPr>
            <w:tcW w:w="1112" w:type="dxa"/>
            <w:hideMark/>
          </w:tcPr>
          <w:p w14:paraId="713C2CE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0.15641</w:t>
            </w:r>
          </w:p>
        </w:tc>
        <w:tc>
          <w:tcPr>
            <w:tcW w:w="1112" w:type="dxa"/>
            <w:hideMark/>
          </w:tcPr>
          <w:p w14:paraId="2C944B6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0.11507</w:t>
            </w:r>
          </w:p>
        </w:tc>
        <w:tc>
          <w:tcPr>
            <w:tcW w:w="1112" w:type="dxa"/>
            <w:hideMark/>
          </w:tcPr>
          <w:p w14:paraId="501D770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0.09501</w:t>
            </w:r>
          </w:p>
        </w:tc>
        <w:tc>
          <w:tcPr>
            <w:tcW w:w="1304" w:type="dxa"/>
            <w:hideMark/>
          </w:tcPr>
          <w:p w14:paraId="156BFB6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0.08051</w:t>
            </w:r>
          </w:p>
        </w:tc>
      </w:tr>
      <w:tr w:rsidR="009510BF" w:rsidRPr="00FB5EB6" w14:paraId="072BBBEC" w14:textId="77777777" w:rsidTr="009510BF">
        <w:trPr>
          <w:trHeight w:val="330"/>
        </w:trPr>
        <w:tc>
          <w:tcPr>
            <w:tcW w:w="1492" w:type="dxa"/>
            <w:hideMark/>
          </w:tcPr>
          <w:p w14:paraId="690A6640"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Латвия</w:t>
            </w:r>
          </w:p>
        </w:tc>
        <w:tc>
          <w:tcPr>
            <w:tcW w:w="1110" w:type="dxa"/>
            <w:hideMark/>
          </w:tcPr>
          <w:p w14:paraId="4F019BB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0.02547</w:t>
            </w:r>
          </w:p>
        </w:tc>
        <w:tc>
          <w:tcPr>
            <w:tcW w:w="1112" w:type="dxa"/>
            <w:hideMark/>
          </w:tcPr>
          <w:p w14:paraId="0BBF75A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0.02448</w:t>
            </w:r>
          </w:p>
        </w:tc>
        <w:tc>
          <w:tcPr>
            <w:tcW w:w="1112" w:type="dxa"/>
            <w:hideMark/>
          </w:tcPr>
          <w:p w14:paraId="4B10532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0.03144</w:t>
            </w:r>
          </w:p>
        </w:tc>
        <w:tc>
          <w:tcPr>
            <w:tcW w:w="1112" w:type="dxa"/>
            <w:hideMark/>
          </w:tcPr>
          <w:p w14:paraId="4C535C8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0.03616</w:t>
            </w:r>
          </w:p>
        </w:tc>
        <w:tc>
          <w:tcPr>
            <w:tcW w:w="1112" w:type="dxa"/>
            <w:hideMark/>
          </w:tcPr>
          <w:p w14:paraId="3510B0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0.02511</w:t>
            </w:r>
          </w:p>
        </w:tc>
        <w:tc>
          <w:tcPr>
            <w:tcW w:w="1112" w:type="dxa"/>
            <w:hideMark/>
          </w:tcPr>
          <w:p w14:paraId="5C4D578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0.02788</w:t>
            </w:r>
          </w:p>
        </w:tc>
        <w:tc>
          <w:tcPr>
            <w:tcW w:w="1304" w:type="dxa"/>
            <w:hideMark/>
          </w:tcPr>
          <w:p w14:paraId="1E24DC7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6E20D92B" w14:textId="77777777" w:rsidTr="009510BF">
        <w:trPr>
          <w:trHeight w:val="330"/>
        </w:trPr>
        <w:tc>
          <w:tcPr>
            <w:tcW w:w="1492" w:type="dxa"/>
            <w:hideMark/>
          </w:tcPr>
          <w:p w14:paraId="33D500A9"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Литва</w:t>
            </w:r>
          </w:p>
        </w:tc>
        <w:tc>
          <w:tcPr>
            <w:tcW w:w="1110" w:type="dxa"/>
            <w:hideMark/>
          </w:tcPr>
          <w:p w14:paraId="0D87288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0.04008</w:t>
            </w:r>
          </w:p>
        </w:tc>
        <w:tc>
          <w:tcPr>
            <w:tcW w:w="1112" w:type="dxa"/>
            <w:hideMark/>
          </w:tcPr>
          <w:p w14:paraId="152A109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0.02069</w:t>
            </w:r>
          </w:p>
        </w:tc>
        <w:tc>
          <w:tcPr>
            <w:tcW w:w="1112" w:type="dxa"/>
            <w:hideMark/>
          </w:tcPr>
          <w:p w14:paraId="09CC4DE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0.03472</w:t>
            </w:r>
          </w:p>
        </w:tc>
        <w:tc>
          <w:tcPr>
            <w:tcW w:w="1112" w:type="dxa"/>
            <w:hideMark/>
          </w:tcPr>
          <w:p w14:paraId="7DD440F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0.05396</w:t>
            </w:r>
          </w:p>
        </w:tc>
        <w:tc>
          <w:tcPr>
            <w:tcW w:w="1112" w:type="dxa"/>
            <w:hideMark/>
          </w:tcPr>
          <w:p w14:paraId="52CE60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0.04779</w:t>
            </w:r>
          </w:p>
        </w:tc>
        <w:tc>
          <w:tcPr>
            <w:tcW w:w="1112" w:type="dxa"/>
            <w:hideMark/>
          </w:tcPr>
          <w:p w14:paraId="52566E7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0.03652</w:t>
            </w:r>
          </w:p>
        </w:tc>
        <w:tc>
          <w:tcPr>
            <w:tcW w:w="1304" w:type="dxa"/>
            <w:hideMark/>
          </w:tcPr>
          <w:p w14:paraId="58D7E95F"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00E827E6" w14:textId="77777777" w:rsidTr="009510BF">
        <w:trPr>
          <w:trHeight w:val="330"/>
        </w:trPr>
        <w:tc>
          <w:tcPr>
            <w:tcW w:w="1492" w:type="dxa"/>
            <w:hideMark/>
          </w:tcPr>
          <w:p w14:paraId="7D3849E4"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Люксембург</w:t>
            </w:r>
          </w:p>
        </w:tc>
        <w:tc>
          <w:tcPr>
            <w:tcW w:w="1110" w:type="dxa"/>
            <w:hideMark/>
          </w:tcPr>
          <w:p w14:paraId="7377B90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0.09786</w:t>
            </w:r>
          </w:p>
        </w:tc>
        <w:tc>
          <w:tcPr>
            <w:tcW w:w="1112" w:type="dxa"/>
            <w:hideMark/>
          </w:tcPr>
          <w:p w14:paraId="5301E52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0.09768</w:t>
            </w:r>
          </w:p>
        </w:tc>
        <w:tc>
          <w:tcPr>
            <w:tcW w:w="1112" w:type="dxa"/>
            <w:hideMark/>
          </w:tcPr>
          <w:p w14:paraId="0AC02DF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0.09706</w:t>
            </w:r>
          </w:p>
        </w:tc>
        <w:tc>
          <w:tcPr>
            <w:tcW w:w="1112" w:type="dxa"/>
            <w:hideMark/>
          </w:tcPr>
          <w:p w14:paraId="09B0CDD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0.09631</w:t>
            </w:r>
          </w:p>
        </w:tc>
        <w:tc>
          <w:tcPr>
            <w:tcW w:w="1112" w:type="dxa"/>
            <w:hideMark/>
          </w:tcPr>
          <w:p w14:paraId="5ED5EB9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0.10530</w:t>
            </w:r>
          </w:p>
        </w:tc>
        <w:tc>
          <w:tcPr>
            <w:tcW w:w="1112" w:type="dxa"/>
            <w:hideMark/>
          </w:tcPr>
          <w:p w14:paraId="4FBC50C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0.10740</w:t>
            </w:r>
          </w:p>
        </w:tc>
        <w:tc>
          <w:tcPr>
            <w:tcW w:w="1304" w:type="dxa"/>
            <w:hideMark/>
          </w:tcPr>
          <w:p w14:paraId="0672E5D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CD8BE92" w14:textId="77777777" w:rsidTr="009510BF">
        <w:trPr>
          <w:trHeight w:val="330"/>
        </w:trPr>
        <w:tc>
          <w:tcPr>
            <w:tcW w:w="1492" w:type="dxa"/>
            <w:hideMark/>
          </w:tcPr>
          <w:p w14:paraId="654F5E45"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Маврикий</w:t>
            </w:r>
          </w:p>
        </w:tc>
        <w:tc>
          <w:tcPr>
            <w:tcW w:w="1110" w:type="dxa"/>
            <w:hideMark/>
          </w:tcPr>
          <w:p w14:paraId="30E0745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2DDC8C9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010A6C4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07E8971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0.07187</w:t>
            </w:r>
          </w:p>
        </w:tc>
        <w:tc>
          <w:tcPr>
            <w:tcW w:w="1112" w:type="dxa"/>
            <w:hideMark/>
          </w:tcPr>
          <w:p w14:paraId="00F9292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0.06264</w:t>
            </w:r>
          </w:p>
        </w:tc>
        <w:tc>
          <w:tcPr>
            <w:tcW w:w="1112" w:type="dxa"/>
            <w:hideMark/>
          </w:tcPr>
          <w:p w14:paraId="71AC42F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0.06122</w:t>
            </w:r>
          </w:p>
        </w:tc>
        <w:tc>
          <w:tcPr>
            <w:tcW w:w="1304" w:type="dxa"/>
            <w:hideMark/>
          </w:tcPr>
          <w:p w14:paraId="78923A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0FD73ED6" w14:textId="77777777" w:rsidTr="009510BF">
        <w:trPr>
          <w:trHeight w:val="330"/>
        </w:trPr>
        <w:tc>
          <w:tcPr>
            <w:tcW w:w="1492" w:type="dxa"/>
            <w:hideMark/>
          </w:tcPr>
          <w:p w14:paraId="42139F7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Мальта</w:t>
            </w:r>
          </w:p>
        </w:tc>
        <w:tc>
          <w:tcPr>
            <w:tcW w:w="1110" w:type="dxa"/>
            <w:hideMark/>
          </w:tcPr>
          <w:p w14:paraId="05D9431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0.18215</w:t>
            </w:r>
          </w:p>
        </w:tc>
        <w:tc>
          <w:tcPr>
            <w:tcW w:w="1112" w:type="dxa"/>
            <w:hideMark/>
          </w:tcPr>
          <w:p w14:paraId="7AEF9F4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0.18076</w:t>
            </w:r>
          </w:p>
        </w:tc>
        <w:tc>
          <w:tcPr>
            <w:tcW w:w="1112" w:type="dxa"/>
            <w:hideMark/>
          </w:tcPr>
          <w:p w14:paraId="55BF0D8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0.18978</w:t>
            </w:r>
          </w:p>
        </w:tc>
        <w:tc>
          <w:tcPr>
            <w:tcW w:w="1112" w:type="dxa"/>
            <w:hideMark/>
          </w:tcPr>
          <w:p w14:paraId="1D7816F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0.21864</w:t>
            </w:r>
          </w:p>
        </w:tc>
        <w:tc>
          <w:tcPr>
            <w:tcW w:w="1112" w:type="dxa"/>
            <w:hideMark/>
          </w:tcPr>
          <w:p w14:paraId="2315F0C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0.29799</w:t>
            </w:r>
          </w:p>
        </w:tc>
        <w:tc>
          <w:tcPr>
            <w:tcW w:w="1112" w:type="dxa"/>
            <w:hideMark/>
          </w:tcPr>
          <w:p w14:paraId="1BC2BD1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0.27696</w:t>
            </w:r>
          </w:p>
        </w:tc>
        <w:tc>
          <w:tcPr>
            <w:tcW w:w="1304" w:type="dxa"/>
            <w:hideMark/>
          </w:tcPr>
          <w:p w14:paraId="18DDCB91"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388C08EB" w14:textId="77777777" w:rsidTr="009510BF">
        <w:trPr>
          <w:trHeight w:val="330"/>
        </w:trPr>
        <w:tc>
          <w:tcPr>
            <w:tcW w:w="1492" w:type="dxa"/>
            <w:hideMark/>
          </w:tcPr>
          <w:p w14:paraId="4F926451"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Монголия</w:t>
            </w:r>
          </w:p>
        </w:tc>
        <w:tc>
          <w:tcPr>
            <w:tcW w:w="1110" w:type="dxa"/>
            <w:hideMark/>
          </w:tcPr>
          <w:p w14:paraId="3E1F69B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5626853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0.02317</w:t>
            </w:r>
          </w:p>
        </w:tc>
        <w:tc>
          <w:tcPr>
            <w:tcW w:w="1112" w:type="dxa"/>
            <w:hideMark/>
          </w:tcPr>
          <w:p w14:paraId="1ED1679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0.04204</w:t>
            </w:r>
          </w:p>
        </w:tc>
        <w:tc>
          <w:tcPr>
            <w:tcW w:w="1112" w:type="dxa"/>
            <w:hideMark/>
          </w:tcPr>
          <w:p w14:paraId="6281140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0.03925</w:t>
            </w:r>
          </w:p>
        </w:tc>
        <w:tc>
          <w:tcPr>
            <w:tcW w:w="1112" w:type="dxa"/>
            <w:hideMark/>
          </w:tcPr>
          <w:p w14:paraId="0CEA458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0.04194</w:t>
            </w:r>
          </w:p>
        </w:tc>
        <w:tc>
          <w:tcPr>
            <w:tcW w:w="1112" w:type="dxa"/>
            <w:hideMark/>
          </w:tcPr>
          <w:p w14:paraId="1279547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0.00766</w:t>
            </w:r>
          </w:p>
        </w:tc>
        <w:tc>
          <w:tcPr>
            <w:tcW w:w="1304" w:type="dxa"/>
            <w:hideMark/>
          </w:tcPr>
          <w:p w14:paraId="53A9EA3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5A66141" w14:textId="77777777" w:rsidTr="009510BF">
        <w:trPr>
          <w:trHeight w:val="330"/>
        </w:trPr>
        <w:tc>
          <w:tcPr>
            <w:tcW w:w="1492" w:type="dxa"/>
            <w:hideMark/>
          </w:tcPr>
          <w:p w14:paraId="6F3EE248"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Непал</w:t>
            </w:r>
          </w:p>
        </w:tc>
        <w:tc>
          <w:tcPr>
            <w:tcW w:w="1110" w:type="dxa"/>
            <w:hideMark/>
          </w:tcPr>
          <w:p w14:paraId="5A7BC5DD" w14:textId="77777777" w:rsidR="009510BF" w:rsidRPr="00FB5EB6" w:rsidRDefault="009510BF" w:rsidP="00834454">
            <w:pPr>
              <w:jc w:val="left"/>
              <w:rPr>
                <w:rFonts w:asciiTheme="majorBidi" w:hAnsiTheme="majorBidi" w:cstheme="majorBidi"/>
                <w:color w:val="000000"/>
                <w:sz w:val="18"/>
                <w:szCs w:val="18"/>
                <w:lang w:eastAsia="zh-CN"/>
              </w:rPr>
            </w:pPr>
          </w:p>
        </w:tc>
        <w:tc>
          <w:tcPr>
            <w:tcW w:w="1112" w:type="dxa"/>
            <w:hideMark/>
          </w:tcPr>
          <w:p w14:paraId="596283BA"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33646B9C"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2E810EDF"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28245AA1"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15B58F4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0.07701</w:t>
            </w:r>
          </w:p>
        </w:tc>
        <w:tc>
          <w:tcPr>
            <w:tcW w:w="1304" w:type="dxa"/>
            <w:hideMark/>
          </w:tcPr>
          <w:p w14:paraId="7145965D"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2F1CA119" w14:textId="77777777" w:rsidTr="009510BF">
        <w:trPr>
          <w:trHeight w:val="330"/>
        </w:trPr>
        <w:tc>
          <w:tcPr>
            <w:tcW w:w="1492" w:type="dxa"/>
            <w:hideMark/>
          </w:tcPr>
          <w:p w14:paraId="2AEDAAA5"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lastRenderedPageBreak/>
              <w:t>Нидерланды</w:t>
            </w:r>
          </w:p>
        </w:tc>
        <w:tc>
          <w:tcPr>
            <w:tcW w:w="1110" w:type="dxa"/>
            <w:hideMark/>
          </w:tcPr>
          <w:p w14:paraId="7AB83FF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0.09623</w:t>
            </w:r>
          </w:p>
        </w:tc>
        <w:tc>
          <w:tcPr>
            <w:tcW w:w="1112" w:type="dxa"/>
            <w:hideMark/>
          </w:tcPr>
          <w:p w14:paraId="097B30F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0.11929</w:t>
            </w:r>
          </w:p>
        </w:tc>
        <w:tc>
          <w:tcPr>
            <w:tcW w:w="1112" w:type="dxa"/>
            <w:hideMark/>
          </w:tcPr>
          <w:p w14:paraId="561230C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0.11285</w:t>
            </w:r>
          </w:p>
        </w:tc>
        <w:tc>
          <w:tcPr>
            <w:tcW w:w="1112" w:type="dxa"/>
            <w:hideMark/>
          </w:tcPr>
          <w:p w14:paraId="12E6DD6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0.13062</w:t>
            </w:r>
          </w:p>
        </w:tc>
        <w:tc>
          <w:tcPr>
            <w:tcW w:w="1112" w:type="dxa"/>
            <w:hideMark/>
          </w:tcPr>
          <w:p w14:paraId="3DC7687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0.13406</w:t>
            </w:r>
          </w:p>
        </w:tc>
        <w:tc>
          <w:tcPr>
            <w:tcW w:w="1112" w:type="dxa"/>
            <w:hideMark/>
          </w:tcPr>
          <w:p w14:paraId="2600819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0.13611</w:t>
            </w:r>
          </w:p>
        </w:tc>
        <w:tc>
          <w:tcPr>
            <w:tcW w:w="1304" w:type="dxa"/>
            <w:hideMark/>
          </w:tcPr>
          <w:p w14:paraId="7C78533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7909571E" w14:textId="77777777" w:rsidTr="009510BF">
        <w:trPr>
          <w:trHeight w:val="330"/>
        </w:trPr>
        <w:tc>
          <w:tcPr>
            <w:tcW w:w="1492" w:type="dxa"/>
            <w:hideMark/>
          </w:tcPr>
          <w:p w14:paraId="785D0057"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Норвегия</w:t>
            </w:r>
          </w:p>
        </w:tc>
        <w:tc>
          <w:tcPr>
            <w:tcW w:w="1110" w:type="dxa"/>
            <w:hideMark/>
          </w:tcPr>
          <w:p w14:paraId="22E2F5A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0.04117</w:t>
            </w:r>
          </w:p>
        </w:tc>
        <w:tc>
          <w:tcPr>
            <w:tcW w:w="1112" w:type="dxa"/>
            <w:hideMark/>
          </w:tcPr>
          <w:p w14:paraId="77F6DEC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0.04751</w:t>
            </w:r>
          </w:p>
        </w:tc>
        <w:tc>
          <w:tcPr>
            <w:tcW w:w="1112" w:type="dxa"/>
            <w:hideMark/>
          </w:tcPr>
          <w:p w14:paraId="54CE8E8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0.05071</w:t>
            </w:r>
          </w:p>
        </w:tc>
        <w:tc>
          <w:tcPr>
            <w:tcW w:w="1112" w:type="dxa"/>
            <w:hideMark/>
          </w:tcPr>
          <w:p w14:paraId="133FB20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0.04665</w:t>
            </w:r>
          </w:p>
        </w:tc>
        <w:tc>
          <w:tcPr>
            <w:tcW w:w="1112" w:type="dxa"/>
            <w:hideMark/>
          </w:tcPr>
          <w:p w14:paraId="0D9DAB9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0.05204</w:t>
            </w:r>
          </w:p>
        </w:tc>
        <w:tc>
          <w:tcPr>
            <w:tcW w:w="1112" w:type="dxa"/>
            <w:hideMark/>
          </w:tcPr>
          <w:p w14:paraId="74CC425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0.05713</w:t>
            </w:r>
          </w:p>
        </w:tc>
        <w:tc>
          <w:tcPr>
            <w:tcW w:w="1304" w:type="dxa"/>
            <w:hideMark/>
          </w:tcPr>
          <w:p w14:paraId="5B196A21"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2A5F9655" w14:textId="77777777" w:rsidTr="009510BF">
        <w:trPr>
          <w:trHeight w:val="330"/>
        </w:trPr>
        <w:tc>
          <w:tcPr>
            <w:tcW w:w="1492" w:type="dxa"/>
            <w:hideMark/>
          </w:tcPr>
          <w:p w14:paraId="765FFFA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Объединенные Арабские Эмираты</w:t>
            </w:r>
          </w:p>
        </w:tc>
        <w:tc>
          <w:tcPr>
            <w:tcW w:w="1110" w:type="dxa"/>
            <w:hideMark/>
          </w:tcPr>
          <w:p w14:paraId="5BDF76E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xml:space="preserve"> </w:t>
            </w:r>
          </w:p>
        </w:tc>
        <w:tc>
          <w:tcPr>
            <w:tcW w:w="1112" w:type="dxa"/>
            <w:hideMark/>
          </w:tcPr>
          <w:p w14:paraId="26E1F9B4" w14:textId="77777777" w:rsidR="009510BF" w:rsidRPr="00FB5EB6" w:rsidRDefault="009510BF" w:rsidP="00834454">
            <w:pPr>
              <w:jc w:val="right"/>
              <w:rPr>
                <w:rFonts w:asciiTheme="majorBidi" w:hAnsiTheme="majorBidi" w:cstheme="majorBidi"/>
                <w:color w:val="000000"/>
                <w:sz w:val="18"/>
                <w:szCs w:val="18"/>
                <w:lang w:eastAsia="zh-CN"/>
              </w:rPr>
            </w:pPr>
          </w:p>
        </w:tc>
        <w:tc>
          <w:tcPr>
            <w:tcW w:w="1112" w:type="dxa"/>
            <w:hideMark/>
          </w:tcPr>
          <w:p w14:paraId="46352A2F"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00A024F8"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1AB6F40B"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77BD1B7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0.01477</w:t>
            </w:r>
          </w:p>
        </w:tc>
        <w:tc>
          <w:tcPr>
            <w:tcW w:w="1304" w:type="dxa"/>
            <w:hideMark/>
          </w:tcPr>
          <w:p w14:paraId="2CD2B467"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771D3A3D" w14:textId="77777777" w:rsidTr="009510BF">
        <w:trPr>
          <w:trHeight w:val="330"/>
        </w:trPr>
        <w:tc>
          <w:tcPr>
            <w:tcW w:w="1492" w:type="dxa"/>
            <w:hideMark/>
          </w:tcPr>
          <w:p w14:paraId="3016F639"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Польша</w:t>
            </w:r>
          </w:p>
        </w:tc>
        <w:tc>
          <w:tcPr>
            <w:tcW w:w="1110" w:type="dxa"/>
            <w:hideMark/>
          </w:tcPr>
          <w:p w14:paraId="7BF0BD2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0.02216</w:t>
            </w:r>
          </w:p>
        </w:tc>
        <w:tc>
          <w:tcPr>
            <w:tcW w:w="1112" w:type="dxa"/>
            <w:hideMark/>
          </w:tcPr>
          <w:p w14:paraId="5D954FD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0.02353</w:t>
            </w:r>
          </w:p>
        </w:tc>
        <w:tc>
          <w:tcPr>
            <w:tcW w:w="1112" w:type="dxa"/>
            <w:hideMark/>
          </w:tcPr>
          <w:p w14:paraId="4424E0D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0.02461</w:t>
            </w:r>
          </w:p>
        </w:tc>
        <w:tc>
          <w:tcPr>
            <w:tcW w:w="1112" w:type="dxa"/>
            <w:hideMark/>
          </w:tcPr>
          <w:p w14:paraId="55D1997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0.02028</w:t>
            </w:r>
          </w:p>
        </w:tc>
        <w:tc>
          <w:tcPr>
            <w:tcW w:w="1112" w:type="dxa"/>
            <w:hideMark/>
          </w:tcPr>
          <w:p w14:paraId="64F9B83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0.02164</w:t>
            </w:r>
          </w:p>
        </w:tc>
        <w:tc>
          <w:tcPr>
            <w:tcW w:w="1112" w:type="dxa"/>
            <w:hideMark/>
          </w:tcPr>
          <w:p w14:paraId="5B1CAFC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0.02737</w:t>
            </w:r>
          </w:p>
        </w:tc>
        <w:tc>
          <w:tcPr>
            <w:tcW w:w="1304" w:type="dxa"/>
            <w:hideMark/>
          </w:tcPr>
          <w:p w14:paraId="768F6B8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414614F5" w14:textId="77777777" w:rsidTr="009510BF">
        <w:trPr>
          <w:trHeight w:val="330"/>
        </w:trPr>
        <w:tc>
          <w:tcPr>
            <w:tcW w:w="1492" w:type="dxa"/>
            <w:hideMark/>
          </w:tcPr>
          <w:p w14:paraId="37501D7D"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Португалия</w:t>
            </w:r>
          </w:p>
        </w:tc>
        <w:tc>
          <w:tcPr>
            <w:tcW w:w="1110" w:type="dxa"/>
            <w:hideMark/>
          </w:tcPr>
          <w:p w14:paraId="17880A7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0.09171</w:t>
            </w:r>
          </w:p>
        </w:tc>
        <w:tc>
          <w:tcPr>
            <w:tcW w:w="1112" w:type="dxa"/>
            <w:hideMark/>
          </w:tcPr>
          <w:p w14:paraId="5906711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0.07408</w:t>
            </w:r>
          </w:p>
        </w:tc>
        <w:tc>
          <w:tcPr>
            <w:tcW w:w="1112" w:type="dxa"/>
            <w:hideMark/>
          </w:tcPr>
          <w:p w14:paraId="672C59F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0.08663</w:t>
            </w:r>
          </w:p>
        </w:tc>
        <w:tc>
          <w:tcPr>
            <w:tcW w:w="1112" w:type="dxa"/>
            <w:hideMark/>
          </w:tcPr>
          <w:p w14:paraId="2B851D5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0.07882</w:t>
            </w:r>
          </w:p>
        </w:tc>
        <w:tc>
          <w:tcPr>
            <w:tcW w:w="1112" w:type="dxa"/>
            <w:hideMark/>
          </w:tcPr>
          <w:p w14:paraId="2CC2A78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0.07972</w:t>
            </w:r>
          </w:p>
        </w:tc>
        <w:tc>
          <w:tcPr>
            <w:tcW w:w="1112" w:type="dxa"/>
            <w:hideMark/>
          </w:tcPr>
          <w:p w14:paraId="42A1F6F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0.09025</w:t>
            </w:r>
          </w:p>
        </w:tc>
        <w:tc>
          <w:tcPr>
            <w:tcW w:w="1304" w:type="dxa"/>
            <w:hideMark/>
          </w:tcPr>
          <w:p w14:paraId="5A8BD3B8"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15FF5C3C" w14:textId="77777777" w:rsidTr="009510BF">
        <w:trPr>
          <w:trHeight w:val="330"/>
        </w:trPr>
        <w:tc>
          <w:tcPr>
            <w:tcW w:w="1492" w:type="dxa"/>
          </w:tcPr>
          <w:p w14:paraId="389ED00C"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Республика Молдова</w:t>
            </w:r>
          </w:p>
        </w:tc>
        <w:tc>
          <w:tcPr>
            <w:tcW w:w="1110" w:type="dxa"/>
          </w:tcPr>
          <w:p w14:paraId="3FA03C6B" w14:textId="77777777" w:rsidR="009510BF" w:rsidRPr="00FB5EB6" w:rsidRDefault="009510BF" w:rsidP="00834454">
            <w:pPr>
              <w:jc w:val="right"/>
              <w:rPr>
                <w:rFonts w:asciiTheme="majorBidi" w:hAnsiTheme="majorBidi" w:cstheme="majorBidi"/>
                <w:color w:val="000000"/>
                <w:sz w:val="18"/>
                <w:szCs w:val="18"/>
                <w:lang w:eastAsia="zh-CN"/>
              </w:rPr>
            </w:pPr>
          </w:p>
        </w:tc>
        <w:tc>
          <w:tcPr>
            <w:tcW w:w="1112" w:type="dxa"/>
          </w:tcPr>
          <w:p w14:paraId="013AA97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0.00081</w:t>
            </w:r>
          </w:p>
        </w:tc>
        <w:tc>
          <w:tcPr>
            <w:tcW w:w="1112" w:type="dxa"/>
          </w:tcPr>
          <w:p w14:paraId="428416D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0.00011</w:t>
            </w:r>
          </w:p>
        </w:tc>
        <w:tc>
          <w:tcPr>
            <w:tcW w:w="1112" w:type="dxa"/>
          </w:tcPr>
          <w:p w14:paraId="606D236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xml:space="preserve"> </w:t>
            </w:r>
          </w:p>
        </w:tc>
        <w:tc>
          <w:tcPr>
            <w:tcW w:w="1112" w:type="dxa"/>
          </w:tcPr>
          <w:p w14:paraId="55F4F26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xml:space="preserve"> </w:t>
            </w:r>
          </w:p>
        </w:tc>
        <w:tc>
          <w:tcPr>
            <w:tcW w:w="1112" w:type="dxa"/>
          </w:tcPr>
          <w:p w14:paraId="310513A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0.00035</w:t>
            </w:r>
          </w:p>
        </w:tc>
        <w:tc>
          <w:tcPr>
            <w:tcW w:w="1304" w:type="dxa"/>
          </w:tcPr>
          <w:p w14:paraId="2AD05952"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7260A4EE" w14:textId="77777777" w:rsidTr="009510BF">
        <w:trPr>
          <w:trHeight w:val="330"/>
        </w:trPr>
        <w:tc>
          <w:tcPr>
            <w:tcW w:w="1492" w:type="dxa"/>
            <w:hideMark/>
          </w:tcPr>
          <w:p w14:paraId="00821B2E"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Российская Федерация</w:t>
            </w:r>
          </w:p>
        </w:tc>
        <w:tc>
          <w:tcPr>
            <w:tcW w:w="1110" w:type="dxa"/>
            <w:hideMark/>
          </w:tcPr>
          <w:p w14:paraId="1A595BB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0.00871</w:t>
            </w:r>
          </w:p>
        </w:tc>
        <w:tc>
          <w:tcPr>
            <w:tcW w:w="1112" w:type="dxa"/>
            <w:hideMark/>
          </w:tcPr>
          <w:p w14:paraId="7120A1E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0.02765</w:t>
            </w:r>
          </w:p>
        </w:tc>
        <w:tc>
          <w:tcPr>
            <w:tcW w:w="1112" w:type="dxa"/>
            <w:hideMark/>
          </w:tcPr>
          <w:p w14:paraId="0BEFC3C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0.02306</w:t>
            </w:r>
          </w:p>
        </w:tc>
        <w:tc>
          <w:tcPr>
            <w:tcW w:w="1112" w:type="dxa"/>
            <w:hideMark/>
          </w:tcPr>
          <w:p w14:paraId="08370CB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0.02282</w:t>
            </w:r>
          </w:p>
        </w:tc>
        <w:tc>
          <w:tcPr>
            <w:tcW w:w="1112" w:type="dxa"/>
            <w:hideMark/>
          </w:tcPr>
          <w:p w14:paraId="42EF139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0.02352</w:t>
            </w:r>
          </w:p>
        </w:tc>
        <w:tc>
          <w:tcPr>
            <w:tcW w:w="1112" w:type="dxa"/>
            <w:hideMark/>
          </w:tcPr>
          <w:p w14:paraId="68CF0BD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0.02576</w:t>
            </w:r>
          </w:p>
        </w:tc>
        <w:tc>
          <w:tcPr>
            <w:tcW w:w="1304" w:type="dxa"/>
            <w:hideMark/>
          </w:tcPr>
          <w:p w14:paraId="6A058F8B"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734DB23D" w14:textId="77777777" w:rsidTr="009510BF">
        <w:trPr>
          <w:trHeight w:val="330"/>
        </w:trPr>
        <w:tc>
          <w:tcPr>
            <w:tcW w:w="1492" w:type="dxa"/>
            <w:hideMark/>
          </w:tcPr>
          <w:p w14:paraId="00A42BB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Румыния</w:t>
            </w:r>
          </w:p>
        </w:tc>
        <w:tc>
          <w:tcPr>
            <w:tcW w:w="1110" w:type="dxa"/>
            <w:hideMark/>
          </w:tcPr>
          <w:p w14:paraId="352D924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0.00289</w:t>
            </w:r>
          </w:p>
        </w:tc>
        <w:tc>
          <w:tcPr>
            <w:tcW w:w="1112" w:type="dxa"/>
            <w:hideMark/>
          </w:tcPr>
          <w:p w14:paraId="30525BC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0.00348</w:t>
            </w:r>
          </w:p>
        </w:tc>
        <w:tc>
          <w:tcPr>
            <w:tcW w:w="1112" w:type="dxa"/>
            <w:hideMark/>
          </w:tcPr>
          <w:p w14:paraId="6296E0E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0.00019</w:t>
            </w:r>
          </w:p>
        </w:tc>
        <w:tc>
          <w:tcPr>
            <w:tcW w:w="1112" w:type="dxa"/>
            <w:hideMark/>
          </w:tcPr>
          <w:p w14:paraId="513EE1A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0.00022</w:t>
            </w:r>
          </w:p>
        </w:tc>
        <w:tc>
          <w:tcPr>
            <w:tcW w:w="1112" w:type="dxa"/>
            <w:hideMark/>
          </w:tcPr>
          <w:p w14:paraId="7464DDF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0.00021</w:t>
            </w:r>
          </w:p>
        </w:tc>
        <w:tc>
          <w:tcPr>
            <w:tcW w:w="1112" w:type="dxa"/>
            <w:hideMark/>
          </w:tcPr>
          <w:p w14:paraId="5CA48CC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0.00020</w:t>
            </w:r>
          </w:p>
        </w:tc>
        <w:tc>
          <w:tcPr>
            <w:tcW w:w="1304" w:type="dxa"/>
            <w:hideMark/>
          </w:tcPr>
          <w:p w14:paraId="2FB9506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292078B" w14:textId="77777777" w:rsidTr="009510BF">
        <w:trPr>
          <w:trHeight w:val="330"/>
        </w:trPr>
        <w:tc>
          <w:tcPr>
            <w:tcW w:w="1492" w:type="dxa"/>
            <w:hideMark/>
          </w:tcPr>
          <w:p w14:paraId="06BBCAEB"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Сальвадор</w:t>
            </w:r>
          </w:p>
        </w:tc>
        <w:tc>
          <w:tcPr>
            <w:tcW w:w="1110" w:type="dxa"/>
            <w:hideMark/>
          </w:tcPr>
          <w:p w14:paraId="6D645D7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0.00811</w:t>
            </w:r>
          </w:p>
        </w:tc>
        <w:tc>
          <w:tcPr>
            <w:tcW w:w="1112" w:type="dxa"/>
            <w:hideMark/>
          </w:tcPr>
          <w:p w14:paraId="3E6315C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0.00620</w:t>
            </w:r>
          </w:p>
        </w:tc>
        <w:tc>
          <w:tcPr>
            <w:tcW w:w="1112" w:type="dxa"/>
            <w:hideMark/>
          </w:tcPr>
          <w:p w14:paraId="7A47EBF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0.00721</w:t>
            </w:r>
          </w:p>
        </w:tc>
        <w:tc>
          <w:tcPr>
            <w:tcW w:w="1112" w:type="dxa"/>
            <w:hideMark/>
          </w:tcPr>
          <w:p w14:paraId="3434D0D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0.00269</w:t>
            </w:r>
          </w:p>
        </w:tc>
        <w:tc>
          <w:tcPr>
            <w:tcW w:w="1112" w:type="dxa"/>
            <w:hideMark/>
          </w:tcPr>
          <w:p w14:paraId="693D1EE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0.01376</w:t>
            </w:r>
          </w:p>
        </w:tc>
        <w:tc>
          <w:tcPr>
            <w:tcW w:w="1112" w:type="dxa"/>
            <w:hideMark/>
          </w:tcPr>
          <w:p w14:paraId="68D83AD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0.01583</w:t>
            </w:r>
          </w:p>
        </w:tc>
        <w:tc>
          <w:tcPr>
            <w:tcW w:w="1304" w:type="dxa"/>
            <w:hideMark/>
          </w:tcPr>
          <w:p w14:paraId="4A574F8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2AFB2CDB" w14:textId="77777777" w:rsidTr="009510BF">
        <w:trPr>
          <w:trHeight w:val="330"/>
        </w:trPr>
        <w:tc>
          <w:tcPr>
            <w:tcW w:w="1492" w:type="dxa"/>
            <w:hideMark/>
          </w:tcPr>
          <w:p w14:paraId="073826C2"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Сан-Марино</w:t>
            </w:r>
          </w:p>
        </w:tc>
        <w:tc>
          <w:tcPr>
            <w:tcW w:w="1110" w:type="dxa"/>
            <w:hideMark/>
          </w:tcPr>
          <w:p w14:paraId="103389F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24417A8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7F05D7F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1E3C146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01E760E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xml:space="preserve"> </w:t>
            </w:r>
          </w:p>
        </w:tc>
        <w:tc>
          <w:tcPr>
            <w:tcW w:w="1112" w:type="dxa"/>
            <w:hideMark/>
          </w:tcPr>
          <w:p w14:paraId="247D3B3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0.00118</w:t>
            </w:r>
          </w:p>
        </w:tc>
        <w:tc>
          <w:tcPr>
            <w:tcW w:w="1304" w:type="dxa"/>
            <w:hideMark/>
          </w:tcPr>
          <w:p w14:paraId="7355506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36D39AF2" w14:textId="77777777" w:rsidTr="009510BF">
        <w:trPr>
          <w:trHeight w:val="330"/>
        </w:trPr>
        <w:tc>
          <w:tcPr>
            <w:tcW w:w="1492" w:type="dxa"/>
            <w:hideMark/>
          </w:tcPr>
          <w:p w14:paraId="00F49D83"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Сейшельские острова</w:t>
            </w:r>
          </w:p>
        </w:tc>
        <w:tc>
          <w:tcPr>
            <w:tcW w:w="1110" w:type="dxa"/>
            <w:hideMark/>
          </w:tcPr>
          <w:p w14:paraId="434B56C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0.63917</w:t>
            </w:r>
          </w:p>
        </w:tc>
        <w:tc>
          <w:tcPr>
            <w:tcW w:w="1112" w:type="dxa"/>
            <w:hideMark/>
          </w:tcPr>
          <w:p w14:paraId="3C4DB06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0.65883</w:t>
            </w:r>
          </w:p>
        </w:tc>
        <w:tc>
          <w:tcPr>
            <w:tcW w:w="1112" w:type="dxa"/>
            <w:hideMark/>
          </w:tcPr>
          <w:p w14:paraId="0B74E14B" w14:textId="77777777" w:rsidR="009510BF" w:rsidRPr="00FB5EB6" w:rsidRDefault="009510BF" w:rsidP="00834454">
            <w:pPr>
              <w:jc w:val="right"/>
              <w:rPr>
                <w:rFonts w:asciiTheme="majorBidi" w:hAnsiTheme="majorBidi" w:cstheme="majorBidi"/>
                <w:color w:val="000000"/>
                <w:sz w:val="18"/>
                <w:szCs w:val="18"/>
                <w:lang w:eastAsia="zh-CN"/>
              </w:rPr>
            </w:pPr>
          </w:p>
        </w:tc>
        <w:tc>
          <w:tcPr>
            <w:tcW w:w="1112" w:type="dxa"/>
            <w:hideMark/>
          </w:tcPr>
          <w:p w14:paraId="1DF3C27B"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2B78A00F" w14:textId="77777777" w:rsidR="009510BF" w:rsidRPr="00FB5EB6" w:rsidRDefault="009510BF" w:rsidP="00834454">
            <w:pPr>
              <w:jc w:val="right"/>
              <w:rPr>
                <w:rFonts w:asciiTheme="majorBidi" w:hAnsiTheme="majorBidi" w:cstheme="majorBidi"/>
                <w:sz w:val="18"/>
                <w:szCs w:val="18"/>
                <w:lang w:eastAsia="zh-CN"/>
              </w:rPr>
            </w:pPr>
          </w:p>
        </w:tc>
        <w:tc>
          <w:tcPr>
            <w:tcW w:w="1112" w:type="dxa"/>
            <w:hideMark/>
          </w:tcPr>
          <w:p w14:paraId="4DA11BD7" w14:textId="77777777" w:rsidR="009510BF" w:rsidRPr="00FB5EB6" w:rsidRDefault="009510BF" w:rsidP="00834454">
            <w:pPr>
              <w:jc w:val="right"/>
              <w:rPr>
                <w:rFonts w:asciiTheme="majorBidi" w:hAnsiTheme="majorBidi" w:cstheme="majorBidi"/>
                <w:sz w:val="18"/>
                <w:szCs w:val="18"/>
                <w:lang w:eastAsia="zh-CN"/>
              </w:rPr>
            </w:pPr>
          </w:p>
        </w:tc>
        <w:tc>
          <w:tcPr>
            <w:tcW w:w="1304" w:type="dxa"/>
            <w:hideMark/>
          </w:tcPr>
          <w:p w14:paraId="38B5F061" w14:textId="77777777" w:rsidR="009510BF" w:rsidRPr="00FB5EB6" w:rsidRDefault="009510BF" w:rsidP="00834454">
            <w:pPr>
              <w:jc w:val="right"/>
              <w:rPr>
                <w:rFonts w:asciiTheme="majorBidi" w:hAnsiTheme="majorBidi" w:cstheme="majorBidi"/>
                <w:sz w:val="18"/>
                <w:szCs w:val="18"/>
                <w:lang w:eastAsia="zh-CN"/>
              </w:rPr>
            </w:pPr>
          </w:p>
        </w:tc>
      </w:tr>
      <w:tr w:rsidR="009510BF" w:rsidRPr="00FB5EB6" w14:paraId="1B53A694" w14:textId="77777777" w:rsidTr="009510BF">
        <w:trPr>
          <w:trHeight w:val="330"/>
        </w:trPr>
        <w:tc>
          <w:tcPr>
            <w:tcW w:w="1492" w:type="dxa"/>
            <w:hideMark/>
          </w:tcPr>
          <w:p w14:paraId="6EEC0A5B"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Сингапур</w:t>
            </w:r>
          </w:p>
        </w:tc>
        <w:tc>
          <w:tcPr>
            <w:tcW w:w="1110" w:type="dxa"/>
            <w:hideMark/>
          </w:tcPr>
          <w:p w14:paraId="70563A1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36FFA0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c>
          <w:tcPr>
            <w:tcW w:w="1112" w:type="dxa"/>
            <w:hideMark/>
          </w:tcPr>
          <w:p w14:paraId="07BA839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0.08662</w:t>
            </w:r>
          </w:p>
        </w:tc>
        <w:tc>
          <w:tcPr>
            <w:tcW w:w="1112" w:type="dxa"/>
            <w:hideMark/>
          </w:tcPr>
          <w:p w14:paraId="1956F35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0.09016</w:t>
            </w:r>
          </w:p>
        </w:tc>
        <w:tc>
          <w:tcPr>
            <w:tcW w:w="1112" w:type="dxa"/>
            <w:hideMark/>
          </w:tcPr>
          <w:p w14:paraId="37C27FB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0.09249</w:t>
            </w:r>
          </w:p>
        </w:tc>
        <w:tc>
          <w:tcPr>
            <w:tcW w:w="1112" w:type="dxa"/>
            <w:hideMark/>
          </w:tcPr>
          <w:p w14:paraId="3BAA55E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0.08904</w:t>
            </w:r>
          </w:p>
        </w:tc>
        <w:tc>
          <w:tcPr>
            <w:tcW w:w="1304" w:type="dxa"/>
            <w:hideMark/>
          </w:tcPr>
          <w:p w14:paraId="10AEC1F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147E4D4F" w14:textId="77777777" w:rsidTr="009510BF">
        <w:trPr>
          <w:trHeight w:val="330"/>
        </w:trPr>
        <w:tc>
          <w:tcPr>
            <w:tcW w:w="1492" w:type="dxa"/>
            <w:hideMark/>
          </w:tcPr>
          <w:p w14:paraId="732A35AF"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Словакия</w:t>
            </w:r>
          </w:p>
        </w:tc>
        <w:tc>
          <w:tcPr>
            <w:tcW w:w="1110" w:type="dxa"/>
            <w:hideMark/>
          </w:tcPr>
          <w:p w14:paraId="355A641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0.09341</w:t>
            </w:r>
          </w:p>
        </w:tc>
        <w:tc>
          <w:tcPr>
            <w:tcW w:w="1112" w:type="dxa"/>
            <w:hideMark/>
          </w:tcPr>
          <w:p w14:paraId="67BDFD2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0.04836</w:t>
            </w:r>
          </w:p>
        </w:tc>
        <w:tc>
          <w:tcPr>
            <w:tcW w:w="1112" w:type="dxa"/>
            <w:hideMark/>
          </w:tcPr>
          <w:p w14:paraId="7EA5893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0.03753</w:t>
            </w:r>
          </w:p>
        </w:tc>
        <w:tc>
          <w:tcPr>
            <w:tcW w:w="1112" w:type="dxa"/>
            <w:hideMark/>
          </w:tcPr>
          <w:p w14:paraId="2F8F2C0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0.04545</w:t>
            </w:r>
          </w:p>
        </w:tc>
        <w:tc>
          <w:tcPr>
            <w:tcW w:w="1112" w:type="dxa"/>
            <w:hideMark/>
          </w:tcPr>
          <w:p w14:paraId="2299B3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0.05971</w:t>
            </w:r>
          </w:p>
        </w:tc>
        <w:tc>
          <w:tcPr>
            <w:tcW w:w="1112" w:type="dxa"/>
            <w:hideMark/>
          </w:tcPr>
          <w:p w14:paraId="7D85727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0.06917</w:t>
            </w:r>
          </w:p>
        </w:tc>
        <w:tc>
          <w:tcPr>
            <w:tcW w:w="1304" w:type="dxa"/>
            <w:hideMark/>
          </w:tcPr>
          <w:p w14:paraId="0384B0C6"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625E7D25" w14:textId="77777777" w:rsidTr="009510BF">
        <w:trPr>
          <w:trHeight w:val="330"/>
        </w:trPr>
        <w:tc>
          <w:tcPr>
            <w:tcW w:w="1492" w:type="dxa"/>
            <w:hideMark/>
          </w:tcPr>
          <w:p w14:paraId="4C689E13"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Словения</w:t>
            </w:r>
          </w:p>
        </w:tc>
        <w:tc>
          <w:tcPr>
            <w:tcW w:w="1110" w:type="dxa"/>
            <w:hideMark/>
          </w:tcPr>
          <w:p w14:paraId="6485189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0.06155</w:t>
            </w:r>
          </w:p>
        </w:tc>
        <w:tc>
          <w:tcPr>
            <w:tcW w:w="1112" w:type="dxa"/>
            <w:hideMark/>
          </w:tcPr>
          <w:p w14:paraId="610D42F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0.05996</w:t>
            </w:r>
          </w:p>
        </w:tc>
        <w:tc>
          <w:tcPr>
            <w:tcW w:w="1112" w:type="dxa"/>
            <w:hideMark/>
          </w:tcPr>
          <w:p w14:paraId="54CE6C4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0.06439</w:t>
            </w:r>
          </w:p>
        </w:tc>
        <w:tc>
          <w:tcPr>
            <w:tcW w:w="1112" w:type="dxa"/>
            <w:hideMark/>
          </w:tcPr>
          <w:p w14:paraId="0E1C86E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0.08197</w:t>
            </w:r>
          </w:p>
        </w:tc>
        <w:tc>
          <w:tcPr>
            <w:tcW w:w="1112" w:type="dxa"/>
            <w:hideMark/>
          </w:tcPr>
          <w:p w14:paraId="7770451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0.04380</w:t>
            </w:r>
          </w:p>
        </w:tc>
        <w:tc>
          <w:tcPr>
            <w:tcW w:w="1112" w:type="dxa"/>
            <w:hideMark/>
          </w:tcPr>
          <w:p w14:paraId="2916DF1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0.04955</w:t>
            </w:r>
          </w:p>
        </w:tc>
        <w:tc>
          <w:tcPr>
            <w:tcW w:w="1304" w:type="dxa"/>
            <w:hideMark/>
          </w:tcPr>
          <w:p w14:paraId="6D79527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69D56E7C" w14:textId="77777777" w:rsidTr="009510BF">
        <w:trPr>
          <w:trHeight w:val="330"/>
        </w:trPr>
        <w:tc>
          <w:tcPr>
            <w:tcW w:w="1492" w:type="dxa"/>
            <w:hideMark/>
          </w:tcPr>
          <w:p w14:paraId="5DF3D878"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Таиланд</w:t>
            </w:r>
          </w:p>
        </w:tc>
        <w:tc>
          <w:tcPr>
            <w:tcW w:w="1110" w:type="dxa"/>
            <w:hideMark/>
          </w:tcPr>
          <w:p w14:paraId="6EC4603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xml:space="preserve"> </w:t>
            </w:r>
          </w:p>
        </w:tc>
        <w:tc>
          <w:tcPr>
            <w:tcW w:w="1112" w:type="dxa"/>
            <w:hideMark/>
          </w:tcPr>
          <w:p w14:paraId="7EACEC8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xml:space="preserve"> </w:t>
            </w:r>
          </w:p>
        </w:tc>
        <w:tc>
          <w:tcPr>
            <w:tcW w:w="1112" w:type="dxa"/>
            <w:hideMark/>
          </w:tcPr>
          <w:p w14:paraId="4AFB1EA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0.00166</w:t>
            </w:r>
          </w:p>
        </w:tc>
        <w:tc>
          <w:tcPr>
            <w:tcW w:w="1112" w:type="dxa"/>
            <w:hideMark/>
          </w:tcPr>
          <w:p w14:paraId="1ED3F99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0.00834</w:t>
            </w:r>
          </w:p>
        </w:tc>
        <w:tc>
          <w:tcPr>
            <w:tcW w:w="1112" w:type="dxa"/>
            <w:hideMark/>
          </w:tcPr>
          <w:p w14:paraId="451BA2B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0.00773</w:t>
            </w:r>
          </w:p>
        </w:tc>
        <w:tc>
          <w:tcPr>
            <w:tcW w:w="1112" w:type="dxa"/>
            <w:hideMark/>
          </w:tcPr>
          <w:p w14:paraId="503D7C6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0.00892</w:t>
            </w:r>
          </w:p>
        </w:tc>
        <w:tc>
          <w:tcPr>
            <w:tcW w:w="1304" w:type="dxa"/>
            <w:hideMark/>
          </w:tcPr>
          <w:p w14:paraId="61D9566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42247305" w14:textId="77777777" w:rsidTr="009510BF">
        <w:trPr>
          <w:trHeight w:val="330"/>
        </w:trPr>
        <w:tc>
          <w:tcPr>
            <w:tcW w:w="1492" w:type="dxa"/>
            <w:hideMark/>
          </w:tcPr>
          <w:p w14:paraId="3BFC718D" w14:textId="77777777" w:rsidR="009510BF" w:rsidRPr="00FB5EB6" w:rsidRDefault="009510BF" w:rsidP="00834454">
            <w:pPr>
              <w:jc w:val="left"/>
              <w:rPr>
                <w:rFonts w:asciiTheme="majorBidi" w:hAnsiTheme="majorBidi" w:cstheme="majorBidi"/>
                <w:color w:val="000000"/>
                <w:sz w:val="18"/>
                <w:szCs w:val="18"/>
                <w:lang w:eastAsia="zh-CN"/>
              </w:rPr>
            </w:pPr>
            <w:r>
              <w:rPr>
                <w:rFonts w:asciiTheme="majorBidi" w:hAnsiTheme="majorBidi" w:cstheme="majorBidi"/>
                <w:color w:val="000000"/>
                <w:sz w:val="18"/>
                <w:szCs w:val="18"/>
                <w:lang w:eastAsia="zh-CN"/>
              </w:rPr>
              <w:t>Турция</w:t>
            </w:r>
          </w:p>
        </w:tc>
        <w:tc>
          <w:tcPr>
            <w:tcW w:w="1110" w:type="dxa"/>
            <w:hideMark/>
          </w:tcPr>
          <w:p w14:paraId="5E9CF44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0.04732</w:t>
            </w:r>
          </w:p>
        </w:tc>
        <w:tc>
          <w:tcPr>
            <w:tcW w:w="1112" w:type="dxa"/>
            <w:hideMark/>
          </w:tcPr>
          <w:p w14:paraId="465441A0"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0.05781</w:t>
            </w:r>
          </w:p>
        </w:tc>
        <w:tc>
          <w:tcPr>
            <w:tcW w:w="1112" w:type="dxa"/>
            <w:hideMark/>
          </w:tcPr>
          <w:p w14:paraId="29667E4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0.06773</w:t>
            </w:r>
          </w:p>
        </w:tc>
        <w:tc>
          <w:tcPr>
            <w:tcW w:w="1112" w:type="dxa"/>
            <w:hideMark/>
          </w:tcPr>
          <w:p w14:paraId="5C082E6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0.05728</w:t>
            </w:r>
          </w:p>
        </w:tc>
        <w:tc>
          <w:tcPr>
            <w:tcW w:w="1112" w:type="dxa"/>
            <w:hideMark/>
          </w:tcPr>
          <w:p w14:paraId="40E83A5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0.03383</w:t>
            </w:r>
          </w:p>
        </w:tc>
        <w:tc>
          <w:tcPr>
            <w:tcW w:w="1112" w:type="dxa"/>
            <w:hideMark/>
          </w:tcPr>
          <w:p w14:paraId="28132C8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0.03006</w:t>
            </w:r>
          </w:p>
        </w:tc>
        <w:tc>
          <w:tcPr>
            <w:tcW w:w="1304" w:type="dxa"/>
            <w:hideMark/>
          </w:tcPr>
          <w:p w14:paraId="029FA90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0.04335</w:t>
            </w:r>
          </w:p>
        </w:tc>
      </w:tr>
      <w:tr w:rsidR="009510BF" w:rsidRPr="00FB5EB6" w14:paraId="312C44B6" w14:textId="77777777" w:rsidTr="009510BF">
        <w:trPr>
          <w:trHeight w:val="330"/>
        </w:trPr>
        <w:tc>
          <w:tcPr>
            <w:tcW w:w="1492" w:type="dxa"/>
            <w:hideMark/>
          </w:tcPr>
          <w:p w14:paraId="0B5D5BDE"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Украина</w:t>
            </w:r>
          </w:p>
        </w:tc>
        <w:tc>
          <w:tcPr>
            <w:tcW w:w="1110" w:type="dxa"/>
            <w:hideMark/>
          </w:tcPr>
          <w:p w14:paraId="1799FDF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0.00570</w:t>
            </w:r>
          </w:p>
        </w:tc>
        <w:tc>
          <w:tcPr>
            <w:tcW w:w="1112" w:type="dxa"/>
            <w:hideMark/>
          </w:tcPr>
          <w:p w14:paraId="09B1781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0.01087</w:t>
            </w:r>
          </w:p>
        </w:tc>
        <w:tc>
          <w:tcPr>
            <w:tcW w:w="1112" w:type="dxa"/>
            <w:hideMark/>
          </w:tcPr>
          <w:p w14:paraId="78584E5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0.01436</w:t>
            </w:r>
          </w:p>
        </w:tc>
        <w:tc>
          <w:tcPr>
            <w:tcW w:w="1112" w:type="dxa"/>
            <w:hideMark/>
          </w:tcPr>
          <w:p w14:paraId="6EC2267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0.01290</w:t>
            </w:r>
          </w:p>
        </w:tc>
        <w:tc>
          <w:tcPr>
            <w:tcW w:w="1112" w:type="dxa"/>
            <w:hideMark/>
          </w:tcPr>
          <w:p w14:paraId="294B5CF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0.01393</w:t>
            </w:r>
          </w:p>
        </w:tc>
        <w:tc>
          <w:tcPr>
            <w:tcW w:w="1112" w:type="dxa"/>
            <w:hideMark/>
          </w:tcPr>
          <w:p w14:paraId="4B39EAD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0.01466</w:t>
            </w:r>
          </w:p>
        </w:tc>
        <w:tc>
          <w:tcPr>
            <w:tcW w:w="1304" w:type="dxa"/>
            <w:hideMark/>
          </w:tcPr>
          <w:p w14:paraId="07F3DB2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6C17303C" w14:textId="77777777" w:rsidTr="009510BF">
        <w:trPr>
          <w:trHeight w:val="330"/>
        </w:trPr>
        <w:tc>
          <w:tcPr>
            <w:tcW w:w="1492" w:type="dxa"/>
            <w:hideMark/>
          </w:tcPr>
          <w:p w14:paraId="0A54BB29"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Финляндия</w:t>
            </w:r>
          </w:p>
        </w:tc>
        <w:tc>
          <w:tcPr>
            <w:tcW w:w="1110" w:type="dxa"/>
            <w:hideMark/>
          </w:tcPr>
          <w:p w14:paraId="6F9CBA7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0.03832</w:t>
            </w:r>
          </w:p>
        </w:tc>
        <w:tc>
          <w:tcPr>
            <w:tcW w:w="1112" w:type="dxa"/>
            <w:hideMark/>
          </w:tcPr>
          <w:p w14:paraId="6AAAEF6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0.03218</w:t>
            </w:r>
          </w:p>
        </w:tc>
        <w:tc>
          <w:tcPr>
            <w:tcW w:w="1112" w:type="dxa"/>
            <w:hideMark/>
          </w:tcPr>
          <w:p w14:paraId="3AB0146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0.02961</w:t>
            </w:r>
          </w:p>
        </w:tc>
        <w:tc>
          <w:tcPr>
            <w:tcW w:w="1112" w:type="dxa"/>
            <w:hideMark/>
          </w:tcPr>
          <w:p w14:paraId="100C355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0.03170</w:t>
            </w:r>
          </w:p>
        </w:tc>
        <w:tc>
          <w:tcPr>
            <w:tcW w:w="1112" w:type="dxa"/>
            <w:hideMark/>
          </w:tcPr>
          <w:p w14:paraId="3F666C9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0.03332</w:t>
            </w:r>
          </w:p>
        </w:tc>
        <w:tc>
          <w:tcPr>
            <w:tcW w:w="1112" w:type="dxa"/>
            <w:hideMark/>
          </w:tcPr>
          <w:p w14:paraId="575FF87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0.05843</w:t>
            </w:r>
          </w:p>
        </w:tc>
        <w:tc>
          <w:tcPr>
            <w:tcW w:w="1304" w:type="dxa"/>
            <w:hideMark/>
          </w:tcPr>
          <w:p w14:paraId="17CB44B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6AD1E39B" w14:textId="77777777" w:rsidTr="009510BF">
        <w:trPr>
          <w:trHeight w:val="330"/>
        </w:trPr>
        <w:tc>
          <w:tcPr>
            <w:tcW w:w="1492" w:type="dxa"/>
            <w:hideMark/>
          </w:tcPr>
          <w:p w14:paraId="50A26A41"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Франция</w:t>
            </w:r>
          </w:p>
        </w:tc>
        <w:tc>
          <w:tcPr>
            <w:tcW w:w="1110" w:type="dxa"/>
            <w:hideMark/>
          </w:tcPr>
          <w:p w14:paraId="01D30E3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0.08579</w:t>
            </w:r>
          </w:p>
        </w:tc>
        <w:tc>
          <w:tcPr>
            <w:tcW w:w="1112" w:type="dxa"/>
            <w:hideMark/>
          </w:tcPr>
          <w:p w14:paraId="18D51C3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0.07663</w:t>
            </w:r>
          </w:p>
        </w:tc>
        <w:tc>
          <w:tcPr>
            <w:tcW w:w="1112" w:type="dxa"/>
            <w:hideMark/>
          </w:tcPr>
          <w:p w14:paraId="42A8215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0.07483</w:t>
            </w:r>
          </w:p>
        </w:tc>
        <w:tc>
          <w:tcPr>
            <w:tcW w:w="1112" w:type="dxa"/>
            <w:hideMark/>
          </w:tcPr>
          <w:p w14:paraId="4714737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0.07925</w:t>
            </w:r>
          </w:p>
        </w:tc>
        <w:tc>
          <w:tcPr>
            <w:tcW w:w="1112" w:type="dxa"/>
            <w:hideMark/>
          </w:tcPr>
          <w:p w14:paraId="769E095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0.08045</w:t>
            </w:r>
          </w:p>
        </w:tc>
        <w:tc>
          <w:tcPr>
            <w:tcW w:w="1112" w:type="dxa"/>
            <w:hideMark/>
          </w:tcPr>
          <w:p w14:paraId="27D97DD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0.08607</w:t>
            </w:r>
          </w:p>
        </w:tc>
        <w:tc>
          <w:tcPr>
            <w:tcW w:w="1304" w:type="dxa"/>
            <w:hideMark/>
          </w:tcPr>
          <w:p w14:paraId="5DBE5BBA"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55892571" w14:textId="77777777" w:rsidTr="009510BF">
        <w:trPr>
          <w:trHeight w:val="330"/>
        </w:trPr>
        <w:tc>
          <w:tcPr>
            <w:tcW w:w="1492" w:type="dxa"/>
            <w:hideMark/>
          </w:tcPr>
          <w:p w14:paraId="1115A6E0"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Хорватия</w:t>
            </w:r>
          </w:p>
        </w:tc>
        <w:tc>
          <w:tcPr>
            <w:tcW w:w="1110" w:type="dxa"/>
            <w:hideMark/>
          </w:tcPr>
          <w:p w14:paraId="06AF92B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0.15837</w:t>
            </w:r>
          </w:p>
        </w:tc>
        <w:tc>
          <w:tcPr>
            <w:tcW w:w="1112" w:type="dxa"/>
            <w:hideMark/>
          </w:tcPr>
          <w:p w14:paraId="189BC72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0.16123</w:t>
            </w:r>
          </w:p>
        </w:tc>
        <w:tc>
          <w:tcPr>
            <w:tcW w:w="1112" w:type="dxa"/>
            <w:hideMark/>
          </w:tcPr>
          <w:p w14:paraId="2B32F84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0.14429</w:t>
            </w:r>
          </w:p>
        </w:tc>
        <w:tc>
          <w:tcPr>
            <w:tcW w:w="1112" w:type="dxa"/>
            <w:hideMark/>
          </w:tcPr>
          <w:p w14:paraId="5D6AC97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0.13167</w:t>
            </w:r>
          </w:p>
        </w:tc>
        <w:tc>
          <w:tcPr>
            <w:tcW w:w="1112" w:type="dxa"/>
            <w:hideMark/>
          </w:tcPr>
          <w:p w14:paraId="64BF39E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0.13969</w:t>
            </w:r>
          </w:p>
        </w:tc>
        <w:tc>
          <w:tcPr>
            <w:tcW w:w="1112" w:type="dxa"/>
            <w:hideMark/>
          </w:tcPr>
          <w:p w14:paraId="171E7B0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0.17155</w:t>
            </w:r>
          </w:p>
        </w:tc>
        <w:tc>
          <w:tcPr>
            <w:tcW w:w="1304" w:type="dxa"/>
            <w:hideMark/>
          </w:tcPr>
          <w:p w14:paraId="0761FF3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675B8476" w14:textId="77777777" w:rsidTr="009510BF">
        <w:trPr>
          <w:trHeight w:val="330"/>
        </w:trPr>
        <w:tc>
          <w:tcPr>
            <w:tcW w:w="1492" w:type="dxa"/>
            <w:hideMark/>
          </w:tcPr>
          <w:p w14:paraId="096E43EF"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Чехия</w:t>
            </w:r>
          </w:p>
        </w:tc>
        <w:tc>
          <w:tcPr>
            <w:tcW w:w="1110" w:type="dxa"/>
            <w:hideMark/>
          </w:tcPr>
          <w:p w14:paraId="6630E02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0.23064</w:t>
            </w:r>
          </w:p>
        </w:tc>
        <w:tc>
          <w:tcPr>
            <w:tcW w:w="1112" w:type="dxa"/>
            <w:hideMark/>
          </w:tcPr>
          <w:p w14:paraId="7C14C23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0.19771</w:t>
            </w:r>
          </w:p>
        </w:tc>
        <w:tc>
          <w:tcPr>
            <w:tcW w:w="1112" w:type="dxa"/>
            <w:hideMark/>
          </w:tcPr>
          <w:p w14:paraId="436C783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0.20739</w:t>
            </w:r>
          </w:p>
        </w:tc>
        <w:tc>
          <w:tcPr>
            <w:tcW w:w="1112" w:type="dxa"/>
            <w:hideMark/>
          </w:tcPr>
          <w:p w14:paraId="334D096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0.23380</w:t>
            </w:r>
          </w:p>
        </w:tc>
        <w:tc>
          <w:tcPr>
            <w:tcW w:w="1112" w:type="dxa"/>
            <w:hideMark/>
          </w:tcPr>
          <w:p w14:paraId="2D6FC24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0.21600</w:t>
            </w:r>
          </w:p>
        </w:tc>
        <w:tc>
          <w:tcPr>
            <w:tcW w:w="1112" w:type="dxa"/>
            <w:hideMark/>
          </w:tcPr>
          <w:p w14:paraId="337D57F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0.23238</w:t>
            </w:r>
          </w:p>
        </w:tc>
        <w:tc>
          <w:tcPr>
            <w:tcW w:w="1304" w:type="dxa"/>
            <w:hideMark/>
          </w:tcPr>
          <w:p w14:paraId="6AA56D3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064B2CED" w14:textId="77777777" w:rsidTr="009510BF">
        <w:trPr>
          <w:trHeight w:val="330"/>
        </w:trPr>
        <w:tc>
          <w:tcPr>
            <w:tcW w:w="1492" w:type="dxa"/>
            <w:hideMark/>
          </w:tcPr>
          <w:p w14:paraId="3CF5868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Швейцария</w:t>
            </w:r>
          </w:p>
        </w:tc>
        <w:tc>
          <w:tcPr>
            <w:tcW w:w="1110" w:type="dxa"/>
            <w:hideMark/>
          </w:tcPr>
          <w:p w14:paraId="32368C7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0.04260</w:t>
            </w:r>
          </w:p>
        </w:tc>
        <w:tc>
          <w:tcPr>
            <w:tcW w:w="1112" w:type="dxa"/>
            <w:hideMark/>
          </w:tcPr>
          <w:p w14:paraId="71B847A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0.04376</w:t>
            </w:r>
          </w:p>
        </w:tc>
        <w:tc>
          <w:tcPr>
            <w:tcW w:w="1112" w:type="dxa"/>
            <w:hideMark/>
          </w:tcPr>
          <w:p w14:paraId="45A21DB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0.04145</w:t>
            </w:r>
          </w:p>
        </w:tc>
        <w:tc>
          <w:tcPr>
            <w:tcW w:w="1112" w:type="dxa"/>
            <w:hideMark/>
          </w:tcPr>
          <w:p w14:paraId="775A26E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0.04371</w:t>
            </w:r>
          </w:p>
        </w:tc>
        <w:tc>
          <w:tcPr>
            <w:tcW w:w="1112" w:type="dxa"/>
            <w:hideMark/>
          </w:tcPr>
          <w:p w14:paraId="5892712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0.04802</w:t>
            </w:r>
          </w:p>
        </w:tc>
        <w:tc>
          <w:tcPr>
            <w:tcW w:w="1112" w:type="dxa"/>
            <w:hideMark/>
          </w:tcPr>
          <w:p w14:paraId="050D043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0.05279</w:t>
            </w:r>
          </w:p>
        </w:tc>
        <w:tc>
          <w:tcPr>
            <w:tcW w:w="1304" w:type="dxa"/>
            <w:hideMark/>
          </w:tcPr>
          <w:p w14:paraId="5F66D01F"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551209A9" w14:textId="77777777" w:rsidTr="009510BF">
        <w:trPr>
          <w:trHeight w:val="330"/>
        </w:trPr>
        <w:tc>
          <w:tcPr>
            <w:tcW w:w="1492" w:type="dxa"/>
            <w:hideMark/>
          </w:tcPr>
          <w:p w14:paraId="0D0736A6"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Швеция</w:t>
            </w:r>
          </w:p>
        </w:tc>
        <w:tc>
          <w:tcPr>
            <w:tcW w:w="1110" w:type="dxa"/>
            <w:hideMark/>
          </w:tcPr>
          <w:p w14:paraId="68C83AC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0.03232</w:t>
            </w:r>
          </w:p>
        </w:tc>
        <w:tc>
          <w:tcPr>
            <w:tcW w:w="1112" w:type="dxa"/>
            <w:hideMark/>
          </w:tcPr>
          <w:p w14:paraId="648387C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0.04369</w:t>
            </w:r>
          </w:p>
        </w:tc>
        <w:tc>
          <w:tcPr>
            <w:tcW w:w="1112" w:type="dxa"/>
            <w:hideMark/>
          </w:tcPr>
          <w:p w14:paraId="24FDEDC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0.04043</w:t>
            </w:r>
          </w:p>
        </w:tc>
        <w:tc>
          <w:tcPr>
            <w:tcW w:w="1112" w:type="dxa"/>
            <w:hideMark/>
          </w:tcPr>
          <w:p w14:paraId="3C980CD7"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0.04726</w:t>
            </w:r>
          </w:p>
        </w:tc>
        <w:tc>
          <w:tcPr>
            <w:tcW w:w="1112" w:type="dxa"/>
            <w:hideMark/>
          </w:tcPr>
          <w:p w14:paraId="30315F4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0.03481</w:t>
            </w:r>
          </w:p>
        </w:tc>
        <w:tc>
          <w:tcPr>
            <w:tcW w:w="1112" w:type="dxa"/>
            <w:hideMark/>
          </w:tcPr>
          <w:p w14:paraId="712047EE"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0.03309</w:t>
            </w:r>
          </w:p>
        </w:tc>
        <w:tc>
          <w:tcPr>
            <w:tcW w:w="1304" w:type="dxa"/>
            <w:hideMark/>
          </w:tcPr>
          <w:p w14:paraId="7E74774F"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0C1086E2" w14:textId="77777777" w:rsidTr="009510BF">
        <w:trPr>
          <w:trHeight w:val="330"/>
        </w:trPr>
        <w:tc>
          <w:tcPr>
            <w:tcW w:w="1492" w:type="dxa"/>
            <w:hideMark/>
          </w:tcPr>
          <w:p w14:paraId="30096AE4"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Эстония</w:t>
            </w:r>
          </w:p>
        </w:tc>
        <w:tc>
          <w:tcPr>
            <w:tcW w:w="1110" w:type="dxa"/>
            <w:hideMark/>
          </w:tcPr>
          <w:p w14:paraId="74568624"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0.11875</w:t>
            </w:r>
          </w:p>
        </w:tc>
        <w:tc>
          <w:tcPr>
            <w:tcW w:w="1112" w:type="dxa"/>
            <w:hideMark/>
          </w:tcPr>
          <w:p w14:paraId="366500B3"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0.10668</w:t>
            </w:r>
          </w:p>
        </w:tc>
        <w:tc>
          <w:tcPr>
            <w:tcW w:w="1112" w:type="dxa"/>
            <w:hideMark/>
          </w:tcPr>
          <w:p w14:paraId="5BD8A2F9"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0.20014</w:t>
            </w:r>
          </w:p>
        </w:tc>
        <w:tc>
          <w:tcPr>
            <w:tcW w:w="1112" w:type="dxa"/>
            <w:hideMark/>
          </w:tcPr>
          <w:p w14:paraId="20F1236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0.08870</w:t>
            </w:r>
          </w:p>
        </w:tc>
        <w:tc>
          <w:tcPr>
            <w:tcW w:w="1112" w:type="dxa"/>
            <w:hideMark/>
          </w:tcPr>
          <w:p w14:paraId="5DE7939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0.10601</w:t>
            </w:r>
          </w:p>
        </w:tc>
        <w:tc>
          <w:tcPr>
            <w:tcW w:w="1112" w:type="dxa"/>
            <w:hideMark/>
          </w:tcPr>
          <w:p w14:paraId="1816B12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0.09056</w:t>
            </w:r>
          </w:p>
        </w:tc>
        <w:tc>
          <w:tcPr>
            <w:tcW w:w="1304" w:type="dxa"/>
            <w:hideMark/>
          </w:tcPr>
          <w:p w14:paraId="3997B53C"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1BE00655" w14:textId="77777777" w:rsidTr="009510BF">
        <w:trPr>
          <w:trHeight w:val="330"/>
        </w:trPr>
        <w:tc>
          <w:tcPr>
            <w:tcW w:w="1492" w:type="dxa"/>
            <w:hideMark/>
          </w:tcPr>
          <w:p w14:paraId="71133589"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Южная Африка</w:t>
            </w:r>
          </w:p>
        </w:tc>
        <w:tc>
          <w:tcPr>
            <w:tcW w:w="1110" w:type="dxa"/>
            <w:hideMark/>
          </w:tcPr>
          <w:p w14:paraId="08F9B3C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0.24828</w:t>
            </w:r>
          </w:p>
        </w:tc>
        <w:tc>
          <w:tcPr>
            <w:tcW w:w="1112" w:type="dxa"/>
            <w:hideMark/>
          </w:tcPr>
          <w:p w14:paraId="6E724EBA"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0.21679</w:t>
            </w:r>
          </w:p>
        </w:tc>
        <w:tc>
          <w:tcPr>
            <w:tcW w:w="1112" w:type="dxa"/>
            <w:hideMark/>
          </w:tcPr>
          <w:p w14:paraId="32431E52"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0.25034</w:t>
            </w:r>
          </w:p>
        </w:tc>
        <w:tc>
          <w:tcPr>
            <w:tcW w:w="1112" w:type="dxa"/>
            <w:hideMark/>
          </w:tcPr>
          <w:p w14:paraId="53EF073B"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0.21453</w:t>
            </w:r>
          </w:p>
        </w:tc>
        <w:tc>
          <w:tcPr>
            <w:tcW w:w="1112" w:type="dxa"/>
            <w:hideMark/>
          </w:tcPr>
          <w:p w14:paraId="13F53B4D"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0.21871</w:t>
            </w:r>
          </w:p>
        </w:tc>
        <w:tc>
          <w:tcPr>
            <w:tcW w:w="1112" w:type="dxa"/>
            <w:hideMark/>
          </w:tcPr>
          <w:p w14:paraId="41F0BCC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0.23148</w:t>
            </w:r>
          </w:p>
        </w:tc>
        <w:tc>
          <w:tcPr>
            <w:tcW w:w="1304" w:type="dxa"/>
            <w:hideMark/>
          </w:tcPr>
          <w:p w14:paraId="4B872D4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 </w:t>
            </w:r>
          </w:p>
        </w:tc>
      </w:tr>
      <w:tr w:rsidR="009510BF" w:rsidRPr="00FB5EB6" w14:paraId="595AB572" w14:textId="77777777" w:rsidTr="009510BF">
        <w:trPr>
          <w:trHeight w:val="330"/>
        </w:trPr>
        <w:tc>
          <w:tcPr>
            <w:tcW w:w="1492" w:type="dxa"/>
            <w:hideMark/>
          </w:tcPr>
          <w:p w14:paraId="7C5FBE0C" w14:textId="77777777" w:rsidR="009510BF" w:rsidRPr="00FB5EB6" w:rsidRDefault="009510BF" w:rsidP="00834454">
            <w:pPr>
              <w:jc w:val="lef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Япония</w:t>
            </w:r>
          </w:p>
        </w:tc>
        <w:tc>
          <w:tcPr>
            <w:tcW w:w="1110" w:type="dxa"/>
            <w:hideMark/>
          </w:tcPr>
          <w:p w14:paraId="000AC40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0.01909</w:t>
            </w:r>
          </w:p>
        </w:tc>
        <w:tc>
          <w:tcPr>
            <w:tcW w:w="1112" w:type="dxa"/>
            <w:hideMark/>
          </w:tcPr>
          <w:p w14:paraId="380F0926"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0.02094</w:t>
            </w:r>
          </w:p>
        </w:tc>
        <w:tc>
          <w:tcPr>
            <w:tcW w:w="1112" w:type="dxa"/>
            <w:hideMark/>
          </w:tcPr>
          <w:p w14:paraId="33DED105"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0.01982</w:t>
            </w:r>
          </w:p>
        </w:tc>
        <w:tc>
          <w:tcPr>
            <w:tcW w:w="1112" w:type="dxa"/>
            <w:hideMark/>
          </w:tcPr>
          <w:p w14:paraId="0605889C"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0.01976</w:t>
            </w:r>
          </w:p>
        </w:tc>
        <w:tc>
          <w:tcPr>
            <w:tcW w:w="1112" w:type="dxa"/>
            <w:hideMark/>
          </w:tcPr>
          <w:p w14:paraId="1D566958"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0.02031</w:t>
            </w:r>
          </w:p>
        </w:tc>
        <w:tc>
          <w:tcPr>
            <w:tcW w:w="1112" w:type="dxa"/>
            <w:hideMark/>
          </w:tcPr>
          <w:p w14:paraId="17140FF1" w14:textId="77777777" w:rsidR="009510BF" w:rsidRPr="00FB5EB6" w:rsidRDefault="009510BF" w:rsidP="00834454">
            <w:pPr>
              <w:jc w:val="right"/>
              <w:rPr>
                <w:rFonts w:asciiTheme="majorBidi" w:hAnsiTheme="majorBidi" w:cstheme="majorBidi"/>
                <w:color w:val="000000"/>
                <w:sz w:val="18"/>
                <w:szCs w:val="18"/>
                <w:lang w:eastAsia="zh-CN"/>
              </w:rPr>
            </w:pPr>
            <w:r w:rsidRPr="00FB5EB6">
              <w:rPr>
                <w:rFonts w:asciiTheme="majorBidi" w:hAnsiTheme="majorBidi" w:cstheme="majorBidi"/>
                <w:color w:val="000000"/>
                <w:sz w:val="18"/>
                <w:szCs w:val="18"/>
                <w:lang w:eastAsia="zh-CN"/>
              </w:rPr>
              <w:t>0.01528</w:t>
            </w:r>
          </w:p>
        </w:tc>
        <w:tc>
          <w:tcPr>
            <w:tcW w:w="1304" w:type="dxa"/>
            <w:hideMark/>
          </w:tcPr>
          <w:p w14:paraId="77B44226" w14:textId="77777777" w:rsidR="009510BF" w:rsidRPr="00FB5EB6" w:rsidRDefault="009510BF" w:rsidP="00834454">
            <w:pPr>
              <w:jc w:val="right"/>
              <w:rPr>
                <w:rFonts w:asciiTheme="majorBidi" w:hAnsiTheme="majorBidi" w:cstheme="majorBidi"/>
                <w:color w:val="000000"/>
                <w:sz w:val="18"/>
                <w:szCs w:val="18"/>
                <w:lang w:eastAsia="zh-CN"/>
              </w:rPr>
            </w:pPr>
          </w:p>
        </w:tc>
      </w:tr>
      <w:tr w:rsidR="009510BF" w:rsidRPr="00FB5EB6" w14:paraId="152C128B" w14:textId="77777777" w:rsidTr="00834454">
        <w:trPr>
          <w:trHeight w:val="103"/>
        </w:trPr>
        <w:tc>
          <w:tcPr>
            <w:tcW w:w="9466" w:type="dxa"/>
            <w:gridSpan w:val="8"/>
            <w:tcBorders>
              <w:top w:val="single" w:sz="4" w:space="0" w:color="auto"/>
              <w:left w:val="nil"/>
              <w:bottom w:val="nil"/>
              <w:right w:val="nil"/>
            </w:tcBorders>
          </w:tcPr>
          <w:p w14:paraId="07EFCA2F" w14:textId="77777777" w:rsidR="009510BF" w:rsidRPr="00FB5EB6" w:rsidRDefault="009510BF" w:rsidP="00834454">
            <w:pPr>
              <w:suppressLineNumbers/>
              <w:suppressAutoHyphens/>
              <w:kinsoku w:val="0"/>
              <w:overflowPunct w:val="0"/>
              <w:autoSpaceDE w:val="0"/>
              <w:autoSpaceDN w:val="0"/>
              <w:adjustRightInd w:val="0"/>
              <w:snapToGrid w:val="0"/>
              <w:jc w:val="left"/>
              <w:rPr>
                <w:bCs/>
                <w:i/>
                <w:iCs/>
                <w:snapToGrid w:val="0"/>
                <w:kern w:val="22"/>
                <w:sz w:val="18"/>
                <w:szCs w:val="18"/>
              </w:rPr>
            </w:pPr>
          </w:p>
        </w:tc>
      </w:tr>
    </w:tbl>
    <w:p w14:paraId="56D00B14" w14:textId="77777777" w:rsidR="009510BF" w:rsidRPr="00FB5EB6" w:rsidRDefault="009510BF" w:rsidP="009510BF">
      <w:pPr>
        <w:suppressLineNumbers/>
        <w:suppressAutoHyphens/>
        <w:kinsoku w:val="0"/>
        <w:overflowPunct w:val="0"/>
        <w:autoSpaceDE w:val="0"/>
        <w:autoSpaceDN w:val="0"/>
        <w:adjustRightInd w:val="0"/>
        <w:snapToGrid w:val="0"/>
        <w:spacing w:before="120"/>
        <w:jc w:val="center"/>
        <w:rPr>
          <w:bCs/>
          <w:kern w:val="22"/>
          <w:szCs w:val="22"/>
        </w:rPr>
      </w:pPr>
      <w:r w:rsidRPr="00FB5EB6">
        <w:rPr>
          <w:bCs/>
          <w:snapToGrid w:val="0"/>
          <w:kern w:val="22"/>
          <w:szCs w:val="22"/>
        </w:rPr>
        <w:t>__________</w:t>
      </w:r>
    </w:p>
    <w:p w14:paraId="6BE06012" w14:textId="77777777" w:rsidR="009510BF" w:rsidRPr="00D76083" w:rsidRDefault="009510BF" w:rsidP="009510BF">
      <w:pPr>
        <w:pStyle w:val="Heading1longmultiline"/>
        <w:ind w:left="0" w:firstLine="0"/>
        <w:jc w:val="center"/>
        <w:rPr>
          <w:bCs/>
          <w:kern w:val="22"/>
          <w:szCs w:val="22"/>
        </w:rPr>
      </w:pPr>
    </w:p>
    <w:sectPr w:rsidR="009510BF" w:rsidRPr="00D76083" w:rsidSect="00C264EE">
      <w:headerReference w:type="even" r:id="rId17"/>
      <w:headerReference w:type="default" r:id="rId18"/>
      <w:footerReference w:type="even" r:id="rId19"/>
      <w:pgSz w:w="12240" w:h="15840" w:code="1"/>
      <w:pgMar w:top="562" w:right="1382" w:bottom="1080"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553EE" w14:textId="77777777" w:rsidR="001D3B15" w:rsidRDefault="001D3B15" w:rsidP="00CF1848">
      <w:r>
        <w:separator/>
      </w:r>
    </w:p>
  </w:endnote>
  <w:endnote w:type="continuationSeparator" w:id="0">
    <w:p w14:paraId="09BDCF8B" w14:textId="77777777" w:rsidR="001D3B15" w:rsidRDefault="001D3B15" w:rsidP="00CF1848">
      <w:r>
        <w:continuationSeparator/>
      </w:r>
    </w:p>
  </w:endnote>
  <w:endnote w:type="continuationNotice" w:id="1">
    <w:p w14:paraId="28D4992D" w14:textId="77777777" w:rsidR="001D3B15" w:rsidRDefault="001D3B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3556" w14:textId="77777777" w:rsidR="00541B75" w:rsidRDefault="00541B75" w:rsidP="006E604B">
    <w:pPr>
      <w:pStyle w:val="Pieddepage"/>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4727F" w14:textId="77777777" w:rsidR="001D3B15" w:rsidRDefault="001D3B15" w:rsidP="00CF1848">
      <w:r>
        <w:separator/>
      </w:r>
    </w:p>
  </w:footnote>
  <w:footnote w:type="continuationSeparator" w:id="0">
    <w:p w14:paraId="5BD937C5" w14:textId="77777777" w:rsidR="001D3B15" w:rsidRDefault="001D3B15" w:rsidP="00CF1848">
      <w:r>
        <w:continuationSeparator/>
      </w:r>
    </w:p>
  </w:footnote>
  <w:footnote w:type="continuationNotice" w:id="1">
    <w:p w14:paraId="49C4A24E" w14:textId="77777777" w:rsidR="001D3B15" w:rsidRDefault="001D3B15"/>
  </w:footnote>
  <w:footnote w:id="2">
    <w:p w14:paraId="41B3F540" w14:textId="0F5C4D7A" w:rsidR="00A40AEC" w:rsidRPr="00E575AF" w:rsidRDefault="00A40AEC" w:rsidP="00810AC2">
      <w:pPr>
        <w:pStyle w:val="Notedebasdepage"/>
        <w:ind w:firstLine="0"/>
        <w:rPr>
          <w:szCs w:val="18"/>
        </w:rPr>
      </w:pPr>
      <w:r>
        <w:rPr>
          <w:rStyle w:val="Appelnotedebasdep"/>
          <w:sz w:val="18"/>
          <w:szCs w:val="18"/>
        </w:rPr>
        <w:footnoteRef/>
      </w:r>
      <w:r>
        <w:t xml:space="preserve"> См. документы UNEP/CBD/SBI/1/7/Add.1, UNEP/CBD/COP/13/11/Rev.1, UNEP/CBD/SBI/2/7/Add.1, CBD/COP/14/6. </w:t>
      </w:r>
    </w:p>
  </w:footnote>
  <w:footnote w:id="3">
    <w:p w14:paraId="3F8EA51F" w14:textId="3C0107D0" w:rsidR="00467EA9" w:rsidRPr="00AE7B46" w:rsidRDefault="00467EA9" w:rsidP="00C264EE">
      <w:pPr>
        <w:pStyle w:val="Notedebasdepage"/>
        <w:ind w:firstLine="0"/>
        <w:rPr>
          <w:szCs w:val="18"/>
        </w:rPr>
      </w:pPr>
      <w:r>
        <w:rPr>
          <w:rStyle w:val="Appelnotedebasdep"/>
          <w:sz w:val="18"/>
          <w:szCs w:val="18"/>
        </w:rPr>
        <w:footnoteRef/>
      </w:r>
      <w:r>
        <w:t xml:space="preserve"> Подготовлено в соответствии с рекомендацией 3/6 Вспомогательного органа (CBD/SBI/REC/3/6, сноска 4).</w:t>
      </w:r>
    </w:p>
  </w:footnote>
  <w:footnote w:id="4">
    <w:p w14:paraId="32051B5E" w14:textId="6ECDE9AA" w:rsidR="00185E56" w:rsidRPr="00185E56" w:rsidRDefault="00185E56" w:rsidP="00185E56">
      <w:pPr>
        <w:pStyle w:val="Notedebasdepage"/>
        <w:ind w:firstLine="0"/>
      </w:pPr>
      <w:r>
        <w:rPr>
          <w:rStyle w:val="Appelnotedebasdep"/>
          <w:sz w:val="18"/>
          <w:szCs w:val="18"/>
        </w:rPr>
        <w:footnoteRef/>
      </w:r>
      <w:r>
        <w:t xml:space="preserve"> В ответ на уведомление 2021-034 от 14 мая 2021 года.</w:t>
      </w:r>
    </w:p>
  </w:footnote>
  <w:footnote w:id="5">
    <w:p w14:paraId="06A50F10" w14:textId="56EBFD3F" w:rsidR="007C2167" w:rsidRPr="00A90A8F" w:rsidRDefault="007C2167" w:rsidP="00E06110">
      <w:pPr>
        <w:pStyle w:val="Notedebasdepage"/>
        <w:ind w:firstLine="0"/>
      </w:pPr>
      <w:r w:rsidRPr="006912ED">
        <w:rPr>
          <w:rStyle w:val="Appelnotedebasdep"/>
          <w:sz w:val="18"/>
          <w:szCs w:val="20"/>
        </w:rPr>
        <w:footnoteRef/>
      </w:r>
      <w:r>
        <w:t xml:space="preserve"> </w:t>
      </w:r>
      <w:hyperlink r:id="rId1" w:history="1">
        <w:r>
          <w:rPr>
            <w:rStyle w:val="Lienhypertexte"/>
          </w:rPr>
          <w:t>https://chm.cbd.int/search/financial-analyzer</w:t>
        </w:r>
      </w:hyperlink>
      <w:r>
        <w:t>.</w:t>
      </w:r>
    </w:p>
  </w:footnote>
  <w:footnote w:id="6">
    <w:p w14:paraId="400AEC81" w14:textId="121854A3" w:rsidR="001F71ED" w:rsidRPr="008A4820" w:rsidRDefault="001F71ED" w:rsidP="00E06110">
      <w:pPr>
        <w:pStyle w:val="Notedebasdepage"/>
        <w:ind w:firstLine="0"/>
      </w:pPr>
      <w:r w:rsidRPr="006912ED">
        <w:rPr>
          <w:rStyle w:val="Appelnotedebasdep"/>
          <w:sz w:val="18"/>
          <w:szCs w:val="20"/>
        </w:rPr>
        <w:footnoteRef/>
      </w:r>
      <w:r w:rsidRPr="006912ED">
        <w:rPr>
          <w:sz w:val="14"/>
          <w:szCs w:val="20"/>
        </w:rPr>
        <w:t xml:space="preserve"> </w:t>
      </w:r>
      <w:r>
        <w:t>См. CBD/SBI/2/7Add.1.</w:t>
      </w:r>
    </w:p>
  </w:footnote>
  <w:footnote w:id="7">
    <w:p w14:paraId="5ABDFF00" w14:textId="4382A79E" w:rsidR="00541B75" w:rsidRPr="00D76083" w:rsidRDefault="00541B75" w:rsidP="00D76083">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Pr>
          <w:rStyle w:val="Appelnotedebasdep"/>
          <w:snapToGrid w:val="0"/>
          <w:kern w:val="18"/>
          <w:sz w:val="18"/>
          <w:szCs w:val="18"/>
        </w:rPr>
        <w:footnoteRef/>
      </w:r>
      <w:r>
        <w:rPr>
          <w:snapToGrid w:val="0"/>
          <w:szCs w:val="18"/>
        </w:rPr>
        <w:t xml:space="preserve"> Обязательства по двусторонней помощи, помеченные как «основные» в соответствии с методологией рио-де-жанейрских показателей </w:t>
      </w:r>
      <w:r w:rsidR="004553ED">
        <w:rPr>
          <w:snapToGrid w:val="0"/>
          <w:szCs w:val="18"/>
        </w:rPr>
        <w:t>КСР</w:t>
      </w:r>
      <w:r w:rsidR="004553ED">
        <w:rPr>
          <w:snapToGrid w:val="0"/>
          <w:szCs w:val="18"/>
        </w:rPr>
        <w:t xml:space="preserve"> </w:t>
      </w:r>
      <w:r>
        <w:rPr>
          <w:snapToGrid w:val="0"/>
          <w:szCs w:val="18"/>
        </w:rPr>
        <w:t xml:space="preserve">ОЭСР. </w:t>
      </w:r>
    </w:p>
  </w:footnote>
  <w:footnote w:id="8">
    <w:p w14:paraId="2BB74408" w14:textId="65FC0622" w:rsidR="00040067" w:rsidRPr="00000DA0" w:rsidRDefault="00040067" w:rsidP="00C264EE">
      <w:pPr>
        <w:pStyle w:val="Notedebasdepage"/>
        <w:ind w:firstLine="0"/>
        <w:jc w:val="left"/>
      </w:pPr>
      <w:r w:rsidRPr="00D8494C">
        <w:rPr>
          <w:rStyle w:val="Appelnotedebasdep"/>
          <w:sz w:val="18"/>
          <w:szCs w:val="20"/>
        </w:rPr>
        <w:footnoteRef/>
      </w:r>
      <w:r w:rsidRPr="00D8494C">
        <w:rPr>
          <w:sz w:val="14"/>
          <w:szCs w:val="20"/>
        </w:rPr>
        <w:t xml:space="preserve"> </w:t>
      </w:r>
      <w:r>
        <w:rPr>
          <w:i/>
          <w:iCs/>
        </w:rPr>
        <w:t>Материалы,</w:t>
      </w:r>
      <w:r>
        <w:t xml:space="preserve"> </w:t>
      </w:r>
      <w:r>
        <w:rPr>
          <w:i/>
          <w:iCs/>
        </w:rPr>
        <w:t>представлен</w:t>
      </w:r>
      <w:r w:rsidR="004553ED">
        <w:rPr>
          <w:i/>
          <w:iCs/>
        </w:rPr>
        <w:t>ны</w:t>
      </w:r>
      <w:r>
        <w:rPr>
          <w:i/>
          <w:iCs/>
        </w:rPr>
        <w:t>е Европейским союзом и его государствами-членами в связи с уведомлением КБР 2021-034. Информация структур</w:t>
      </w:r>
      <w:r w:rsidR="004553ED">
        <w:rPr>
          <w:i/>
          <w:iCs/>
        </w:rPr>
        <w:t>ы</w:t>
      </w:r>
      <w:r>
        <w:rPr>
          <w:i/>
          <w:iCs/>
        </w:rPr>
        <w:t xml:space="preserve"> представления финансовой отчетности </w:t>
      </w:r>
      <w:r w:rsidR="004553ED">
        <w:rPr>
          <w:i/>
          <w:iCs/>
        </w:rPr>
        <w:t xml:space="preserve">ЕС и его государств-членов </w:t>
      </w:r>
      <w:r>
        <w:rPr>
          <w:i/>
          <w:iCs/>
        </w:rPr>
        <w:t>(22 июля 2021 года)</w:t>
      </w:r>
      <w:r>
        <w:t xml:space="preserve"> в приложении к структуре представления финансовой отчетности </w:t>
      </w:r>
      <w:r w:rsidR="00987884">
        <w:t>Европейского союза и его государств-членов</w:t>
      </w:r>
      <w:r w:rsidR="00987884">
        <w:t xml:space="preserve"> цикла </w:t>
      </w:r>
      <w:r>
        <w:t>2020</w:t>
      </w:r>
      <w:r w:rsidR="00987884">
        <w:t xml:space="preserve"> года</w:t>
      </w:r>
      <w:r>
        <w:t xml:space="preserve"> (таблицы 1a и 1b).</w:t>
      </w:r>
    </w:p>
  </w:footnote>
  <w:footnote w:id="9">
    <w:p w14:paraId="1E4D90B6" w14:textId="44C03752" w:rsidR="00BD6514" w:rsidRPr="008C438C" w:rsidRDefault="00BD6514" w:rsidP="00C264EE">
      <w:pPr>
        <w:pStyle w:val="Notedebasdepage"/>
        <w:ind w:firstLine="0"/>
        <w:rPr>
          <w:szCs w:val="18"/>
        </w:rPr>
      </w:pPr>
      <w:r>
        <w:rPr>
          <w:rStyle w:val="Appelnotedebasdep"/>
          <w:sz w:val="18"/>
          <w:szCs w:val="18"/>
        </w:rPr>
        <w:footnoteRef/>
      </w:r>
      <w:r>
        <w:t xml:space="preserve"> См. </w:t>
      </w:r>
      <w:hyperlink r:id="rId2" w:history="1">
        <w:r>
          <w:rPr>
            <w:rStyle w:val="Lienhypertexte"/>
            <w:szCs w:val="18"/>
          </w:rPr>
          <w:t>https://chm.cbd.int/search/financial-analyzer</w:t>
        </w:r>
      </w:hyperlink>
      <w:r>
        <w:t>.</w:t>
      </w:r>
    </w:p>
  </w:footnote>
  <w:footnote w:id="10">
    <w:p w14:paraId="5DAB2331" w14:textId="6C038ADC" w:rsidR="00E21EEF" w:rsidRPr="00E21EEF" w:rsidRDefault="00E21EEF" w:rsidP="00E21EEF">
      <w:pPr>
        <w:pStyle w:val="Notedebasdepage"/>
        <w:ind w:firstLine="0"/>
        <w:rPr>
          <w:lang w:val="fr-FR"/>
        </w:rPr>
      </w:pPr>
      <w:r w:rsidRPr="00D8494C">
        <w:rPr>
          <w:rStyle w:val="Appelnotedebasdep"/>
          <w:sz w:val="18"/>
          <w:szCs w:val="20"/>
        </w:rPr>
        <w:footnoteRef/>
      </w:r>
      <w:r w:rsidRPr="00D8494C">
        <w:rPr>
          <w:sz w:val="14"/>
          <w:szCs w:val="20"/>
        </w:rPr>
        <w:t xml:space="preserve"> </w:t>
      </w:r>
      <w:r w:rsidRPr="00E21EEF">
        <w:t>Более подробная информация приведена в документе UNEP/CBD/COP/14/6.</w:t>
      </w:r>
    </w:p>
  </w:footnote>
  <w:footnote w:id="11">
    <w:p w14:paraId="47B9DFEE" w14:textId="1B0AEC74" w:rsidR="00E75C4E" w:rsidRPr="00F51514" w:rsidRDefault="00E75C4E" w:rsidP="00C264EE">
      <w:pPr>
        <w:pStyle w:val="Notedebasdepage"/>
        <w:ind w:firstLine="0"/>
        <w:rPr>
          <w:szCs w:val="18"/>
        </w:rPr>
      </w:pPr>
      <w:r>
        <w:rPr>
          <w:rStyle w:val="Appelnotedebasdep"/>
          <w:sz w:val="18"/>
          <w:szCs w:val="18"/>
        </w:rPr>
        <w:footnoteRef/>
      </w:r>
      <w:r>
        <w:t xml:space="preserve"> На основе имеющейся на момент составления информации в ГПОБ-5 предполагается, что эта целевая задача будет выполнена, а среднее значение составит 1,9 на 2015-2019 годы.</w:t>
      </w:r>
    </w:p>
  </w:footnote>
  <w:footnote w:id="12">
    <w:p w14:paraId="752CBD4E" w14:textId="0D1DDF8E" w:rsidR="0098055F" w:rsidRPr="00ED036F" w:rsidRDefault="0098055F" w:rsidP="00C264EE">
      <w:pPr>
        <w:pStyle w:val="Notedebasdepage"/>
        <w:ind w:firstLine="0"/>
        <w:jc w:val="left"/>
        <w:rPr>
          <w:szCs w:val="18"/>
        </w:rPr>
      </w:pPr>
      <w:r>
        <w:rPr>
          <w:rStyle w:val="Appelnotedebasdep"/>
          <w:sz w:val="18"/>
          <w:szCs w:val="18"/>
        </w:rPr>
        <w:footnoteRef/>
      </w:r>
      <w:r>
        <w:t xml:space="preserve"> В 2020 году следующие Стороны, не являющиеся членами КСР, представили отчетность в отношении по меньшей мере одного из этих кодов секторов: Азербайджан, Хорватия, Кипр, Эстония, Казахстан, Латвия, Литва, Румыния, Саудовская Аравия, Турция, Объединенные Арабские Эмираты.</w:t>
      </w:r>
    </w:p>
  </w:footnote>
  <w:footnote w:id="13">
    <w:p w14:paraId="0867A268" w14:textId="400AB798" w:rsidR="00AE4C83" w:rsidRPr="00ED036F" w:rsidRDefault="00AE4C83" w:rsidP="00C264EE">
      <w:pPr>
        <w:pStyle w:val="Notedebasdepage"/>
        <w:ind w:firstLine="0"/>
        <w:jc w:val="left"/>
        <w:rPr>
          <w:szCs w:val="18"/>
        </w:rPr>
      </w:pPr>
      <w:r>
        <w:rPr>
          <w:rStyle w:val="Appelnotedebasdep"/>
          <w:sz w:val="18"/>
          <w:szCs w:val="18"/>
        </w:rPr>
        <w:footnoteRef/>
      </w:r>
      <w:r>
        <w:t xml:space="preserve"> Например, если Стороны сойдутся на необходимости агрегирования данных по рио-де-жанейрским показателям в единую цифру, Конференция Сторон могла бы принять решение о применении постоянного коэффициента (например, 40%), в сочетании с возможностью отказа от его использования для отдельных Сторон. Если какая-либо Сторона сочтет, что постоянный коэффициент не отражает реальность ее портфеля проектов в области сотрудничества в целях развития, она может отказаться от его применения, указав секретариату предпочтительный коэффициент или предпочтительную методологию агрегирования в целом. Для обеспечения прозрачности эти данные могут затем представляться вместе с агрегированным показателем в будущих докладах о ходе осуществления в рамках механизма мониторинга. </w:t>
      </w:r>
    </w:p>
  </w:footnote>
  <w:footnote w:id="14">
    <w:p w14:paraId="095781CC" w14:textId="77777777" w:rsidR="00EE6889" w:rsidRPr="00E06110" w:rsidRDefault="00EE6889" w:rsidP="00EE6889">
      <w:pPr>
        <w:pStyle w:val="Notedebasdepage"/>
        <w:ind w:firstLine="0"/>
      </w:pPr>
      <w:r w:rsidRPr="00D8494C">
        <w:rPr>
          <w:rStyle w:val="Appelnotedebasdep"/>
          <w:sz w:val="18"/>
          <w:szCs w:val="20"/>
        </w:rPr>
        <w:footnoteRef/>
      </w:r>
      <w:r w:rsidRPr="00D8494C">
        <w:rPr>
          <w:sz w:val="14"/>
          <w:szCs w:val="20"/>
        </w:rPr>
        <w:t xml:space="preserve"> </w:t>
      </w:r>
      <w:r>
        <w:t xml:space="preserve">Графическое отображение см. </w:t>
      </w:r>
      <w:hyperlink r:id="rId3" w:history="1">
        <w:r>
          <w:rPr>
            <w:rStyle w:val="Lienhypertexte"/>
          </w:rPr>
          <w:t>https://chm.cbd.int/search/financial-analyzer</w:t>
        </w:r>
      </w:hyperlink>
      <w:r>
        <w:t>.</w:t>
      </w:r>
    </w:p>
  </w:footnote>
  <w:footnote w:id="15">
    <w:p w14:paraId="771F94A5" w14:textId="76320966" w:rsidR="004001DA" w:rsidRPr="005D3914" w:rsidRDefault="004001DA" w:rsidP="00C264EE">
      <w:pPr>
        <w:pStyle w:val="Notedebasdepage"/>
        <w:ind w:firstLine="0"/>
      </w:pPr>
      <w:r w:rsidRPr="00D8494C">
        <w:rPr>
          <w:rStyle w:val="Appelnotedebasdep"/>
          <w:sz w:val="18"/>
          <w:szCs w:val="20"/>
        </w:rPr>
        <w:footnoteRef/>
      </w:r>
      <w:r w:rsidRPr="00D8494C">
        <w:rPr>
          <w:sz w:val="14"/>
          <w:szCs w:val="20"/>
        </w:rPr>
        <w:t xml:space="preserve"> </w:t>
      </w:r>
      <w:r>
        <w:t>Согласно КДЕС Ред. 2 статистическая классификация видов экономической деятельности в Европейском сообществе и соответствующая отчетность для Евростата.</w:t>
      </w:r>
    </w:p>
  </w:footnote>
  <w:footnote w:id="16">
    <w:p w14:paraId="732B50D6" w14:textId="67F595D1" w:rsidR="00420A96" w:rsidRPr="00E06110" w:rsidRDefault="00420A96" w:rsidP="00C264EE">
      <w:pPr>
        <w:pStyle w:val="Notedebasdepage"/>
        <w:ind w:firstLine="0"/>
      </w:pPr>
      <w:r w:rsidRPr="00D8494C">
        <w:rPr>
          <w:rStyle w:val="Appelnotedebasdep"/>
          <w:sz w:val="18"/>
          <w:szCs w:val="20"/>
        </w:rPr>
        <w:footnoteRef/>
      </w:r>
      <w:r w:rsidRPr="00D8494C">
        <w:rPr>
          <w:sz w:val="14"/>
          <w:szCs w:val="20"/>
        </w:rPr>
        <w:t xml:space="preserve"> </w:t>
      </w:r>
      <w:hyperlink r:id="rId4" w:history="1">
        <w:r>
          <w:rPr>
            <w:rStyle w:val="Lienhypertexte"/>
          </w:rPr>
          <w:t>https://data.imf.org/?sk=5804C5E1-0502-4672-BDCD-671BCDC565A9</w:t>
        </w:r>
      </w:hyperlink>
      <w:r>
        <w:t xml:space="preserve">. </w:t>
      </w:r>
    </w:p>
  </w:footnote>
  <w:footnote w:id="17">
    <w:p w14:paraId="3DB9BD93" w14:textId="35EF19CA" w:rsidR="004D03F4" w:rsidRDefault="004D03F4" w:rsidP="00B27570">
      <w:pPr>
        <w:pStyle w:val="Notedebasdepage"/>
        <w:ind w:firstLine="0"/>
      </w:pPr>
      <w:r w:rsidRPr="00B27570">
        <w:rPr>
          <w:rStyle w:val="Appelnotedebasdep"/>
          <w:sz w:val="18"/>
          <w:szCs w:val="20"/>
        </w:rPr>
        <w:footnoteRef/>
      </w:r>
      <w:r>
        <w:t xml:space="preserve"> </w:t>
      </w:r>
      <w:r w:rsidR="00B27570" w:rsidRPr="00B27570">
        <w:t>Данные за 2020 год не включены в анализ тенденций в связи с исключительными обстоятельствами, связанными с пандемией COVID-19.</w:t>
      </w:r>
    </w:p>
  </w:footnote>
  <w:footnote w:id="18">
    <w:p w14:paraId="6319E253" w14:textId="108279E4" w:rsidR="00450E69" w:rsidRPr="00E06110" w:rsidRDefault="00450E69" w:rsidP="00C264EE">
      <w:pPr>
        <w:pStyle w:val="Notedebasdepage"/>
        <w:ind w:firstLine="0"/>
      </w:pPr>
      <w:r w:rsidRPr="00634A27">
        <w:rPr>
          <w:rStyle w:val="Appelnotedebasdep"/>
          <w:sz w:val="18"/>
          <w:szCs w:val="20"/>
        </w:rPr>
        <w:footnoteRef/>
      </w:r>
      <w:r>
        <w:t xml:space="preserve"> См. UNEP/CBD/SBI/1/7/Add.1, пункты 55-57, UNEP/CBD/SBI/1/7/Add.2, и UNEP/CBD/SBI/1/INF/6.</w:t>
      </w:r>
    </w:p>
  </w:footnote>
  <w:footnote w:id="19">
    <w:p w14:paraId="640FED84" w14:textId="326CC331" w:rsidR="0096258D" w:rsidRPr="00E06110" w:rsidRDefault="0096258D" w:rsidP="00C264EE">
      <w:pPr>
        <w:pStyle w:val="Notedebasdepage"/>
        <w:ind w:firstLine="0"/>
      </w:pPr>
      <w:r w:rsidRPr="00634A27">
        <w:rPr>
          <w:rStyle w:val="Appelnotedebasdep"/>
          <w:sz w:val="18"/>
          <w:szCs w:val="20"/>
        </w:rPr>
        <w:footnoteRef/>
      </w:r>
      <w:r w:rsidRPr="00634A27">
        <w:rPr>
          <w:sz w:val="14"/>
          <w:szCs w:val="20"/>
        </w:rPr>
        <w:t xml:space="preserve"> </w:t>
      </w:r>
      <w:r>
        <w:t>Решение 14/16, пункт 2 преамбулы.</w:t>
      </w:r>
    </w:p>
  </w:footnote>
  <w:footnote w:id="20">
    <w:p w14:paraId="1E5CDEAC" w14:textId="789F7D52" w:rsidR="00AA249D" w:rsidRPr="00531CB2" w:rsidRDefault="00AA249D" w:rsidP="00C264EE">
      <w:pPr>
        <w:pStyle w:val="Notedebasdepage"/>
        <w:ind w:firstLine="0"/>
        <w:jc w:val="left"/>
      </w:pPr>
      <w:r w:rsidRPr="00634A27">
        <w:rPr>
          <w:rStyle w:val="Appelnotedebasdep"/>
          <w:sz w:val="18"/>
          <w:szCs w:val="20"/>
        </w:rPr>
        <w:footnoteRef/>
      </w:r>
      <w:r w:rsidRPr="00634A27">
        <w:rPr>
          <w:sz w:val="14"/>
          <w:szCs w:val="20"/>
        </w:rPr>
        <w:t xml:space="preserve"> </w:t>
      </w:r>
      <w:r>
        <w:t>См. также соответствующее обсуждение в CBD/SBI/3/5/Add.2/Rev.1, в пунктах 58 и 61, о том, что именно учитывается в (пересмотренных) НСПДСБ.</w:t>
      </w:r>
    </w:p>
  </w:footnote>
  <w:footnote w:id="21">
    <w:p w14:paraId="4E93866B" w14:textId="6A395D59" w:rsidR="00AC4CE2" w:rsidRPr="00531CB2" w:rsidRDefault="00AC4CE2" w:rsidP="00C264EE">
      <w:pPr>
        <w:pStyle w:val="Notedebasdepage"/>
        <w:ind w:firstLine="0"/>
      </w:pPr>
      <w:r w:rsidRPr="00634A27">
        <w:rPr>
          <w:rStyle w:val="Appelnotedebasdep"/>
          <w:sz w:val="18"/>
          <w:szCs w:val="20"/>
        </w:rPr>
        <w:footnoteRef/>
      </w:r>
      <w:r>
        <w:t xml:space="preserve"> При этом дефицит финансирования = потребности в финансировании – существующие расходы.</w:t>
      </w:r>
    </w:p>
  </w:footnote>
  <w:footnote w:id="22">
    <w:p w14:paraId="69E68AB7" w14:textId="05FA5D68" w:rsidR="000E3841" w:rsidRPr="00E06110" w:rsidRDefault="000E3841" w:rsidP="00E06110">
      <w:pPr>
        <w:pStyle w:val="Notedebasdepage"/>
        <w:ind w:firstLine="0"/>
      </w:pPr>
      <w:r w:rsidRPr="00634A27">
        <w:rPr>
          <w:rStyle w:val="Appelnotedebasdep"/>
          <w:sz w:val="18"/>
          <w:szCs w:val="20"/>
        </w:rPr>
        <w:footnoteRef/>
      </w:r>
      <w:r w:rsidRPr="00634A27">
        <w:rPr>
          <w:sz w:val="14"/>
          <w:szCs w:val="20"/>
        </w:rPr>
        <w:t xml:space="preserve"> </w:t>
      </w:r>
      <w:r>
        <w:t xml:space="preserve">На сегодняшний день получено 192 пятых национальных </w:t>
      </w:r>
      <w:r w:rsidR="00693897">
        <w:t>доклада</w:t>
      </w:r>
      <w:r>
        <w:t xml:space="preserve"> и 189 шестых национальных докладов.</w:t>
      </w:r>
    </w:p>
  </w:footnote>
  <w:footnote w:id="23">
    <w:p w14:paraId="326CD52C" w14:textId="6F2F2A66" w:rsidR="008C623A" w:rsidRPr="00E06110" w:rsidRDefault="008C623A" w:rsidP="00C264EE">
      <w:pPr>
        <w:pStyle w:val="Notedebasdepage"/>
        <w:ind w:firstLine="0"/>
        <w:jc w:val="left"/>
      </w:pPr>
      <w:r w:rsidRPr="00634A27">
        <w:rPr>
          <w:rStyle w:val="Appelnotedebasdep"/>
          <w:sz w:val="18"/>
          <w:szCs w:val="20"/>
        </w:rPr>
        <w:footnoteRef/>
      </w:r>
      <w:r w:rsidRPr="00634A27">
        <w:rPr>
          <w:sz w:val="14"/>
          <w:szCs w:val="20"/>
        </w:rPr>
        <w:t xml:space="preserve"> </w:t>
      </w:r>
      <w:r>
        <w:t>Принимая во внимание колебания обменных курсов, как указано в документе CBD/COP/14/6, а также тот факт, что ряд Сторон еще не представили данные за 2020 год.</w:t>
      </w:r>
    </w:p>
  </w:footnote>
  <w:footnote w:id="24">
    <w:p w14:paraId="37F7E367" w14:textId="635A8A7B" w:rsidR="00456577" w:rsidRPr="0086580C" w:rsidRDefault="00456577" w:rsidP="00C264EE">
      <w:pPr>
        <w:pStyle w:val="Notedebasdepage"/>
        <w:ind w:firstLine="0"/>
        <w:jc w:val="left"/>
      </w:pPr>
      <w:r w:rsidRPr="00634A27">
        <w:rPr>
          <w:rStyle w:val="Appelnotedebasdep"/>
          <w:sz w:val="18"/>
          <w:szCs w:val="20"/>
        </w:rPr>
        <w:footnoteRef/>
      </w:r>
      <w:r w:rsidRPr="00634A27">
        <w:rPr>
          <w:sz w:val="14"/>
          <w:szCs w:val="20"/>
        </w:rPr>
        <w:t xml:space="preserve"> </w:t>
      </w:r>
      <w:r>
        <w:t xml:space="preserve">Круг полномочий для такого процесса в форме группы экспертов был подготовлен Исполнительным секретарем и представлен третьему совещанию Вспомогательного органа по осуществлению в документе CBD/SBI/3/5/Add.4. </w:t>
      </w:r>
    </w:p>
  </w:footnote>
  <w:footnote w:id="25">
    <w:p w14:paraId="0AD08FFE" w14:textId="46216E8D" w:rsidR="0054057E" w:rsidRPr="005A33FB" w:rsidRDefault="0054057E" w:rsidP="0054057E">
      <w:pPr>
        <w:pStyle w:val="Notedebasdepage"/>
        <w:ind w:firstLine="0"/>
      </w:pPr>
      <w:r w:rsidRPr="00634A27">
        <w:rPr>
          <w:rStyle w:val="Appelnotedebasdep"/>
          <w:sz w:val="18"/>
          <w:szCs w:val="20"/>
        </w:rPr>
        <w:footnoteRef/>
      </w:r>
      <w:r>
        <w:t xml:space="preserve"> См. CBD/SBI/3/5/Add.1.</w:t>
      </w:r>
    </w:p>
  </w:footnote>
  <w:footnote w:id="26">
    <w:p w14:paraId="456BC3CB" w14:textId="1358152D" w:rsidR="00596110" w:rsidRPr="00F22800" w:rsidRDefault="00596110" w:rsidP="00F22800">
      <w:pPr>
        <w:suppressLineNumbers/>
        <w:suppressAutoHyphens/>
        <w:kinsoku w:val="0"/>
        <w:overflowPunct w:val="0"/>
        <w:autoSpaceDE w:val="0"/>
        <w:autoSpaceDN w:val="0"/>
        <w:adjustRightInd w:val="0"/>
        <w:snapToGrid w:val="0"/>
        <w:spacing w:after="60"/>
        <w:rPr>
          <w:bCs/>
          <w:i/>
          <w:iCs/>
          <w:snapToGrid w:val="0"/>
          <w:kern w:val="22"/>
          <w:sz w:val="18"/>
          <w:szCs w:val="18"/>
        </w:rPr>
      </w:pPr>
      <w:r w:rsidRPr="00D45C58">
        <w:rPr>
          <w:rStyle w:val="Appelnotedebasdep"/>
          <w:sz w:val="18"/>
          <w:szCs w:val="18"/>
        </w:rPr>
        <w:footnoteRef/>
      </w:r>
      <w:r>
        <w:rPr>
          <w:sz w:val="18"/>
          <w:szCs w:val="18"/>
        </w:rPr>
        <w:t xml:space="preserve"> </w:t>
      </w:r>
      <w:r w:rsidRPr="00634A27">
        <w:rPr>
          <w:bCs/>
          <w:i/>
          <w:iCs/>
          <w:snapToGrid w:val="0"/>
          <w:sz w:val="18"/>
          <w:szCs w:val="18"/>
        </w:rPr>
        <w:t>Источник</w:t>
      </w:r>
      <w:r w:rsidR="009510BF" w:rsidRPr="00634A27">
        <w:rPr>
          <w:bCs/>
          <w:i/>
          <w:iCs/>
          <w:snapToGrid w:val="0"/>
          <w:sz w:val="18"/>
          <w:szCs w:val="18"/>
        </w:rPr>
        <w:t xml:space="preserve">: </w:t>
      </w:r>
      <w:r w:rsidRPr="00634A27">
        <w:rPr>
          <w:i/>
          <w:iCs/>
          <w:sz w:val="18"/>
          <w:szCs w:val="18"/>
        </w:rPr>
        <w:t>Статистика государственных финансов МВФ; Расходы в разбивке по функциям с использованием Классификаци</w:t>
      </w:r>
      <w:r w:rsidR="00693897">
        <w:rPr>
          <w:i/>
          <w:iCs/>
          <w:sz w:val="18"/>
          <w:szCs w:val="18"/>
        </w:rPr>
        <w:t>и</w:t>
      </w:r>
      <w:r w:rsidRPr="00634A27">
        <w:rPr>
          <w:i/>
          <w:iCs/>
          <w:sz w:val="18"/>
          <w:szCs w:val="18"/>
        </w:rPr>
        <w:t xml:space="preserve"> функций органов управления (КФОУ) по информации на 31 октября 2022 года</w:t>
      </w:r>
      <w:r w:rsidRPr="00634A27">
        <w:rPr>
          <w:sz w:val="18"/>
          <w:szCs w:val="18"/>
        </w:rPr>
        <w:t xml:space="preserve"> </w:t>
      </w:r>
      <w:hyperlink r:id="rId5" w:history="1">
        <w:r>
          <w:rPr>
            <w:rStyle w:val="Lienhypertexte"/>
            <w:bCs/>
            <w:i/>
            <w:iCs/>
            <w:snapToGrid w:val="0"/>
            <w:szCs w:val="18"/>
          </w:rPr>
          <w:t>https://data.imf.org/?sk=5804C5E1-0502-4672-BDCD-671BCDC565A9</w:t>
        </w:r>
      </w:hyperlink>
      <w:r>
        <w:rPr>
          <w:rStyle w:val="Lienhypertexte"/>
          <w:bCs/>
          <w:i/>
          <w:iCs/>
          <w:snapToGrid w:val="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Content>
      <w:p w14:paraId="40A8BB66" w14:textId="09213EA3" w:rsidR="00541B75" w:rsidRDefault="0088085D" w:rsidP="00794EF4">
        <w:pPr>
          <w:pStyle w:val="En-tte"/>
        </w:pPr>
        <w:r>
          <w:t>CBD/COP/15/11</w:t>
        </w:r>
      </w:p>
    </w:sdtContent>
  </w:sdt>
  <w:p w14:paraId="7C878C2A" w14:textId="79FE29E9" w:rsidR="00541B75" w:rsidRDefault="00563B04" w:rsidP="00F22800">
    <w:pPr>
      <w:pStyle w:val="En-tte"/>
      <w:rPr>
        <w:noProof/>
      </w:rPr>
    </w:pPr>
    <w:r>
      <w:t>Страница</w:t>
    </w:r>
    <w:r w:rsidR="00541B75">
      <w:t xml:space="preserve"> </w:t>
    </w:r>
    <w:r w:rsidR="00541B75">
      <w:fldChar w:fldCharType="begin"/>
    </w:r>
    <w:r w:rsidR="00541B75">
      <w:instrText xml:space="preserve"> PAGE   \* MERGEFORMAT </w:instrText>
    </w:r>
    <w:r w:rsidR="00541B75">
      <w:fldChar w:fldCharType="separate"/>
    </w:r>
    <w:r w:rsidR="00541B75">
      <w:t>14</w:t>
    </w:r>
    <w:r w:rsidR="00541B75">
      <w:fldChar w:fldCharType="end"/>
    </w:r>
  </w:p>
  <w:p w14:paraId="28C711C8" w14:textId="77777777" w:rsidR="00794EF4" w:rsidRDefault="00794EF4" w:rsidP="00F2280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514763021"/>
      <w:placeholder>
        <w:docPart w:val="4CC2342768D949928F63CBF6A4B22D30"/>
      </w:placeholder>
      <w:dataBinding w:prefixMappings="xmlns:ns0='http://purl.org/dc/elements/1.1/' xmlns:ns1='http://schemas.openxmlformats.org/package/2006/metadata/core-properties' " w:xpath="/ns1:coreProperties[1]/ns0:subject[1]" w:storeItemID="{6C3C8BC8-F283-45AE-878A-BAB7291924A1}"/>
      <w:text/>
    </w:sdtPr>
    <w:sdtContent>
      <w:p w14:paraId="00E34274" w14:textId="77777777" w:rsidR="00794EF4" w:rsidRDefault="00794EF4" w:rsidP="009D3912">
        <w:pPr>
          <w:pStyle w:val="En-tte"/>
          <w:jc w:val="right"/>
        </w:pPr>
        <w:r>
          <w:t>CBD/COP/15/11</w:t>
        </w:r>
      </w:p>
    </w:sdtContent>
  </w:sdt>
  <w:p w14:paraId="29790B0C" w14:textId="26083CF6" w:rsidR="00794EF4" w:rsidRDefault="00563B04" w:rsidP="009D3912">
    <w:pPr>
      <w:pStyle w:val="En-tte"/>
      <w:jc w:val="right"/>
      <w:rPr>
        <w:noProof/>
      </w:rPr>
    </w:pPr>
    <w:r>
      <w:t xml:space="preserve">Страница </w:t>
    </w:r>
    <w:r w:rsidR="00794EF4">
      <w:fldChar w:fldCharType="begin"/>
    </w:r>
    <w:r w:rsidR="00794EF4">
      <w:instrText xml:space="preserve"> PAGE   \* MERGEFORMAT </w:instrText>
    </w:r>
    <w:r w:rsidR="00794EF4">
      <w:fldChar w:fldCharType="separate"/>
    </w:r>
    <w:r w:rsidR="00794EF4">
      <w:t>2</w:t>
    </w:r>
    <w:r w:rsidR="00794EF4">
      <w:fldChar w:fldCharType="end"/>
    </w:r>
  </w:p>
  <w:p w14:paraId="54E38AE3" w14:textId="77777777" w:rsidR="00541B75" w:rsidRPr="0097545A" w:rsidRDefault="00541B75" w:rsidP="00794EF4">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0BD490A"/>
    <w:multiLevelType w:val="hybridMultilevel"/>
    <w:tmpl w:val="7E3C250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1A4338"/>
    <w:multiLevelType w:val="hybridMultilevel"/>
    <w:tmpl w:val="45E4BE68"/>
    <w:lvl w:ilvl="0" w:tplc="FFFFFFFF">
      <w:start w:val="1"/>
      <w:numFmt w:val="lowerLetter"/>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 w15:restartNumberingAfterBreak="0">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C45020C"/>
    <w:multiLevelType w:val="hybridMultilevel"/>
    <w:tmpl w:val="5A7A6DFC"/>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9E0F1A"/>
    <w:multiLevelType w:val="hybridMultilevel"/>
    <w:tmpl w:val="AC4EB7FA"/>
    <w:lvl w:ilvl="0" w:tplc="A5C4C142">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9F77946"/>
    <w:multiLevelType w:val="hybridMultilevel"/>
    <w:tmpl w:val="909E7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7868842">
    <w:abstractNumId w:val="9"/>
  </w:num>
  <w:num w:numId="2" w16cid:durableId="1417093654">
    <w:abstractNumId w:val="13"/>
  </w:num>
  <w:num w:numId="3" w16cid:durableId="1504278481">
    <w:abstractNumId w:val="18"/>
  </w:num>
  <w:num w:numId="4" w16cid:durableId="378165457">
    <w:abstractNumId w:val="15"/>
  </w:num>
  <w:num w:numId="5" w16cid:durableId="606891263">
    <w:abstractNumId w:val="26"/>
  </w:num>
  <w:num w:numId="6" w16cid:durableId="1533883970">
    <w:abstractNumId w:val="8"/>
  </w:num>
  <w:num w:numId="7" w16cid:durableId="1600797194">
    <w:abstractNumId w:val="17"/>
  </w:num>
  <w:num w:numId="8" w16cid:durableId="106396117">
    <w:abstractNumId w:val="1"/>
  </w:num>
  <w:num w:numId="9" w16cid:durableId="1494955685">
    <w:abstractNumId w:val="24"/>
  </w:num>
  <w:num w:numId="10" w16cid:durableId="103614790">
    <w:abstractNumId w:val="19"/>
  </w:num>
  <w:num w:numId="11" w16cid:durableId="241138033">
    <w:abstractNumId w:val="10"/>
  </w:num>
  <w:num w:numId="12" w16cid:durableId="1244491450">
    <w:abstractNumId w:val="11"/>
  </w:num>
  <w:num w:numId="13" w16cid:durableId="1386679538">
    <w:abstractNumId w:val="21"/>
  </w:num>
  <w:num w:numId="14" w16cid:durableId="62066654">
    <w:abstractNumId w:val="6"/>
  </w:num>
  <w:num w:numId="15" w16cid:durableId="593132705">
    <w:abstractNumId w:val="22"/>
  </w:num>
  <w:num w:numId="16" w16cid:durableId="1430157998">
    <w:abstractNumId w:val="20"/>
  </w:num>
  <w:num w:numId="17" w16cid:durableId="1688166812">
    <w:abstractNumId w:val="12"/>
  </w:num>
  <w:num w:numId="18" w16cid:durableId="1097483270">
    <w:abstractNumId w:val="5"/>
  </w:num>
  <w:num w:numId="19" w16cid:durableId="660935310">
    <w:abstractNumId w:val="7"/>
  </w:num>
  <w:num w:numId="20" w16cid:durableId="506486548">
    <w:abstractNumId w:val="28"/>
  </w:num>
  <w:num w:numId="21" w16cid:durableId="1147355068">
    <w:abstractNumId w:val="27"/>
  </w:num>
  <w:num w:numId="22" w16cid:durableId="593365495">
    <w:abstractNumId w:val="3"/>
  </w:num>
  <w:num w:numId="23" w16cid:durableId="957418056">
    <w:abstractNumId w:val="0"/>
  </w:num>
  <w:num w:numId="24" w16cid:durableId="1460564564">
    <w:abstractNumId w:val="16"/>
  </w:num>
  <w:num w:numId="25" w16cid:durableId="780611123">
    <w:abstractNumId w:val="23"/>
  </w:num>
  <w:num w:numId="26" w16cid:durableId="737677016">
    <w:abstractNumId w:val="2"/>
  </w:num>
  <w:num w:numId="27" w16cid:durableId="1311442040">
    <w:abstractNumId w:val="25"/>
  </w:num>
  <w:num w:numId="28" w16cid:durableId="42484033">
    <w:abstractNumId w:val="14"/>
  </w:num>
  <w:num w:numId="29" w16cid:durableId="1759672214">
    <w:abstractNumId w:val="18"/>
  </w:num>
  <w:num w:numId="30" w16cid:durableId="1386638203">
    <w:abstractNumId w:val="18"/>
  </w:num>
  <w:num w:numId="31" w16cid:durableId="11694652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405"/>
    <w:rsid w:val="00000601"/>
    <w:rsid w:val="00000DA0"/>
    <w:rsid w:val="0000120B"/>
    <w:rsid w:val="00001585"/>
    <w:rsid w:val="00003411"/>
    <w:rsid w:val="0000387B"/>
    <w:rsid w:val="00004713"/>
    <w:rsid w:val="00004A25"/>
    <w:rsid w:val="00005051"/>
    <w:rsid w:val="00006DD8"/>
    <w:rsid w:val="00006F45"/>
    <w:rsid w:val="00010F84"/>
    <w:rsid w:val="0001184C"/>
    <w:rsid w:val="000123F0"/>
    <w:rsid w:val="000125FD"/>
    <w:rsid w:val="000126D4"/>
    <w:rsid w:val="0001272E"/>
    <w:rsid w:val="000129CD"/>
    <w:rsid w:val="0001444F"/>
    <w:rsid w:val="00014986"/>
    <w:rsid w:val="000151E4"/>
    <w:rsid w:val="00015B1D"/>
    <w:rsid w:val="0001672C"/>
    <w:rsid w:val="00016992"/>
    <w:rsid w:val="0001788B"/>
    <w:rsid w:val="00017B04"/>
    <w:rsid w:val="00017F9D"/>
    <w:rsid w:val="00021049"/>
    <w:rsid w:val="00021A91"/>
    <w:rsid w:val="00024086"/>
    <w:rsid w:val="0002456B"/>
    <w:rsid w:val="0002562C"/>
    <w:rsid w:val="00025E31"/>
    <w:rsid w:val="00025FA9"/>
    <w:rsid w:val="00026150"/>
    <w:rsid w:val="0002739A"/>
    <w:rsid w:val="00027CF4"/>
    <w:rsid w:val="0003023D"/>
    <w:rsid w:val="0003077F"/>
    <w:rsid w:val="0003116C"/>
    <w:rsid w:val="0003164B"/>
    <w:rsid w:val="00031AA3"/>
    <w:rsid w:val="0003279A"/>
    <w:rsid w:val="00034490"/>
    <w:rsid w:val="000362E7"/>
    <w:rsid w:val="00037216"/>
    <w:rsid w:val="00040067"/>
    <w:rsid w:val="00041066"/>
    <w:rsid w:val="000412F5"/>
    <w:rsid w:val="00041831"/>
    <w:rsid w:val="00042607"/>
    <w:rsid w:val="00043BB9"/>
    <w:rsid w:val="0004496E"/>
    <w:rsid w:val="000477D0"/>
    <w:rsid w:val="00047F7F"/>
    <w:rsid w:val="0005032F"/>
    <w:rsid w:val="0005057A"/>
    <w:rsid w:val="000527F2"/>
    <w:rsid w:val="000531B1"/>
    <w:rsid w:val="0005360B"/>
    <w:rsid w:val="00053743"/>
    <w:rsid w:val="00053768"/>
    <w:rsid w:val="0005446A"/>
    <w:rsid w:val="0005617D"/>
    <w:rsid w:val="000605DE"/>
    <w:rsid w:val="0006093A"/>
    <w:rsid w:val="000613C7"/>
    <w:rsid w:val="000614D4"/>
    <w:rsid w:val="00061CD2"/>
    <w:rsid w:val="0006220C"/>
    <w:rsid w:val="000627A9"/>
    <w:rsid w:val="00062AF8"/>
    <w:rsid w:val="00063AF1"/>
    <w:rsid w:val="00064635"/>
    <w:rsid w:val="00064ACC"/>
    <w:rsid w:val="000652DC"/>
    <w:rsid w:val="00065C5B"/>
    <w:rsid w:val="00066A54"/>
    <w:rsid w:val="00067F19"/>
    <w:rsid w:val="00070203"/>
    <w:rsid w:val="00071B85"/>
    <w:rsid w:val="00071ECB"/>
    <w:rsid w:val="00072011"/>
    <w:rsid w:val="00073086"/>
    <w:rsid w:val="000768EE"/>
    <w:rsid w:val="00077034"/>
    <w:rsid w:val="00077D46"/>
    <w:rsid w:val="000801AA"/>
    <w:rsid w:val="000823D4"/>
    <w:rsid w:val="00084A0A"/>
    <w:rsid w:val="000855A9"/>
    <w:rsid w:val="00086211"/>
    <w:rsid w:val="000866BF"/>
    <w:rsid w:val="00086EB2"/>
    <w:rsid w:val="00090901"/>
    <w:rsid w:val="00091EAA"/>
    <w:rsid w:val="000937F8"/>
    <w:rsid w:val="000946F0"/>
    <w:rsid w:val="00095ED9"/>
    <w:rsid w:val="000961C9"/>
    <w:rsid w:val="00096C68"/>
    <w:rsid w:val="000A245D"/>
    <w:rsid w:val="000A3018"/>
    <w:rsid w:val="000A3426"/>
    <w:rsid w:val="000A4852"/>
    <w:rsid w:val="000A4B0D"/>
    <w:rsid w:val="000A4B1B"/>
    <w:rsid w:val="000A7E6F"/>
    <w:rsid w:val="000B19B8"/>
    <w:rsid w:val="000B2CC8"/>
    <w:rsid w:val="000B37D5"/>
    <w:rsid w:val="000B4844"/>
    <w:rsid w:val="000B53EF"/>
    <w:rsid w:val="000B59AE"/>
    <w:rsid w:val="000B70B3"/>
    <w:rsid w:val="000C1FBE"/>
    <w:rsid w:val="000C2103"/>
    <w:rsid w:val="000C3863"/>
    <w:rsid w:val="000C38FB"/>
    <w:rsid w:val="000C3A66"/>
    <w:rsid w:val="000C3FD8"/>
    <w:rsid w:val="000C4600"/>
    <w:rsid w:val="000C4D67"/>
    <w:rsid w:val="000C5E77"/>
    <w:rsid w:val="000C7574"/>
    <w:rsid w:val="000C76E7"/>
    <w:rsid w:val="000C7B66"/>
    <w:rsid w:val="000C7C88"/>
    <w:rsid w:val="000D039D"/>
    <w:rsid w:val="000D1B29"/>
    <w:rsid w:val="000D243D"/>
    <w:rsid w:val="000D2785"/>
    <w:rsid w:val="000D2895"/>
    <w:rsid w:val="000D2A11"/>
    <w:rsid w:val="000D30CD"/>
    <w:rsid w:val="000D582A"/>
    <w:rsid w:val="000D61C3"/>
    <w:rsid w:val="000D6439"/>
    <w:rsid w:val="000D7BEF"/>
    <w:rsid w:val="000E1EBB"/>
    <w:rsid w:val="000E240C"/>
    <w:rsid w:val="000E3730"/>
    <w:rsid w:val="000E3841"/>
    <w:rsid w:val="000E39D7"/>
    <w:rsid w:val="000E4FE9"/>
    <w:rsid w:val="000E5152"/>
    <w:rsid w:val="000E62CE"/>
    <w:rsid w:val="000E673A"/>
    <w:rsid w:val="000E6C2F"/>
    <w:rsid w:val="000E762D"/>
    <w:rsid w:val="000F1714"/>
    <w:rsid w:val="000F1E64"/>
    <w:rsid w:val="000F246D"/>
    <w:rsid w:val="000F3D45"/>
    <w:rsid w:val="000F4D4C"/>
    <w:rsid w:val="000F6586"/>
    <w:rsid w:val="000F696F"/>
    <w:rsid w:val="000F74F5"/>
    <w:rsid w:val="000F790D"/>
    <w:rsid w:val="00100343"/>
    <w:rsid w:val="0010075E"/>
    <w:rsid w:val="00101AA6"/>
    <w:rsid w:val="0010226A"/>
    <w:rsid w:val="00102622"/>
    <w:rsid w:val="00103031"/>
    <w:rsid w:val="00103C10"/>
    <w:rsid w:val="001052A4"/>
    <w:rsid w:val="00105372"/>
    <w:rsid w:val="00106499"/>
    <w:rsid w:val="001075F8"/>
    <w:rsid w:val="0011051A"/>
    <w:rsid w:val="001126E8"/>
    <w:rsid w:val="0011287B"/>
    <w:rsid w:val="00112AF9"/>
    <w:rsid w:val="00113127"/>
    <w:rsid w:val="001144CA"/>
    <w:rsid w:val="0011526C"/>
    <w:rsid w:val="00115CB5"/>
    <w:rsid w:val="00116477"/>
    <w:rsid w:val="0011685F"/>
    <w:rsid w:val="00116F51"/>
    <w:rsid w:val="001206E2"/>
    <w:rsid w:val="0012070F"/>
    <w:rsid w:val="0012110F"/>
    <w:rsid w:val="00124237"/>
    <w:rsid w:val="001246E7"/>
    <w:rsid w:val="00126094"/>
    <w:rsid w:val="001262BC"/>
    <w:rsid w:val="00126DAD"/>
    <w:rsid w:val="00127213"/>
    <w:rsid w:val="00130A21"/>
    <w:rsid w:val="001310F7"/>
    <w:rsid w:val="00131E7A"/>
    <w:rsid w:val="001323C1"/>
    <w:rsid w:val="001327A9"/>
    <w:rsid w:val="001338AF"/>
    <w:rsid w:val="001339AB"/>
    <w:rsid w:val="0013552A"/>
    <w:rsid w:val="00135A63"/>
    <w:rsid w:val="00135B8A"/>
    <w:rsid w:val="00136F73"/>
    <w:rsid w:val="00137EBE"/>
    <w:rsid w:val="0014055B"/>
    <w:rsid w:val="00140710"/>
    <w:rsid w:val="00140E3C"/>
    <w:rsid w:val="00141390"/>
    <w:rsid w:val="001415F3"/>
    <w:rsid w:val="001418F6"/>
    <w:rsid w:val="001422EB"/>
    <w:rsid w:val="001424DD"/>
    <w:rsid w:val="001437E8"/>
    <w:rsid w:val="0014384C"/>
    <w:rsid w:val="0014446D"/>
    <w:rsid w:val="001447FA"/>
    <w:rsid w:val="00145F1C"/>
    <w:rsid w:val="00146F8D"/>
    <w:rsid w:val="0014747D"/>
    <w:rsid w:val="00147974"/>
    <w:rsid w:val="00147C82"/>
    <w:rsid w:val="001509C2"/>
    <w:rsid w:val="00150EA7"/>
    <w:rsid w:val="001513BD"/>
    <w:rsid w:val="001528D5"/>
    <w:rsid w:val="00152D00"/>
    <w:rsid w:val="0015355E"/>
    <w:rsid w:val="00153A2A"/>
    <w:rsid w:val="00154A43"/>
    <w:rsid w:val="001550A5"/>
    <w:rsid w:val="0015592C"/>
    <w:rsid w:val="001559EE"/>
    <w:rsid w:val="00157178"/>
    <w:rsid w:val="0016142F"/>
    <w:rsid w:val="00162CE2"/>
    <w:rsid w:val="00163190"/>
    <w:rsid w:val="00163A7B"/>
    <w:rsid w:val="0016457A"/>
    <w:rsid w:val="00165458"/>
    <w:rsid w:val="00165FAE"/>
    <w:rsid w:val="00166184"/>
    <w:rsid w:val="001662BD"/>
    <w:rsid w:val="00167961"/>
    <w:rsid w:val="00167E13"/>
    <w:rsid w:val="00172399"/>
    <w:rsid w:val="00172AF6"/>
    <w:rsid w:val="00172E99"/>
    <w:rsid w:val="00172FCA"/>
    <w:rsid w:val="0017521F"/>
    <w:rsid w:val="001753C4"/>
    <w:rsid w:val="00176CEE"/>
    <w:rsid w:val="00177EAC"/>
    <w:rsid w:val="00180C4D"/>
    <w:rsid w:val="001823FA"/>
    <w:rsid w:val="00183204"/>
    <w:rsid w:val="00185839"/>
    <w:rsid w:val="00185E56"/>
    <w:rsid w:val="00186574"/>
    <w:rsid w:val="00186DBE"/>
    <w:rsid w:val="00186DD8"/>
    <w:rsid w:val="00186E0D"/>
    <w:rsid w:val="00187174"/>
    <w:rsid w:val="00187899"/>
    <w:rsid w:val="00187B6C"/>
    <w:rsid w:val="00187C8C"/>
    <w:rsid w:val="00190FD1"/>
    <w:rsid w:val="00192587"/>
    <w:rsid w:val="00192D2D"/>
    <w:rsid w:val="00193823"/>
    <w:rsid w:val="00193999"/>
    <w:rsid w:val="00194041"/>
    <w:rsid w:val="0019510E"/>
    <w:rsid w:val="00195505"/>
    <w:rsid w:val="0019555B"/>
    <w:rsid w:val="00195630"/>
    <w:rsid w:val="00195A0C"/>
    <w:rsid w:val="001A0606"/>
    <w:rsid w:val="001A0787"/>
    <w:rsid w:val="001A0B39"/>
    <w:rsid w:val="001A1954"/>
    <w:rsid w:val="001A2300"/>
    <w:rsid w:val="001A256D"/>
    <w:rsid w:val="001A28EE"/>
    <w:rsid w:val="001A2B25"/>
    <w:rsid w:val="001A3C49"/>
    <w:rsid w:val="001A40F5"/>
    <w:rsid w:val="001A43BE"/>
    <w:rsid w:val="001A5323"/>
    <w:rsid w:val="001A63E9"/>
    <w:rsid w:val="001A70E3"/>
    <w:rsid w:val="001B0B43"/>
    <w:rsid w:val="001B1D16"/>
    <w:rsid w:val="001B2370"/>
    <w:rsid w:val="001B27F3"/>
    <w:rsid w:val="001B2B02"/>
    <w:rsid w:val="001B3275"/>
    <w:rsid w:val="001B4025"/>
    <w:rsid w:val="001B41E7"/>
    <w:rsid w:val="001B4915"/>
    <w:rsid w:val="001B4F57"/>
    <w:rsid w:val="001B55A2"/>
    <w:rsid w:val="001B6223"/>
    <w:rsid w:val="001B6E1F"/>
    <w:rsid w:val="001B7CD7"/>
    <w:rsid w:val="001C01BF"/>
    <w:rsid w:val="001C1AF2"/>
    <w:rsid w:val="001C1D61"/>
    <w:rsid w:val="001C2F9C"/>
    <w:rsid w:val="001C2FE9"/>
    <w:rsid w:val="001C3702"/>
    <w:rsid w:val="001C3E43"/>
    <w:rsid w:val="001C4432"/>
    <w:rsid w:val="001C5053"/>
    <w:rsid w:val="001C5673"/>
    <w:rsid w:val="001C5997"/>
    <w:rsid w:val="001C5A67"/>
    <w:rsid w:val="001C687B"/>
    <w:rsid w:val="001C6E66"/>
    <w:rsid w:val="001C7EAA"/>
    <w:rsid w:val="001D0112"/>
    <w:rsid w:val="001D0157"/>
    <w:rsid w:val="001D05B2"/>
    <w:rsid w:val="001D12C1"/>
    <w:rsid w:val="001D2D69"/>
    <w:rsid w:val="001D3B15"/>
    <w:rsid w:val="001D449D"/>
    <w:rsid w:val="001D466B"/>
    <w:rsid w:val="001D471C"/>
    <w:rsid w:val="001D4E96"/>
    <w:rsid w:val="001D5AC9"/>
    <w:rsid w:val="001D5C8D"/>
    <w:rsid w:val="001D690A"/>
    <w:rsid w:val="001E0A4A"/>
    <w:rsid w:val="001E0BDA"/>
    <w:rsid w:val="001E0FD0"/>
    <w:rsid w:val="001E1C69"/>
    <w:rsid w:val="001E2439"/>
    <w:rsid w:val="001E2746"/>
    <w:rsid w:val="001E2A15"/>
    <w:rsid w:val="001E3076"/>
    <w:rsid w:val="001E319A"/>
    <w:rsid w:val="001E38E8"/>
    <w:rsid w:val="001E3AFB"/>
    <w:rsid w:val="001E3EEF"/>
    <w:rsid w:val="001E41E5"/>
    <w:rsid w:val="001E44D7"/>
    <w:rsid w:val="001E4C79"/>
    <w:rsid w:val="001E4E67"/>
    <w:rsid w:val="001E4EA7"/>
    <w:rsid w:val="001E59E3"/>
    <w:rsid w:val="001E6A53"/>
    <w:rsid w:val="001E6B3D"/>
    <w:rsid w:val="001F203C"/>
    <w:rsid w:val="001F22E9"/>
    <w:rsid w:val="001F437D"/>
    <w:rsid w:val="001F4A9E"/>
    <w:rsid w:val="001F4E39"/>
    <w:rsid w:val="001F6F61"/>
    <w:rsid w:val="001F6FF5"/>
    <w:rsid w:val="001F71ED"/>
    <w:rsid w:val="001F748A"/>
    <w:rsid w:val="001F7FCD"/>
    <w:rsid w:val="002002D6"/>
    <w:rsid w:val="00200A3B"/>
    <w:rsid w:val="002013B1"/>
    <w:rsid w:val="00202616"/>
    <w:rsid w:val="00202E2B"/>
    <w:rsid w:val="00203E63"/>
    <w:rsid w:val="00204AC6"/>
    <w:rsid w:val="00204D62"/>
    <w:rsid w:val="0020545A"/>
    <w:rsid w:val="002056F9"/>
    <w:rsid w:val="00206E54"/>
    <w:rsid w:val="00206FC7"/>
    <w:rsid w:val="00210361"/>
    <w:rsid w:val="002108AE"/>
    <w:rsid w:val="00211BCD"/>
    <w:rsid w:val="002120C6"/>
    <w:rsid w:val="00212214"/>
    <w:rsid w:val="0021335D"/>
    <w:rsid w:val="002134CE"/>
    <w:rsid w:val="002141E3"/>
    <w:rsid w:val="00216AB0"/>
    <w:rsid w:val="00216F84"/>
    <w:rsid w:val="0021711D"/>
    <w:rsid w:val="0021789E"/>
    <w:rsid w:val="002201A4"/>
    <w:rsid w:val="0022089C"/>
    <w:rsid w:val="002215B6"/>
    <w:rsid w:val="002217FB"/>
    <w:rsid w:val="002234D9"/>
    <w:rsid w:val="00223737"/>
    <w:rsid w:val="00224BBA"/>
    <w:rsid w:val="00224C88"/>
    <w:rsid w:val="002254D0"/>
    <w:rsid w:val="00225671"/>
    <w:rsid w:val="00225EFC"/>
    <w:rsid w:val="00226A8A"/>
    <w:rsid w:val="0022796E"/>
    <w:rsid w:val="00227B47"/>
    <w:rsid w:val="00230CF7"/>
    <w:rsid w:val="0023197B"/>
    <w:rsid w:val="00231D01"/>
    <w:rsid w:val="002334D4"/>
    <w:rsid w:val="002337E0"/>
    <w:rsid w:val="002341ED"/>
    <w:rsid w:val="00234653"/>
    <w:rsid w:val="00235937"/>
    <w:rsid w:val="0023690E"/>
    <w:rsid w:val="00236D3B"/>
    <w:rsid w:val="0024005A"/>
    <w:rsid w:val="002410FB"/>
    <w:rsid w:val="00243415"/>
    <w:rsid w:val="002435B7"/>
    <w:rsid w:val="00245F27"/>
    <w:rsid w:val="00246158"/>
    <w:rsid w:val="00246469"/>
    <w:rsid w:val="00246882"/>
    <w:rsid w:val="00246C90"/>
    <w:rsid w:val="00246CA2"/>
    <w:rsid w:val="00250BA1"/>
    <w:rsid w:val="00250DC6"/>
    <w:rsid w:val="00250E83"/>
    <w:rsid w:val="00251A2C"/>
    <w:rsid w:val="00251B32"/>
    <w:rsid w:val="0025201D"/>
    <w:rsid w:val="00252908"/>
    <w:rsid w:val="00252BFA"/>
    <w:rsid w:val="00252D8F"/>
    <w:rsid w:val="00253192"/>
    <w:rsid w:val="00253B3A"/>
    <w:rsid w:val="0025560D"/>
    <w:rsid w:val="00255B73"/>
    <w:rsid w:val="00255DAC"/>
    <w:rsid w:val="00255ED3"/>
    <w:rsid w:val="00256AF4"/>
    <w:rsid w:val="0025738C"/>
    <w:rsid w:val="002604ED"/>
    <w:rsid w:val="00260929"/>
    <w:rsid w:val="0026119B"/>
    <w:rsid w:val="00261255"/>
    <w:rsid w:val="00264438"/>
    <w:rsid w:val="00264B51"/>
    <w:rsid w:val="00265E50"/>
    <w:rsid w:val="00265F67"/>
    <w:rsid w:val="00265FAA"/>
    <w:rsid w:val="00266523"/>
    <w:rsid w:val="00267803"/>
    <w:rsid w:val="00267A55"/>
    <w:rsid w:val="00270E58"/>
    <w:rsid w:val="00271C12"/>
    <w:rsid w:val="002728B7"/>
    <w:rsid w:val="00273163"/>
    <w:rsid w:val="002740D7"/>
    <w:rsid w:val="00274945"/>
    <w:rsid w:val="00274A57"/>
    <w:rsid w:val="0027772E"/>
    <w:rsid w:val="00277A1F"/>
    <w:rsid w:val="00277D3F"/>
    <w:rsid w:val="00277FDD"/>
    <w:rsid w:val="00280AF2"/>
    <w:rsid w:val="00280BF7"/>
    <w:rsid w:val="00280FA3"/>
    <w:rsid w:val="002817AB"/>
    <w:rsid w:val="00283324"/>
    <w:rsid w:val="00286244"/>
    <w:rsid w:val="0029080E"/>
    <w:rsid w:val="00290868"/>
    <w:rsid w:val="00290D02"/>
    <w:rsid w:val="00291CC6"/>
    <w:rsid w:val="002926BD"/>
    <w:rsid w:val="00292BCE"/>
    <w:rsid w:val="00293506"/>
    <w:rsid w:val="0029438A"/>
    <w:rsid w:val="00294B91"/>
    <w:rsid w:val="00295949"/>
    <w:rsid w:val="00295986"/>
    <w:rsid w:val="00295EC7"/>
    <w:rsid w:val="002962EF"/>
    <w:rsid w:val="00297D50"/>
    <w:rsid w:val="002A0D00"/>
    <w:rsid w:val="002A10CE"/>
    <w:rsid w:val="002A4306"/>
    <w:rsid w:val="002A472F"/>
    <w:rsid w:val="002A54AC"/>
    <w:rsid w:val="002A643E"/>
    <w:rsid w:val="002A7046"/>
    <w:rsid w:val="002A75CE"/>
    <w:rsid w:val="002A775D"/>
    <w:rsid w:val="002B0949"/>
    <w:rsid w:val="002B0DD5"/>
    <w:rsid w:val="002B18BF"/>
    <w:rsid w:val="002B1B60"/>
    <w:rsid w:val="002B1CF1"/>
    <w:rsid w:val="002B2CEE"/>
    <w:rsid w:val="002B3F5A"/>
    <w:rsid w:val="002B4235"/>
    <w:rsid w:val="002B438B"/>
    <w:rsid w:val="002B5156"/>
    <w:rsid w:val="002B6299"/>
    <w:rsid w:val="002B73FE"/>
    <w:rsid w:val="002B7ED7"/>
    <w:rsid w:val="002C07FF"/>
    <w:rsid w:val="002C0843"/>
    <w:rsid w:val="002C15B2"/>
    <w:rsid w:val="002C1976"/>
    <w:rsid w:val="002C279B"/>
    <w:rsid w:val="002C27E7"/>
    <w:rsid w:val="002C3551"/>
    <w:rsid w:val="002C3AD0"/>
    <w:rsid w:val="002C4715"/>
    <w:rsid w:val="002C48CC"/>
    <w:rsid w:val="002C4F73"/>
    <w:rsid w:val="002C50B2"/>
    <w:rsid w:val="002C55B7"/>
    <w:rsid w:val="002C7AA9"/>
    <w:rsid w:val="002D0D80"/>
    <w:rsid w:val="002D118F"/>
    <w:rsid w:val="002D42F2"/>
    <w:rsid w:val="002D4FF5"/>
    <w:rsid w:val="002D556E"/>
    <w:rsid w:val="002D6187"/>
    <w:rsid w:val="002D6670"/>
    <w:rsid w:val="002D6759"/>
    <w:rsid w:val="002D7B0E"/>
    <w:rsid w:val="002E07ED"/>
    <w:rsid w:val="002E1395"/>
    <w:rsid w:val="002E1BB7"/>
    <w:rsid w:val="002E2341"/>
    <w:rsid w:val="002E2850"/>
    <w:rsid w:val="002E29D2"/>
    <w:rsid w:val="002E2B34"/>
    <w:rsid w:val="002E313E"/>
    <w:rsid w:val="002E32D8"/>
    <w:rsid w:val="002E4550"/>
    <w:rsid w:val="002E4748"/>
    <w:rsid w:val="002E759D"/>
    <w:rsid w:val="002F0D43"/>
    <w:rsid w:val="002F2F43"/>
    <w:rsid w:val="002F40D9"/>
    <w:rsid w:val="002F5064"/>
    <w:rsid w:val="002F55BD"/>
    <w:rsid w:val="002F717F"/>
    <w:rsid w:val="002F759E"/>
    <w:rsid w:val="002F7FCD"/>
    <w:rsid w:val="00300280"/>
    <w:rsid w:val="003006EC"/>
    <w:rsid w:val="00301110"/>
    <w:rsid w:val="003011F7"/>
    <w:rsid w:val="003013A3"/>
    <w:rsid w:val="003032CD"/>
    <w:rsid w:val="00303E45"/>
    <w:rsid w:val="0030446D"/>
    <w:rsid w:val="00304A23"/>
    <w:rsid w:val="003058A2"/>
    <w:rsid w:val="00307782"/>
    <w:rsid w:val="00307A83"/>
    <w:rsid w:val="00307B9B"/>
    <w:rsid w:val="00307CC3"/>
    <w:rsid w:val="00307D1C"/>
    <w:rsid w:val="00311861"/>
    <w:rsid w:val="00311C50"/>
    <w:rsid w:val="0031264A"/>
    <w:rsid w:val="003126EF"/>
    <w:rsid w:val="00312AE6"/>
    <w:rsid w:val="003134BB"/>
    <w:rsid w:val="0031413A"/>
    <w:rsid w:val="00314F1A"/>
    <w:rsid w:val="0031546A"/>
    <w:rsid w:val="003162D0"/>
    <w:rsid w:val="0031780F"/>
    <w:rsid w:val="00317AAD"/>
    <w:rsid w:val="00320A22"/>
    <w:rsid w:val="00320CE2"/>
    <w:rsid w:val="00321173"/>
    <w:rsid w:val="00321AA5"/>
    <w:rsid w:val="00321E9C"/>
    <w:rsid w:val="00321EAB"/>
    <w:rsid w:val="003221AC"/>
    <w:rsid w:val="00322C3C"/>
    <w:rsid w:val="00322C3E"/>
    <w:rsid w:val="00323776"/>
    <w:rsid w:val="00324C4D"/>
    <w:rsid w:val="00324CE6"/>
    <w:rsid w:val="003256A2"/>
    <w:rsid w:val="003264DE"/>
    <w:rsid w:val="00331A02"/>
    <w:rsid w:val="00331D52"/>
    <w:rsid w:val="00332099"/>
    <w:rsid w:val="003326FA"/>
    <w:rsid w:val="00333136"/>
    <w:rsid w:val="00334AA5"/>
    <w:rsid w:val="00334AD6"/>
    <w:rsid w:val="003353FA"/>
    <w:rsid w:val="00336BDD"/>
    <w:rsid w:val="003402E2"/>
    <w:rsid w:val="00342348"/>
    <w:rsid w:val="003424C1"/>
    <w:rsid w:val="00342911"/>
    <w:rsid w:val="00343AA0"/>
    <w:rsid w:val="00343BB6"/>
    <w:rsid w:val="00344702"/>
    <w:rsid w:val="00344B1C"/>
    <w:rsid w:val="00345FFA"/>
    <w:rsid w:val="00346EC1"/>
    <w:rsid w:val="00347B22"/>
    <w:rsid w:val="00350B39"/>
    <w:rsid w:val="00350FA0"/>
    <w:rsid w:val="003514E4"/>
    <w:rsid w:val="003520C6"/>
    <w:rsid w:val="00352B0D"/>
    <w:rsid w:val="0035308A"/>
    <w:rsid w:val="00353B05"/>
    <w:rsid w:val="00355902"/>
    <w:rsid w:val="00356D67"/>
    <w:rsid w:val="00357280"/>
    <w:rsid w:val="00357F0A"/>
    <w:rsid w:val="00362238"/>
    <w:rsid w:val="00364138"/>
    <w:rsid w:val="0036424A"/>
    <w:rsid w:val="003645C3"/>
    <w:rsid w:val="003646FD"/>
    <w:rsid w:val="00364731"/>
    <w:rsid w:val="00370037"/>
    <w:rsid w:val="00371399"/>
    <w:rsid w:val="00371D08"/>
    <w:rsid w:val="00372F74"/>
    <w:rsid w:val="00374970"/>
    <w:rsid w:val="0037498D"/>
    <w:rsid w:val="00375846"/>
    <w:rsid w:val="00376D7B"/>
    <w:rsid w:val="00380B58"/>
    <w:rsid w:val="00381175"/>
    <w:rsid w:val="00381888"/>
    <w:rsid w:val="00381C91"/>
    <w:rsid w:val="00381DBB"/>
    <w:rsid w:val="003833CE"/>
    <w:rsid w:val="00384F6F"/>
    <w:rsid w:val="00385D14"/>
    <w:rsid w:val="00386024"/>
    <w:rsid w:val="0038666F"/>
    <w:rsid w:val="00386C03"/>
    <w:rsid w:val="00386EB6"/>
    <w:rsid w:val="00387DA6"/>
    <w:rsid w:val="0039408A"/>
    <w:rsid w:val="00394BF3"/>
    <w:rsid w:val="0039710C"/>
    <w:rsid w:val="003978C2"/>
    <w:rsid w:val="003A1BE0"/>
    <w:rsid w:val="003A3814"/>
    <w:rsid w:val="003A3A7B"/>
    <w:rsid w:val="003A47D3"/>
    <w:rsid w:val="003A5184"/>
    <w:rsid w:val="003A51F1"/>
    <w:rsid w:val="003A529A"/>
    <w:rsid w:val="003A6B1E"/>
    <w:rsid w:val="003A730D"/>
    <w:rsid w:val="003A741E"/>
    <w:rsid w:val="003A75F7"/>
    <w:rsid w:val="003A7B20"/>
    <w:rsid w:val="003B0028"/>
    <w:rsid w:val="003B0DD6"/>
    <w:rsid w:val="003B0E4D"/>
    <w:rsid w:val="003B2B90"/>
    <w:rsid w:val="003B4ECE"/>
    <w:rsid w:val="003B50B8"/>
    <w:rsid w:val="003B5F57"/>
    <w:rsid w:val="003B694D"/>
    <w:rsid w:val="003C04CF"/>
    <w:rsid w:val="003C092C"/>
    <w:rsid w:val="003C42C8"/>
    <w:rsid w:val="003C45FC"/>
    <w:rsid w:val="003C561A"/>
    <w:rsid w:val="003C60A4"/>
    <w:rsid w:val="003C61A2"/>
    <w:rsid w:val="003C637D"/>
    <w:rsid w:val="003C64E9"/>
    <w:rsid w:val="003C69DB"/>
    <w:rsid w:val="003D0CFD"/>
    <w:rsid w:val="003D272A"/>
    <w:rsid w:val="003D2F82"/>
    <w:rsid w:val="003D3B9F"/>
    <w:rsid w:val="003D5DF3"/>
    <w:rsid w:val="003D75E3"/>
    <w:rsid w:val="003E0D77"/>
    <w:rsid w:val="003E10E8"/>
    <w:rsid w:val="003E117F"/>
    <w:rsid w:val="003E18E1"/>
    <w:rsid w:val="003E29B7"/>
    <w:rsid w:val="003E2F73"/>
    <w:rsid w:val="003E36B8"/>
    <w:rsid w:val="003E4442"/>
    <w:rsid w:val="003E65D0"/>
    <w:rsid w:val="003E6ED5"/>
    <w:rsid w:val="003E71BA"/>
    <w:rsid w:val="003F000C"/>
    <w:rsid w:val="003F0AB6"/>
    <w:rsid w:val="003F1317"/>
    <w:rsid w:val="003F13FA"/>
    <w:rsid w:val="003F1FB0"/>
    <w:rsid w:val="003F3796"/>
    <w:rsid w:val="003F3DA7"/>
    <w:rsid w:val="003F4A94"/>
    <w:rsid w:val="003F4CDF"/>
    <w:rsid w:val="003F5B53"/>
    <w:rsid w:val="003F5E49"/>
    <w:rsid w:val="003F632F"/>
    <w:rsid w:val="003F6BDB"/>
    <w:rsid w:val="003F7224"/>
    <w:rsid w:val="004001DA"/>
    <w:rsid w:val="00401592"/>
    <w:rsid w:val="00401861"/>
    <w:rsid w:val="00401B15"/>
    <w:rsid w:val="0040452E"/>
    <w:rsid w:val="0040596D"/>
    <w:rsid w:val="0040663C"/>
    <w:rsid w:val="0041054D"/>
    <w:rsid w:val="00410C38"/>
    <w:rsid w:val="00410D1F"/>
    <w:rsid w:val="004110CF"/>
    <w:rsid w:val="004111F7"/>
    <w:rsid w:val="00411CED"/>
    <w:rsid w:val="00411D0D"/>
    <w:rsid w:val="00413650"/>
    <w:rsid w:val="0041388E"/>
    <w:rsid w:val="00413A3A"/>
    <w:rsid w:val="00414A18"/>
    <w:rsid w:val="0041532F"/>
    <w:rsid w:val="0041561E"/>
    <w:rsid w:val="004170ED"/>
    <w:rsid w:val="00420A96"/>
    <w:rsid w:val="004212BC"/>
    <w:rsid w:val="00421394"/>
    <w:rsid w:val="0042296A"/>
    <w:rsid w:val="00422E82"/>
    <w:rsid w:val="00424B65"/>
    <w:rsid w:val="00425B80"/>
    <w:rsid w:val="00425C34"/>
    <w:rsid w:val="00425C76"/>
    <w:rsid w:val="00426A6B"/>
    <w:rsid w:val="00427D21"/>
    <w:rsid w:val="00427F01"/>
    <w:rsid w:val="00431AC4"/>
    <w:rsid w:val="00431D52"/>
    <w:rsid w:val="00431DAA"/>
    <w:rsid w:val="00432071"/>
    <w:rsid w:val="0043301F"/>
    <w:rsid w:val="004331AB"/>
    <w:rsid w:val="00434BFA"/>
    <w:rsid w:val="0043546B"/>
    <w:rsid w:val="004355E7"/>
    <w:rsid w:val="00436205"/>
    <w:rsid w:val="00436267"/>
    <w:rsid w:val="004366D9"/>
    <w:rsid w:val="0043744C"/>
    <w:rsid w:val="00437831"/>
    <w:rsid w:val="00441225"/>
    <w:rsid w:val="00441657"/>
    <w:rsid w:val="004426F1"/>
    <w:rsid w:val="004429D7"/>
    <w:rsid w:val="00442A17"/>
    <w:rsid w:val="00442D50"/>
    <w:rsid w:val="00443066"/>
    <w:rsid w:val="004436F3"/>
    <w:rsid w:val="00445B1B"/>
    <w:rsid w:val="00445C76"/>
    <w:rsid w:val="00446337"/>
    <w:rsid w:val="00446EE2"/>
    <w:rsid w:val="00447D7C"/>
    <w:rsid w:val="004505C4"/>
    <w:rsid w:val="00450E69"/>
    <w:rsid w:val="004510D5"/>
    <w:rsid w:val="00451DA9"/>
    <w:rsid w:val="00452382"/>
    <w:rsid w:val="004526BA"/>
    <w:rsid w:val="004528DF"/>
    <w:rsid w:val="0045382F"/>
    <w:rsid w:val="00453A29"/>
    <w:rsid w:val="00453B41"/>
    <w:rsid w:val="00454523"/>
    <w:rsid w:val="004553ED"/>
    <w:rsid w:val="00456577"/>
    <w:rsid w:val="0045694C"/>
    <w:rsid w:val="00457284"/>
    <w:rsid w:val="00457CAA"/>
    <w:rsid w:val="0046108E"/>
    <w:rsid w:val="004616D0"/>
    <w:rsid w:val="00461AC3"/>
    <w:rsid w:val="00462B6C"/>
    <w:rsid w:val="00462DF2"/>
    <w:rsid w:val="00462FAC"/>
    <w:rsid w:val="00463C8D"/>
    <w:rsid w:val="004644C2"/>
    <w:rsid w:val="0046482F"/>
    <w:rsid w:val="004669C8"/>
    <w:rsid w:val="0046798A"/>
    <w:rsid w:val="00467EA9"/>
    <w:rsid w:val="00467F9C"/>
    <w:rsid w:val="00471098"/>
    <w:rsid w:val="004718E4"/>
    <w:rsid w:val="00471BF8"/>
    <w:rsid w:val="00471C1C"/>
    <w:rsid w:val="004720D2"/>
    <w:rsid w:val="0047341C"/>
    <w:rsid w:val="00473686"/>
    <w:rsid w:val="00473859"/>
    <w:rsid w:val="004740C4"/>
    <w:rsid w:val="00474875"/>
    <w:rsid w:val="00474928"/>
    <w:rsid w:val="00475CF8"/>
    <w:rsid w:val="0047701A"/>
    <w:rsid w:val="004772D4"/>
    <w:rsid w:val="00477A49"/>
    <w:rsid w:val="00477ACB"/>
    <w:rsid w:val="00480A68"/>
    <w:rsid w:val="00481526"/>
    <w:rsid w:val="0048242A"/>
    <w:rsid w:val="00482BD1"/>
    <w:rsid w:val="00483340"/>
    <w:rsid w:val="004848D1"/>
    <w:rsid w:val="00484CE5"/>
    <w:rsid w:val="00485C36"/>
    <w:rsid w:val="00485E90"/>
    <w:rsid w:val="00487C91"/>
    <w:rsid w:val="0049008A"/>
    <w:rsid w:val="0049012C"/>
    <w:rsid w:val="00490717"/>
    <w:rsid w:val="00490BF5"/>
    <w:rsid w:val="0049129E"/>
    <w:rsid w:val="00491C5A"/>
    <w:rsid w:val="00492238"/>
    <w:rsid w:val="00492A31"/>
    <w:rsid w:val="00492AEB"/>
    <w:rsid w:val="00493263"/>
    <w:rsid w:val="00493CDA"/>
    <w:rsid w:val="00493EBA"/>
    <w:rsid w:val="00494C28"/>
    <w:rsid w:val="004953FB"/>
    <w:rsid w:val="00495B52"/>
    <w:rsid w:val="00496C69"/>
    <w:rsid w:val="0049724E"/>
    <w:rsid w:val="004A1AC3"/>
    <w:rsid w:val="004A2D2F"/>
    <w:rsid w:val="004A2E71"/>
    <w:rsid w:val="004A39BD"/>
    <w:rsid w:val="004A58D4"/>
    <w:rsid w:val="004A5D06"/>
    <w:rsid w:val="004A6E51"/>
    <w:rsid w:val="004A73D6"/>
    <w:rsid w:val="004B0C1C"/>
    <w:rsid w:val="004B0D0B"/>
    <w:rsid w:val="004B19FD"/>
    <w:rsid w:val="004B2076"/>
    <w:rsid w:val="004B26D1"/>
    <w:rsid w:val="004B34A0"/>
    <w:rsid w:val="004B7656"/>
    <w:rsid w:val="004C0256"/>
    <w:rsid w:val="004C0D74"/>
    <w:rsid w:val="004C3055"/>
    <w:rsid w:val="004C31F4"/>
    <w:rsid w:val="004C3384"/>
    <w:rsid w:val="004C3EA9"/>
    <w:rsid w:val="004C40F6"/>
    <w:rsid w:val="004C489A"/>
    <w:rsid w:val="004C4DF9"/>
    <w:rsid w:val="004C5813"/>
    <w:rsid w:val="004C5A1E"/>
    <w:rsid w:val="004C5DEE"/>
    <w:rsid w:val="004C63E5"/>
    <w:rsid w:val="004C65AC"/>
    <w:rsid w:val="004C70C3"/>
    <w:rsid w:val="004C73E1"/>
    <w:rsid w:val="004D0057"/>
    <w:rsid w:val="004D03F4"/>
    <w:rsid w:val="004D0673"/>
    <w:rsid w:val="004D0C91"/>
    <w:rsid w:val="004D16B1"/>
    <w:rsid w:val="004D1F05"/>
    <w:rsid w:val="004D28BC"/>
    <w:rsid w:val="004D2B14"/>
    <w:rsid w:val="004D4662"/>
    <w:rsid w:val="004D579A"/>
    <w:rsid w:val="004D61AB"/>
    <w:rsid w:val="004D7699"/>
    <w:rsid w:val="004D78BC"/>
    <w:rsid w:val="004E05E7"/>
    <w:rsid w:val="004E06D7"/>
    <w:rsid w:val="004E0E01"/>
    <w:rsid w:val="004E1742"/>
    <w:rsid w:val="004E4158"/>
    <w:rsid w:val="004E48B4"/>
    <w:rsid w:val="004E48ED"/>
    <w:rsid w:val="004E5184"/>
    <w:rsid w:val="004E6102"/>
    <w:rsid w:val="004E6B24"/>
    <w:rsid w:val="004F0161"/>
    <w:rsid w:val="004F031B"/>
    <w:rsid w:val="004F047A"/>
    <w:rsid w:val="004F29F3"/>
    <w:rsid w:val="004F3C24"/>
    <w:rsid w:val="004F3F83"/>
    <w:rsid w:val="004F477F"/>
    <w:rsid w:val="004F764E"/>
    <w:rsid w:val="0050127C"/>
    <w:rsid w:val="0050146D"/>
    <w:rsid w:val="00501810"/>
    <w:rsid w:val="00504253"/>
    <w:rsid w:val="005047CA"/>
    <w:rsid w:val="005052F5"/>
    <w:rsid w:val="00505A22"/>
    <w:rsid w:val="005071E5"/>
    <w:rsid w:val="005077EF"/>
    <w:rsid w:val="00507B62"/>
    <w:rsid w:val="00507E01"/>
    <w:rsid w:val="00507EAA"/>
    <w:rsid w:val="0051073B"/>
    <w:rsid w:val="00511C60"/>
    <w:rsid w:val="00512B70"/>
    <w:rsid w:val="00512CC3"/>
    <w:rsid w:val="005138F3"/>
    <w:rsid w:val="00513A01"/>
    <w:rsid w:val="00513D3D"/>
    <w:rsid w:val="00514497"/>
    <w:rsid w:val="0051476B"/>
    <w:rsid w:val="00514BB3"/>
    <w:rsid w:val="0051512B"/>
    <w:rsid w:val="00516104"/>
    <w:rsid w:val="005175B0"/>
    <w:rsid w:val="00517629"/>
    <w:rsid w:val="00517676"/>
    <w:rsid w:val="00517AEF"/>
    <w:rsid w:val="00520C14"/>
    <w:rsid w:val="00520E61"/>
    <w:rsid w:val="00521607"/>
    <w:rsid w:val="00521AEF"/>
    <w:rsid w:val="00522F58"/>
    <w:rsid w:val="00523A7D"/>
    <w:rsid w:val="00524686"/>
    <w:rsid w:val="00524CE1"/>
    <w:rsid w:val="00526A3E"/>
    <w:rsid w:val="00527B6D"/>
    <w:rsid w:val="00527C37"/>
    <w:rsid w:val="00531309"/>
    <w:rsid w:val="00531BDC"/>
    <w:rsid w:val="00531CB2"/>
    <w:rsid w:val="00531ECC"/>
    <w:rsid w:val="005322FD"/>
    <w:rsid w:val="005337DA"/>
    <w:rsid w:val="00533E0D"/>
    <w:rsid w:val="00534681"/>
    <w:rsid w:val="005347E2"/>
    <w:rsid w:val="00536735"/>
    <w:rsid w:val="005369EE"/>
    <w:rsid w:val="0053706D"/>
    <w:rsid w:val="00537549"/>
    <w:rsid w:val="00537678"/>
    <w:rsid w:val="00537D1A"/>
    <w:rsid w:val="0054057E"/>
    <w:rsid w:val="00540EA5"/>
    <w:rsid w:val="00541B75"/>
    <w:rsid w:val="00542383"/>
    <w:rsid w:val="0054275A"/>
    <w:rsid w:val="00544FEC"/>
    <w:rsid w:val="00545D3C"/>
    <w:rsid w:val="005463B9"/>
    <w:rsid w:val="005464AC"/>
    <w:rsid w:val="00547039"/>
    <w:rsid w:val="00547466"/>
    <w:rsid w:val="005479BB"/>
    <w:rsid w:val="005504DD"/>
    <w:rsid w:val="00550E27"/>
    <w:rsid w:val="00551166"/>
    <w:rsid w:val="00551A78"/>
    <w:rsid w:val="00552246"/>
    <w:rsid w:val="005529DF"/>
    <w:rsid w:val="005538BC"/>
    <w:rsid w:val="005546FC"/>
    <w:rsid w:val="00555B30"/>
    <w:rsid w:val="005566B7"/>
    <w:rsid w:val="00556AE9"/>
    <w:rsid w:val="005601B2"/>
    <w:rsid w:val="005601D4"/>
    <w:rsid w:val="00562633"/>
    <w:rsid w:val="00563B04"/>
    <w:rsid w:val="00563F7C"/>
    <w:rsid w:val="005640D3"/>
    <w:rsid w:val="0056424A"/>
    <w:rsid w:val="005646AE"/>
    <w:rsid w:val="00564B4B"/>
    <w:rsid w:val="00565FDE"/>
    <w:rsid w:val="005662C9"/>
    <w:rsid w:val="005666C8"/>
    <w:rsid w:val="00566928"/>
    <w:rsid w:val="00566F6D"/>
    <w:rsid w:val="00567022"/>
    <w:rsid w:val="005673DB"/>
    <w:rsid w:val="00570CEC"/>
    <w:rsid w:val="0057125B"/>
    <w:rsid w:val="00572A3D"/>
    <w:rsid w:val="00573F6D"/>
    <w:rsid w:val="00574B76"/>
    <w:rsid w:val="00574C67"/>
    <w:rsid w:val="005752ED"/>
    <w:rsid w:val="00576BB1"/>
    <w:rsid w:val="00577D39"/>
    <w:rsid w:val="00580620"/>
    <w:rsid w:val="00580902"/>
    <w:rsid w:val="005813D1"/>
    <w:rsid w:val="00581D98"/>
    <w:rsid w:val="0058203C"/>
    <w:rsid w:val="005825A1"/>
    <w:rsid w:val="00583A6B"/>
    <w:rsid w:val="00585436"/>
    <w:rsid w:val="0058544D"/>
    <w:rsid w:val="005854A2"/>
    <w:rsid w:val="00586880"/>
    <w:rsid w:val="00586C22"/>
    <w:rsid w:val="0058750A"/>
    <w:rsid w:val="0059064E"/>
    <w:rsid w:val="00590DFC"/>
    <w:rsid w:val="00590E95"/>
    <w:rsid w:val="00591133"/>
    <w:rsid w:val="00591151"/>
    <w:rsid w:val="00592D83"/>
    <w:rsid w:val="005930B3"/>
    <w:rsid w:val="005931BF"/>
    <w:rsid w:val="0059490C"/>
    <w:rsid w:val="0059554F"/>
    <w:rsid w:val="0059573F"/>
    <w:rsid w:val="005958D8"/>
    <w:rsid w:val="00595E41"/>
    <w:rsid w:val="00596110"/>
    <w:rsid w:val="005974B8"/>
    <w:rsid w:val="005A1703"/>
    <w:rsid w:val="005A30CA"/>
    <w:rsid w:val="005A33FB"/>
    <w:rsid w:val="005A4452"/>
    <w:rsid w:val="005A4D4B"/>
    <w:rsid w:val="005A60EC"/>
    <w:rsid w:val="005B219B"/>
    <w:rsid w:val="005B2A53"/>
    <w:rsid w:val="005B5422"/>
    <w:rsid w:val="005B6EB2"/>
    <w:rsid w:val="005B77D0"/>
    <w:rsid w:val="005C0442"/>
    <w:rsid w:val="005C0A9F"/>
    <w:rsid w:val="005C369C"/>
    <w:rsid w:val="005C36DC"/>
    <w:rsid w:val="005C41E1"/>
    <w:rsid w:val="005C5F1C"/>
    <w:rsid w:val="005C6198"/>
    <w:rsid w:val="005C650A"/>
    <w:rsid w:val="005C70F5"/>
    <w:rsid w:val="005C7579"/>
    <w:rsid w:val="005C777C"/>
    <w:rsid w:val="005D01B3"/>
    <w:rsid w:val="005D0528"/>
    <w:rsid w:val="005D0C6E"/>
    <w:rsid w:val="005D0C81"/>
    <w:rsid w:val="005D0DDC"/>
    <w:rsid w:val="005D211B"/>
    <w:rsid w:val="005D2203"/>
    <w:rsid w:val="005D2299"/>
    <w:rsid w:val="005D254D"/>
    <w:rsid w:val="005D3407"/>
    <w:rsid w:val="005D3914"/>
    <w:rsid w:val="005D59F3"/>
    <w:rsid w:val="005D606A"/>
    <w:rsid w:val="005D60AB"/>
    <w:rsid w:val="005D623C"/>
    <w:rsid w:val="005D6E06"/>
    <w:rsid w:val="005D777B"/>
    <w:rsid w:val="005E0339"/>
    <w:rsid w:val="005E28C3"/>
    <w:rsid w:val="005E2960"/>
    <w:rsid w:val="005E3E01"/>
    <w:rsid w:val="005E488A"/>
    <w:rsid w:val="005E6E29"/>
    <w:rsid w:val="005E78D8"/>
    <w:rsid w:val="005E7CD0"/>
    <w:rsid w:val="005F01DF"/>
    <w:rsid w:val="005F0330"/>
    <w:rsid w:val="005F085A"/>
    <w:rsid w:val="005F10C5"/>
    <w:rsid w:val="005F123F"/>
    <w:rsid w:val="005F1577"/>
    <w:rsid w:val="005F1580"/>
    <w:rsid w:val="005F220C"/>
    <w:rsid w:val="005F2DB0"/>
    <w:rsid w:val="005F319A"/>
    <w:rsid w:val="005F5861"/>
    <w:rsid w:val="005F73BD"/>
    <w:rsid w:val="00600A59"/>
    <w:rsid w:val="0060112D"/>
    <w:rsid w:val="0060297F"/>
    <w:rsid w:val="00602F63"/>
    <w:rsid w:val="00603C91"/>
    <w:rsid w:val="00604101"/>
    <w:rsid w:val="00604571"/>
    <w:rsid w:val="00604EC1"/>
    <w:rsid w:val="00605169"/>
    <w:rsid w:val="00605348"/>
    <w:rsid w:val="00605B5A"/>
    <w:rsid w:val="006064F3"/>
    <w:rsid w:val="00607AAE"/>
    <w:rsid w:val="00610489"/>
    <w:rsid w:val="00611B43"/>
    <w:rsid w:val="00611C60"/>
    <w:rsid w:val="006122BA"/>
    <w:rsid w:val="00613B82"/>
    <w:rsid w:val="006151A2"/>
    <w:rsid w:val="00615539"/>
    <w:rsid w:val="00616006"/>
    <w:rsid w:val="00616E9B"/>
    <w:rsid w:val="0061713C"/>
    <w:rsid w:val="006223AE"/>
    <w:rsid w:val="0062362A"/>
    <w:rsid w:val="0062708E"/>
    <w:rsid w:val="006278ED"/>
    <w:rsid w:val="00632AC0"/>
    <w:rsid w:val="0063355B"/>
    <w:rsid w:val="006336B6"/>
    <w:rsid w:val="00633818"/>
    <w:rsid w:val="00633939"/>
    <w:rsid w:val="00633E73"/>
    <w:rsid w:val="006342C4"/>
    <w:rsid w:val="00634A27"/>
    <w:rsid w:val="0063592E"/>
    <w:rsid w:val="00637276"/>
    <w:rsid w:val="006376FF"/>
    <w:rsid w:val="006435D2"/>
    <w:rsid w:val="00643B72"/>
    <w:rsid w:val="00643B9C"/>
    <w:rsid w:val="0064495A"/>
    <w:rsid w:val="00646DC9"/>
    <w:rsid w:val="00651201"/>
    <w:rsid w:val="0065153E"/>
    <w:rsid w:val="00652BF3"/>
    <w:rsid w:val="00652F5A"/>
    <w:rsid w:val="006533B6"/>
    <w:rsid w:val="006537AE"/>
    <w:rsid w:val="0065502A"/>
    <w:rsid w:val="0065555D"/>
    <w:rsid w:val="00655D53"/>
    <w:rsid w:val="00655E6F"/>
    <w:rsid w:val="00660805"/>
    <w:rsid w:val="00661463"/>
    <w:rsid w:val="00663946"/>
    <w:rsid w:val="00664424"/>
    <w:rsid w:val="00666174"/>
    <w:rsid w:val="00666F07"/>
    <w:rsid w:val="0066775D"/>
    <w:rsid w:val="00667840"/>
    <w:rsid w:val="00667FF2"/>
    <w:rsid w:val="0067018B"/>
    <w:rsid w:val="006718D5"/>
    <w:rsid w:val="00671C60"/>
    <w:rsid w:val="00672459"/>
    <w:rsid w:val="00672E99"/>
    <w:rsid w:val="006730CB"/>
    <w:rsid w:val="00673701"/>
    <w:rsid w:val="0067370D"/>
    <w:rsid w:val="00674327"/>
    <w:rsid w:val="00677B61"/>
    <w:rsid w:val="00680D27"/>
    <w:rsid w:val="00681A57"/>
    <w:rsid w:val="00682094"/>
    <w:rsid w:val="0068317F"/>
    <w:rsid w:val="00684503"/>
    <w:rsid w:val="0068477B"/>
    <w:rsid w:val="006853B4"/>
    <w:rsid w:val="00685D99"/>
    <w:rsid w:val="006864A5"/>
    <w:rsid w:val="006868B3"/>
    <w:rsid w:val="00686EA3"/>
    <w:rsid w:val="0068721B"/>
    <w:rsid w:val="006875CE"/>
    <w:rsid w:val="00687ABB"/>
    <w:rsid w:val="0069030E"/>
    <w:rsid w:val="0069084C"/>
    <w:rsid w:val="006912ED"/>
    <w:rsid w:val="00692A1B"/>
    <w:rsid w:val="00693339"/>
    <w:rsid w:val="006937E1"/>
    <w:rsid w:val="00693897"/>
    <w:rsid w:val="006946A6"/>
    <w:rsid w:val="0069495B"/>
    <w:rsid w:val="00695779"/>
    <w:rsid w:val="00696637"/>
    <w:rsid w:val="00696B9C"/>
    <w:rsid w:val="0069776E"/>
    <w:rsid w:val="00697CFA"/>
    <w:rsid w:val="006A00FD"/>
    <w:rsid w:val="006A0651"/>
    <w:rsid w:val="006A14B5"/>
    <w:rsid w:val="006A2E7A"/>
    <w:rsid w:val="006A3B68"/>
    <w:rsid w:val="006A4DEB"/>
    <w:rsid w:val="006A525A"/>
    <w:rsid w:val="006A6C89"/>
    <w:rsid w:val="006A7E14"/>
    <w:rsid w:val="006B2290"/>
    <w:rsid w:val="006B316A"/>
    <w:rsid w:val="006B3587"/>
    <w:rsid w:val="006B3867"/>
    <w:rsid w:val="006B3BDB"/>
    <w:rsid w:val="006B4F09"/>
    <w:rsid w:val="006B5E28"/>
    <w:rsid w:val="006C0504"/>
    <w:rsid w:val="006C195B"/>
    <w:rsid w:val="006C3C9D"/>
    <w:rsid w:val="006C4B24"/>
    <w:rsid w:val="006C526F"/>
    <w:rsid w:val="006C56ED"/>
    <w:rsid w:val="006C5E8D"/>
    <w:rsid w:val="006C5F4A"/>
    <w:rsid w:val="006C6F1B"/>
    <w:rsid w:val="006C7543"/>
    <w:rsid w:val="006C78B7"/>
    <w:rsid w:val="006C7A96"/>
    <w:rsid w:val="006C7B61"/>
    <w:rsid w:val="006C7C2C"/>
    <w:rsid w:val="006D0039"/>
    <w:rsid w:val="006D0BD3"/>
    <w:rsid w:val="006D0CD1"/>
    <w:rsid w:val="006D1B77"/>
    <w:rsid w:val="006D2756"/>
    <w:rsid w:val="006D34DD"/>
    <w:rsid w:val="006D3616"/>
    <w:rsid w:val="006D3D80"/>
    <w:rsid w:val="006D421E"/>
    <w:rsid w:val="006D5E93"/>
    <w:rsid w:val="006D6BB3"/>
    <w:rsid w:val="006D7A09"/>
    <w:rsid w:val="006E1BAA"/>
    <w:rsid w:val="006E1F37"/>
    <w:rsid w:val="006E231C"/>
    <w:rsid w:val="006E604B"/>
    <w:rsid w:val="006F0052"/>
    <w:rsid w:val="006F08DF"/>
    <w:rsid w:val="006F233A"/>
    <w:rsid w:val="006F286B"/>
    <w:rsid w:val="006F3E4D"/>
    <w:rsid w:val="006F59D4"/>
    <w:rsid w:val="006F601C"/>
    <w:rsid w:val="00701216"/>
    <w:rsid w:val="0070147E"/>
    <w:rsid w:val="007018DD"/>
    <w:rsid w:val="00701A00"/>
    <w:rsid w:val="00702583"/>
    <w:rsid w:val="0070275B"/>
    <w:rsid w:val="00703B65"/>
    <w:rsid w:val="00705FC5"/>
    <w:rsid w:val="00706DF5"/>
    <w:rsid w:val="007070D8"/>
    <w:rsid w:val="007106D7"/>
    <w:rsid w:val="007108BE"/>
    <w:rsid w:val="00710AC5"/>
    <w:rsid w:val="007110E3"/>
    <w:rsid w:val="00711882"/>
    <w:rsid w:val="0071217A"/>
    <w:rsid w:val="00712D4A"/>
    <w:rsid w:val="007165EF"/>
    <w:rsid w:val="0071715D"/>
    <w:rsid w:val="007171DB"/>
    <w:rsid w:val="00717D88"/>
    <w:rsid w:val="007201FF"/>
    <w:rsid w:val="00720442"/>
    <w:rsid w:val="00721232"/>
    <w:rsid w:val="007213C1"/>
    <w:rsid w:val="007214CE"/>
    <w:rsid w:val="007220C0"/>
    <w:rsid w:val="0072509B"/>
    <w:rsid w:val="007256DC"/>
    <w:rsid w:val="007256E1"/>
    <w:rsid w:val="007262C1"/>
    <w:rsid w:val="00726738"/>
    <w:rsid w:val="00727B5F"/>
    <w:rsid w:val="00730617"/>
    <w:rsid w:val="00731262"/>
    <w:rsid w:val="00731522"/>
    <w:rsid w:val="00732464"/>
    <w:rsid w:val="00732969"/>
    <w:rsid w:val="00732A65"/>
    <w:rsid w:val="00733C17"/>
    <w:rsid w:val="00734B7E"/>
    <w:rsid w:val="00735BCB"/>
    <w:rsid w:val="00736A9E"/>
    <w:rsid w:val="00737496"/>
    <w:rsid w:val="0073790D"/>
    <w:rsid w:val="00742E33"/>
    <w:rsid w:val="007447F4"/>
    <w:rsid w:val="00744D53"/>
    <w:rsid w:val="00745512"/>
    <w:rsid w:val="00745B85"/>
    <w:rsid w:val="007461F5"/>
    <w:rsid w:val="00746486"/>
    <w:rsid w:val="007464CC"/>
    <w:rsid w:val="00746C06"/>
    <w:rsid w:val="00747080"/>
    <w:rsid w:val="00750312"/>
    <w:rsid w:val="007503E5"/>
    <w:rsid w:val="00750F88"/>
    <w:rsid w:val="00751A2A"/>
    <w:rsid w:val="00751CA0"/>
    <w:rsid w:val="00752167"/>
    <w:rsid w:val="007528D9"/>
    <w:rsid w:val="00754240"/>
    <w:rsid w:val="00754E15"/>
    <w:rsid w:val="00755D67"/>
    <w:rsid w:val="00755E77"/>
    <w:rsid w:val="00756C7C"/>
    <w:rsid w:val="007572AA"/>
    <w:rsid w:val="007572D1"/>
    <w:rsid w:val="00757E70"/>
    <w:rsid w:val="00760D17"/>
    <w:rsid w:val="00761493"/>
    <w:rsid w:val="0076230D"/>
    <w:rsid w:val="007623B1"/>
    <w:rsid w:val="00762CF1"/>
    <w:rsid w:val="007637FC"/>
    <w:rsid w:val="007638CE"/>
    <w:rsid w:val="00763F1A"/>
    <w:rsid w:val="00764D7A"/>
    <w:rsid w:val="0076619D"/>
    <w:rsid w:val="00766E83"/>
    <w:rsid w:val="007715AD"/>
    <w:rsid w:val="0077208B"/>
    <w:rsid w:val="0077353F"/>
    <w:rsid w:val="007737B7"/>
    <w:rsid w:val="00773AD6"/>
    <w:rsid w:val="00773FE2"/>
    <w:rsid w:val="00781894"/>
    <w:rsid w:val="00781E8F"/>
    <w:rsid w:val="0078243E"/>
    <w:rsid w:val="007830A4"/>
    <w:rsid w:val="007833C8"/>
    <w:rsid w:val="00783D3C"/>
    <w:rsid w:val="00784108"/>
    <w:rsid w:val="00784AFD"/>
    <w:rsid w:val="00784CDA"/>
    <w:rsid w:val="007851B5"/>
    <w:rsid w:val="00785769"/>
    <w:rsid w:val="007862C1"/>
    <w:rsid w:val="00786392"/>
    <w:rsid w:val="00786DCD"/>
    <w:rsid w:val="00787320"/>
    <w:rsid w:val="007902A2"/>
    <w:rsid w:val="007923FE"/>
    <w:rsid w:val="0079269C"/>
    <w:rsid w:val="007942D3"/>
    <w:rsid w:val="0079495A"/>
    <w:rsid w:val="00794EF4"/>
    <w:rsid w:val="00795A20"/>
    <w:rsid w:val="00795DD1"/>
    <w:rsid w:val="00796636"/>
    <w:rsid w:val="00796D47"/>
    <w:rsid w:val="00797595"/>
    <w:rsid w:val="00797A3D"/>
    <w:rsid w:val="007A015D"/>
    <w:rsid w:val="007A05EB"/>
    <w:rsid w:val="007A06A1"/>
    <w:rsid w:val="007A082D"/>
    <w:rsid w:val="007A0CBF"/>
    <w:rsid w:val="007A1840"/>
    <w:rsid w:val="007A290D"/>
    <w:rsid w:val="007A2943"/>
    <w:rsid w:val="007A3053"/>
    <w:rsid w:val="007A308A"/>
    <w:rsid w:val="007A30A8"/>
    <w:rsid w:val="007A4D94"/>
    <w:rsid w:val="007A599D"/>
    <w:rsid w:val="007A5A69"/>
    <w:rsid w:val="007A6F71"/>
    <w:rsid w:val="007A6F8B"/>
    <w:rsid w:val="007A7B1E"/>
    <w:rsid w:val="007B0052"/>
    <w:rsid w:val="007B0C7D"/>
    <w:rsid w:val="007B1AE0"/>
    <w:rsid w:val="007B248C"/>
    <w:rsid w:val="007B2793"/>
    <w:rsid w:val="007B459E"/>
    <w:rsid w:val="007B47F8"/>
    <w:rsid w:val="007B564E"/>
    <w:rsid w:val="007B62F3"/>
    <w:rsid w:val="007B6C09"/>
    <w:rsid w:val="007B70DC"/>
    <w:rsid w:val="007B7265"/>
    <w:rsid w:val="007B7A6F"/>
    <w:rsid w:val="007C0DA9"/>
    <w:rsid w:val="007C14E6"/>
    <w:rsid w:val="007C1AA2"/>
    <w:rsid w:val="007C1AC4"/>
    <w:rsid w:val="007C1D09"/>
    <w:rsid w:val="007C2167"/>
    <w:rsid w:val="007C423F"/>
    <w:rsid w:val="007C4C53"/>
    <w:rsid w:val="007C6316"/>
    <w:rsid w:val="007C6D8A"/>
    <w:rsid w:val="007C7E91"/>
    <w:rsid w:val="007C7EF4"/>
    <w:rsid w:val="007D0E4E"/>
    <w:rsid w:val="007D1E21"/>
    <w:rsid w:val="007D204D"/>
    <w:rsid w:val="007D3D6D"/>
    <w:rsid w:val="007D4455"/>
    <w:rsid w:val="007D552D"/>
    <w:rsid w:val="007D5A5B"/>
    <w:rsid w:val="007D5F0B"/>
    <w:rsid w:val="007D6465"/>
    <w:rsid w:val="007D69AF"/>
    <w:rsid w:val="007E00B5"/>
    <w:rsid w:val="007E085A"/>
    <w:rsid w:val="007E09DA"/>
    <w:rsid w:val="007E0E81"/>
    <w:rsid w:val="007E29CD"/>
    <w:rsid w:val="007E2C19"/>
    <w:rsid w:val="007E2E8B"/>
    <w:rsid w:val="007E4664"/>
    <w:rsid w:val="007E48D9"/>
    <w:rsid w:val="007E4E9C"/>
    <w:rsid w:val="007E4FFF"/>
    <w:rsid w:val="007E581B"/>
    <w:rsid w:val="007F1166"/>
    <w:rsid w:val="007F13CF"/>
    <w:rsid w:val="007F2CA7"/>
    <w:rsid w:val="007F3671"/>
    <w:rsid w:val="007F3AB8"/>
    <w:rsid w:val="007F3BEC"/>
    <w:rsid w:val="007F406B"/>
    <w:rsid w:val="007F5078"/>
    <w:rsid w:val="007F6125"/>
    <w:rsid w:val="007F65B6"/>
    <w:rsid w:val="007F6712"/>
    <w:rsid w:val="007F6A0D"/>
    <w:rsid w:val="007F70E1"/>
    <w:rsid w:val="007F76A5"/>
    <w:rsid w:val="007F7954"/>
    <w:rsid w:val="00800F42"/>
    <w:rsid w:val="00801ACC"/>
    <w:rsid w:val="00802D41"/>
    <w:rsid w:val="00804E59"/>
    <w:rsid w:val="0080642F"/>
    <w:rsid w:val="00810AC2"/>
    <w:rsid w:val="00810C1C"/>
    <w:rsid w:val="00810F1C"/>
    <w:rsid w:val="00811BB9"/>
    <w:rsid w:val="0081202B"/>
    <w:rsid w:val="0081227C"/>
    <w:rsid w:val="00812473"/>
    <w:rsid w:val="008129CB"/>
    <w:rsid w:val="0081301C"/>
    <w:rsid w:val="0081312F"/>
    <w:rsid w:val="0081330E"/>
    <w:rsid w:val="008154AF"/>
    <w:rsid w:val="0081614E"/>
    <w:rsid w:val="00816B29"/>
    <w:rsid w:val="00817834"/>
    <w:rsid w:val="008178B6"/>
    <w:rsid w:val="00817DBF"/>
    <w:rsid w:val="00820C3A"/>
    <w:rsid w:val="00820EEB"/>
    <w:rsid w:val="00821309"/>
    <w:rsid w:val="00821DFA"/>
    <w:rsid w:val="00822AC6"/>
    <w:rsid w:val="00824992"/>
    <w:rsid w:val="008256D9"/>
    <w:rsid w:val="00825783"/>
    <w:rsid w:val="00825C28"/>
    <w:rsid w:val="0082741A"/>
    <w:rsid w:val="00827FE8"/>
    <w:rsid w:val="00830110"/>
    <w:rsid w:val="00830C92"/>
    <w:rsid w:val="00831A43"/>
    <w:rsid w:val="008324CB"/>
    <w:rsid w:val="008331BC"/>
    <w:rsid w:val="00833E3C"/>
    <w:rsid w:val="00834028"/>
    <w:rsid w:val="008357F6"/>
    <w:rsid w:val="00835F65"/>
    <w:rsid w:val="008364C1"/>
    <w:rsid w:val="00836DC3"/>
    <w:rsid w:val="00837DEB"/>
    <w:rsid w:val="0084047E"/>
    <w:rsid w:val="008419B0"/>
    <w:rsid w:val="0084250B"/>
    <w:rsid w:val="00842A0A"/>
    <w:rsid w:val="00842E81"/>
    <w:rsid w:val="0084360C"/>
    <w:rsid w:val="008440FB"/>
    <w:rsid w:val="0084461A"/>
    <w:rsid w:val="00845178"/>
    <w:rsid w:val="008453F7"/>
    <w:rsid w:val="00845698"/>
    <w:rsid w:val="008463ED"/>
    <w:rsid w:val="00846C94"/>
    <w:rsid w:val="008500A0"/>
    <w:rsid w:val="00850B7D"/>
    <w:rsid w:val="00852052"/>
    <w:rsid w:val="008524D8"/>
    <w:rsid w:val="00852BE5"/>
    <w:rsid w:val="008535E7"/>
    <w:rsid w:val="0085398A"/>
    <w:rsid w:val="00853F20"/>
    <w:rsid w:val="008540AE"/>
    <w:rsid w:val="00855A78"/>
    <w:rsid w:val="00856752"/>
    <w:rsid w:val="00857385"/>
    <w:rsid w:val="0085743F"/>
    <w:rsid w:val="00857853"/>
    <w:rsid w:val="008600B6"/>
    <w:rsid w:val="008605C9"/>
    <w:rsid w:val="0086104A"/>
    <w:rsid w:val="00861B8B"/>
    <w:rsid w:val="00862276"/>
    <w:rsid w:val="008633CF"/>
    <w:rsid w:val="0086428A"/>
    <w:rsid w:val="0086442C"/>
    <w:rsid w:val="008644E7"/>
    <w:rsid w:val="00865330"/>
    <w:rsid w:val="0086580C"/>
    <w:rsid w:val="00865B74"/>
    <w:rsid w:val="008669FD"/>
    <w:rsid w:val="00867675"/>
    <w:rsid w:val="0087059F"/>
    <w:rsid w:val="00872392"/>
    <w:rsid w:val="00872673"/>
    <w:rsid w:val="00873972"/>
    <w:rsid w:val="00873BBB"/>
    <w:rsid w:val="00874F2A"/>
    <w:rsid w:val="00875DF6"/>
    <w:rsid w:val="0087612F"/>
    <w:rsid w:val="00876B5E"/>
    <w:rsid w:val="00876FB9"/>
    <w:rsid w:val="00877521"/>
    <w:rsid w:val="00877C62"/>
    <w:rsid w:val="0088085D"/>
    <w:rsid w:val="00881404"/>
    <w:rsid w:val="00881828"/>
    <w:rsid w:val="00881CE0"/>
    <w:rsid w:val="00882BC1"/>
    <w:rsid w:val="00883290"/>
    <w:rsid w:val="0088402A"/>
    <w:rsid w:val="00884BDF"/>
    <w:rsid w:val="00884C9A"/>
    <w:rsid w:val="00885C50"/>
    <w:rsid w:val="00886931"/>
    <w:rsid w:val="00887DDC"/>
    <w:rsid w:val="008925D3"/>
    <w:rsid w:val="00893DBE"/>
    <w:rsid w:val="00894567"/>
    <w:rsid w:val="0089521A"/>
    <w:rsid w:val="00895313"/>
    <w:rsid w:val="00895B81"/>
    <w:rsid w:val="00895E41"/>
    <w:rsid w:val="00896948"/>
    <w:rsid w:val="008973D5"/>
    <w:rsid w:val="008A03E1"/>
    <w:rsid w:val="008A03E5"/>
    <w:rsid w:val="008A0EB2"/>
    <w:rsid w:val="008A2BA3"/>
    <w:rsid w:val="008A31B4"/>
    <w:rsid w:val="008A361D"/>
    <w:rsid w:val="008A429F"/>
    <w:rsid w:val="008A4397"/>
    <w:rsid w:val="008A455F"/>
    <w:rsid w:val="008A4820"/>
    <w:rsid w:val="008A5A0B"/>
    <w:rsid w:val="008A6381"/>
    <w:rsid w:val="008A7935"/>
    <w:rsid w:val="008B03EE"/>
    <w:rsid w:val="008B12F1"/>
    <w:rsid w:val="008B21EE"/>
    <w:rsid w:val="008B4006"/>
    <w:rsid w:val="008B4A9B"/>
    <w:rsid w:val="008B4E5F"/>
    <w:rsid w:val="008B5097"/>
    <w:rsid w:val="008B5496"/>
    <w:rsid w:val="008B69C4"/>
    <w:rsid w:val="008C06A6"/>
    <w:rsid w:val="008C0E8C"/>
    <w:rsid w:val="008C10E0"/>
    <w:rsid w:val="008C20AD"/>
    <w:rsid w:val="008C2363"/>
    <w:rsid w:val="008C2B5A"/>
    <w:rsid w:val="008C39AB"/>
    <w:rsid w:val="008C3C9A"/>
    <w:rsid w:val="008C438C"/>
    <w:rsid w:val="008C623A"/>
    <w:rsid w:val="008C6B01"/>
    <w:rsid w:val="008C753F"/>
    <w:rsid w:val="008C757F"/>
    <w:rsid w:val="008C793F"/>
    <w:rsid w:val="008D1DCC"/>
    <w:rsid w:val="008D250A"/>
    <w:rsid w:val="008D2E28"/>
    <w:rsid w:val="008D308F"/>
    <w:rsid w:val="008D3231"/>
    <w:rsid w:val="008D41FF"/>
    <w:rsid w:val="008D520E"/>
    <w:rsid w:val="008D537A"/>
    <w:rsid w:val="008D5DE0"/>
    <w:rsid w:val="008D65AE"/>
    <w:rsid w:val="008D6D70"/>
    <w:rsid w:val="008D7D92"/>
    <w:rsid w:val="008E17FE"/>
    <w:rsid w:val="008E1928"/>
    <w:rsid w:val="008E241F"/>
    <w:rsid w:val="008E32D2"/>
    <w:rsid w:val="008E333B"/>
    <w:rsid w:val="008E3C96"/>
    <w:rsid w:val="008E5152"/>
    <w:rsid w:val="008E555D"/>
    <w:rsid w:val="008E68A5"/>
    <w:rsid w:val="008E69C4"/>
    <w:rsid w:val="008E71E2"/>
    <w:rsid w:val="008E7A88"/>
    <w:rsid w:val="008F0955"/>
    <w:rsid w:val="008F0C8A"/>
    <w:rsid w:val="008F0DA6"/>
    <w:rsid w:val="008F23EF"/>
    <w:rsid w:val="008F2D6F"/>
    <w:rsid w:val="008F3FC1"/>
    <w:rsid w:val="008F4C49"/>
    <w:rsid w:val="008F58E5"/>
    <w:rsid w:val="008F5BAD"/>
    <w:rsid w:val="008F6446"/>
    <w:rsid w:val="008F7B47"/>
    <w:rsid w:val="00901529"/>
    <w:rsid w:val="00902968"/>
    <w:rsid w:val="00902EEC"/>
    <w:rsid w:val="00903321"/>
    <w:rsid w:val="00905502"/>
    <w:rsid w:val="00905D3B"/>
    <w:rsid w:val="00906843"/>
    <w:rsid w:val="00906AB6"/>
    <w:rsid w:val="00907C99"/>
    <w:rsid w:val="00907ED7"/>
    <w:rsid w:val="00907EEB"/>
    <w:rsid w:val="00910FB6"/>
    <w:rsid w:val="00911692"/>
    <w:rsid w:val="0091188F"/>
    <w:rsid w:val="00914FE2"/>
    <w:rsid w:val="00915542"/>
    <w:rsid w:val="00915D1F"/>
    <w:rsid w:val="00915F09"/>
    <w:rsid w:val="0091716B"/>
    <w:rsid w:val="00917A90"/>
    <w:rsid w:val="0092026E"/>
    <w:rsid w:val="009205CE"/>
    <w:rsid w:val="00921B38"/>
    <w:rsid w:val="00924618"/>
    <w:rsid w:val="0092484B"/>
    <w:rsid w:val="00927063"/>
    <w:rsid w:val="00927631"/>
    <w:rsid w:val="00927E4F"/>
    <w:rsid w:val="0093066F"/>
    <w:rsid w:val="00930B2E"/>
    <w:rsid w:val="00930BA1"/>
    <w:rsid w:val="00931228"/>
    <w:rsid w:val="0093169E"/>
    <w:rsid w:val="00931FB4"/>
    <w:rsid w:val="0093378B"/>
    <w:rsid w:val="00934B2A"/>
    <w:rsid w:val="00934DF9"/>
    <w:rsid w:val="00935985"/>
    <w:rsid w:val="00935ACC"/>
    <w:rsid w:val="00935CC3"/>
    <w:rsid w:val="0093677E"/>
    <w:rsid w:val="009367B0"/>
    <w:rsid w:val="00936E9E"/>
    <w:rsid w:val="00937D7A"/>
    <w:rsid w:val="00937F36"/>
    <w:rsid w:val="009400A3"/>
    <w:rsid w:val="00940E53"/>
    <w:rsid w:val="009412E1"/>
    <w:rsid w:val="00941364"/>
    <w:rsid w:val="009416AE"/>
    <w:rsid w:val="0094183D"/>
    <w:rsid w:val="0094249D"/>
    <w:rsid w:val="00944850"/>
    <w:rsid w:val="00944F2C"/>
    <w:rsid w:val="0094537B"/>
    <w:rsid w:val="0094570D"/>
    <w:rsid w:val="00947872"/>
    <w:rsid w:val="009505C9"/>
    <w:rsid w:val="009510BF"/>
    <w:rsid w:val="009510E8"/>
    <w:rsid w:val="00951A79"/>
    <w:rsid w:val="009525B9"/>
    <w:rsid w:val="00952D69"/>
    <w:rsid w:val="00953218"/>
    <w:rsid w:val="00953D10"/>
    <w:rsid w:val="00954320"/>
    <w:rsid w:val="009546CD"/>
    <w:rsid w:val="00954E13"/>
    <w:rsid w:val="00955CA3"/>
    <w:rsid w:val="009565EA"/>
    <w:rsid w:val="009569B5"/>
    <w:rsid w:val="00956E89"/>
    <w:rsid w:val="00957182"/>
    <w:rsid w:val="00957514"/>
    <w:rsid w:val="0095770A"/>
    <w:rsid w:val="0095780F"/>
    <w:rsid w:val="0096010B"/>
    <w:rsid w:val="0096258D"/>
    <w:rsid w:val="009636C5"/>
    <w:rsid w:val="009638F9"/>
    <w:rsid w:val="0096788E"/>
    <w:rsid w:val="0097292C"/>
    <w:rsid w:val="00972C4C"/>
    <w:rsid w:val="00973309"/>
    <w:rsid w:val="00973F0B"/>
    <w:rsid w:val="00974F45"/>
    <w:rsid w:val="0097692E"/>
    <w:rsid w:val="00976A79"/>
    <w:rsid w:val="00976CFD"/>
    <w:rsid w:val="009804C8"/>
    <w:rsid w:val="0098055F"/>
    <w:rsid w:val="009808D1"/>
    <w:rsid w:val="00980EF7"/>
    <w:rsid w:val="00981E09"/>
    <w:rsid w:val="00982E7C"/>
    <w:rsid w:val="00983DC5"/>
    <w:rsid w:val="00984662"/>
    <w:rsid w:val="0098644E"/>
    <w:rsid w:val="00986C40"/>
    <w:rsid w:val="00987884"/>
    <w:rsid w:val="009878A1"/>
    <w:rsid w:val="009879B1"/>
    <w:rsid w:val="00990192"/>
    <w:rsid w:val="0099026A"/>
    <w:rsid w:val="009917DD"/>
    <w:rsid w:val="0099233A"/>
    <w:rsid w:val="00993942"/>
    <w:rsid w:val="00993D3C"/>
    <w:rsid w:val="00995BE0"/>
    <w:rsid w:val="00995D59"/>
    <w:rsid w:val="00995D65"/>
    <w:rsid w:val="0099620B"/>
    <w:rsid w:val="009965FF"/>
    <w:rsid w:val="00997599"/>
    <w:rsid w:val="00997739"/>
    <w:rsid w:val="00997DD0"/>
    <w:rsid w:val="009A040E"/>
    <w:rsid w:val="009A0F34"/>
    <w:rsid w:val="009A1231"/>
    <w:rsid w:val="009A168C"/>
    <w:rsid w:val="009A1B5E"/>
    <w:rsid w:val="009A24BB"/>
    <w:rsid w:val="009A2788"/>
    <w:rsid w:val="009A32E3"/>
    <w:rsid w:val="009A361D"/>
    <w:rsid w:val="009A3701"/>
    <w:rsid w:val="009A44DE"/>
    <w:rsid w:val="009A492C"/>
    <w:rsid w:val="009A6961"/>
    <w:rsid w:val="009A77BA"/>
    <w:rsid w:val="009A7A31"/>
    <w:rsid w:val="009B00D2"/>
    <w:rsid w:val="009B05D6"/>
    <w:rsid w:val="009B155E"/>
    <w:rsid w:val="009B2FF6"/>
    <w:rsid w:val="009B3328"/>
    <w:rsid w:val="009B504A"/>
    <w:rsid w:val="009B68F1"/>
    <w:rsid w:val="009B71B1"/>
    <w:rsid w:val="009B7C8C"/>
    <w:rsid w:val="009C0950"/>
    <w:rsid w:val="009C0A8F"/>
    <w:rsid w:val="009C3109"/>
    <w:rsid w:val="009C3E67"/>
    <w:rsid w:val="009C4306"/>
    <w:rsid w:val="009C5649"/>
    <w:rsid w:val="009C5B90"/>
    <w:rsid w:val="009C7256"/>
    <w:rsid w:val="009C777B"/>
    <w:rsid w:val="009D1D40"/>
    <w:rsid w:val="009D1DB1"/>
    <w:rsid w:val="009D2536"/>
    <w:rsid w:val="009D31B9"/>
    <w:rsid w:val="009D3890"/>
    <w:rsid w:val="009D3912"/>
    <w:rsid w:val="009D3DBE"/>
    <w:rsid w:val="009D61D9"/>
    <w:rsid w:val="009D680F"/>
    <w:rsid w:val="009D724D"/>
    <w:rsid w:val="009D7ADF"/>
    <w:rsid w:val="009E03A9"/>
    <w:rsid w:val="009E0E92"/>
    <w:rsid w:val="009E1162"/>
    <w:rsid w:val="009E4253"/>
    <w:rsid w:val="009E52FF"/>
    <w:rsid w:val="009E53CA"/>
    <w:rsid w:val="009E5DA6"/>
    <w:rsid w:val="009E7073"/>
    <w:rsid w:val="009E769B"/>
    <w:rsid w:val="009F3596"/>
    <w:rsid w:val="009F453C"/>
    <w:rsid w:val="009F5107"/>
    <w:rsid w:val="009F556C"/>
    <w:rsid w:val="009F5C54"/>
    <w:rsid w:val="009F654B"/>
    <w:rsid w:val="009F6D20"/>
    <w:rsid w:val="00A00B84"/>
    <w:rsid w:val="00A01088"/>
    <w:rsid w:val="00A0188A"/>
    <w:rsid w:val="00A01EC3"/>
    <w:rsid w:val="00A022AF"/>
    <w:rsid w:val="00A02E05"/>
    <w:rsid w:val="00A031F9"/>
    <w:rsid w:val="00A036A8"/>
    <w:rsid w:val="00A03D76"/>
    <w:rsid w:val="00A04501"/>
    <w:rsid w:val="00A058C4"/>
    <w:rsid w:val="00A06303"/>
    <w:rsid w:val="00A06AB2"/>
    <w:rsid w:val="00A06B26"/>
    <w:rsid w:val="00A1390B"/>
    <w:rsid w:val="00A1401A"/>
    <w:rsid w:val="00A145C5"/>
    <w:rsid w:val="00A14D7D"/>
    <w:rsid w:val="00A161C5"/>
    <w:rsid w:val="00A16E5D"/>
    <w:rsid w:val="00A17258"/>
    <w:rsid w:val="00A21F60"/>
    <w:rsid w:val="00A22F2E"/>
    <w:rsid w:val="00A249FC"/>
    <w:rsid w:val="00A2598F"/>
    <w:rsid w:val="00A26847"/>
    <w:rsid w:val="00A27AB9"/>
    <w:rsid w:val="00A27B00"/>
    <w:rsid w:val="00A27BAB"/>
    <w:rsid w:val="00A312B6"/>
    <w:rsid w:val="00A31DA9"/>
    <w:rsid w:val="00A321ED"/>
    <w:rsid w:val="00A32E61"/>
    <w:rsid w:val="00A355DF"/>
    <w:rsid w:val="00A3686B"/>
    <w:rsid w:val="00A36D47"/>
    <w:rsid w:val="00A36E1F"/>
    <w:rsid w:val="00A37174"/>
    <w:rsid w:val="00A3727A"/>
    <w:rsid w:val="00A401D1"/>
    <w:rsid w:val="00A407FA"/>
    <w:rsid w:val="00A40AEC"/>
    <w:rsid w:val="00A41C31"/>
    <w:rsid w:val="00A41CC6"/>
    <w:rsid w:val="00A443B9"/>
    <w:rsid w:val="00A44543"/>
    <w:rsid w:val="00A4466B"/>
    <w:rsid w:val="00A44BC3"/>
    <w:rsid w:val="00A453F6"/>
    <w:rsid w:val="00A47014"/>
    <w:rsid w:val="00A50897"/>
    <w:rsid w:val="00A50F39"/>
    <w:rsid w:val="00A5190D"/>
    <w:rsid w:val="00A519CE"/>
    <w:rsid w:val="00A52A95"/>
    <w:rsid w:val="00A532A5"/>
    <w:rsid w:val="00A540B8"/>
    <w:rsid w:val="00A5733C"/>
    <w:rsid w:val="00A60B69"/>
    <w:rsid w:val="00A61DB7"/>
    <w:rsid w:val="00A631E2"/>
    <w:rsid w:val="00A6379F"/>
    <w:rsid w:val="00A64600"/>
    <w:rsid w:val="00A6475A"/>
    <w:rsid w:val="00A671C8"/>
    <w:rsid w:val="00A6736F"/>
    <w:rsid w:val="00A67673"/>
    <w:rsid w:val="00A70A01"/>
    <w:rsid w:val="00A7178E"/>
    <w:rsid w:val="00A72140"/>
    <w:rsid w:val="00A736E5"/>
    <w:rsid w:val="00A736FB"/>
    <w:rsid w:val="00A73A31"/>
    <w:rsid w:val="00A743DE"/>
    <w:rsid w:val="00A747DA"/>
    <w:rsid w:val="00A75675"/>
    <w:rsid w:val="00A766BC"/>
    <w:rsid w:val="00A76EE0"/>
    <w:rsid w:val="00A771E6"/>
    <w:rsid w:val="00A77AED"/>
    <w:rsid w:val="00A77C40"/>
    <w:rsid w:val="00A77D0E"/>
    <w:rsid w:val="00A80D08"/>
    <w:rsid w:val="00A81036"/>
    <w:rsid w:val="00A811C4"/>
    <w:rsid w:val="00A8161D"/>
    <w:rsid w:val="00A81E27"/>
    <w:rsid w:val="00A8368A"/>
    <w:rsid w:val="00A838B7"/>
    <w:rsid w:val="00A83BE2"/>
    <w:rsid w:val="00A84349"/>
    <w:rsid w:val="00A8573B"/>
    <w:rsid w:val="00A87ABE"/>
    <w:rsid w:val="00A87D93"/>
    <w:rsid w:val="00A90A8F"/>
    <w:rsid w:val="00A91127"/>
    <w:rsid w:val="00A91FDA"/>
    <w:rsid w:val="00A94C20"/>
    <w:rsid w:val="00A954CA"/>
    <w:rsid w:val="00A954EA"/>
    <w:rsid w:val="00A95D08"/>
    <w:rsid w:val="00A9780D"/>
    <w:rsid w:val="00AA0CFD"/>
    <w:rsid w:val="00AA168C"/>
    <w:rsid w:val="00AA1B26"/>
    <w:rsid w:val="00AA249D"/>
    <w:rsid w:val="00AA2830"/>
    <w:rsid w:val="00AA2833"/>
    <w:rsid w:val="00AA43F1"/>
    <w:rsid w:val="00AA4D9B"/>
    <w:rsid w:val="00AA52B6"/>
    <w:rsid w:val="00AA6916"/>
    <w:rsid w:val="00AA6F45"/>
    <w:rsid w:val="00AB1824"/>
    <w:rsid w:val="00AB18CD"/>
    <w:rsid w:val="00AB1CEB"/>
    <w:rsid w:val="00AB2491"/>
    <w:rsid w:val="00AB3696"/>
    <w:rsid w:val="00AB465C"/>
    <w:rsid w:val="00AB471B"/>
    <w:rsid w:val="00AB4A1B"/>
    <w:rsid w:val="00AB6A44"/>
    <w:rsid w:val="00AB730A"/>
    <w:rsid w:val="00AC0AA0"/>
    <w:rsid w:val="00AC0B52"/>
    <w:rsid w:val="00AC0BD2"/>
    <w:rsid w:val="00AC14A0"/>
    <w:rsid w:val="00AC14FF"/>
    <w:rsid w:val="00AC27A6"/>
    <w:rsid w:val="00AC37F8"/>
    <w:rsid w:val="00AC3CEA"/>
    <w:rsid w:val="00AC41A4"/>
    <w:rsid w:val="00AC46E3"/>
    <w:rsid w:val="00AC4CE2"/>
    <w:rsid w:val="00AC7EA2"/>
    <w:rsid w:val="00AD066C"/>
    <w:rsid w:val="00AD3F09"/>
    <w:rsid w:val="00AD4231"/>
    <w:rsid w:val="00AD4775"/>
    <w:rsid w:val="00AD627A"/>
    <w:rsid w:val="00AD73B3"/>
    <w:rsid w:val="00AD7A12"/>
    <w:rsid w:val="00AD7DD3"/>
    <w:rsid w:val="00AD7FE5"/>
    <w:rsid w:val="00AE0278"/>
    <w:rsid w:val="00AE066A"/>
    <w:rsid w:val="00AE0C7A"/>
    <w:rsid w:val="00AE0E35"/>
    <w:rsid w:val="00AE23C4"/>
    <w:rsid w:val="00AE2BC4"/>
    <w:rsid w:val="00AE2F5E"/>
    <w:rsid w:val="00AE3B5D"/>
    <w:rsid w:val="00AE4C83"/>
    <w:rsid w:val="00AE5D3C"/>
    <w:rsid w:val="00AE5DC4"/>
    <w:rsid w:val="00AE7B46"/>
    <w:rsid w:val="00AF0908"/>
    <w:rsid w:val="00AF1065"/>
    <w:rsid w:val="00AF1737"/>
    <w:rsid w:val="00AF33FE"/>
    <w:rsid w:val="00AF3613"/>
    <w:rsid w:val="00AF4D43"/>
    <w:rsid w:val="00AF5B4A"/>
    <w:rsid w:val="00AF5D11"/>
    <w:rsid w:val="00AF7541"/>
    <w:rsid w:val="00AF76D2"/>
    <w:rsid w:val="00AF7E4A"/>
    <w:rsid w:val="00B0002C"/>
    <w:rsid w:val="00B006DA"/>
    <w:rsid w:val="00B00837"/>
    <w:rsid w:val="00B00B87"/>
    <w:rsid w:val="00B01C09"/>
    <w:rsid w:val="00B020C9"/>
    <w:rsid w:val="00B025FE"/>
    <w:rsid w:val="00B026E6"/>
    <w:rsid w:val="00B034B9"/>
    <w:rsid w:val="00B0379B"/>
    <w:rsid w:val="00B03CED"/>
    <w:rsid w:val="00B03F19"/>
    <w:rsid w:val="00B04164"/>
    <w:rsid w:val="00B0516D"/>
    <w:rsid w:val="00B0580E"/>
    <w:rsid w:val="00B066A8"/>
    <w:rsid w:val="00B07F0E"/>
    <w:rsid w:val="00B101CE"/>
    <w:rsid w:val="00B10382"/>
    <w:rsid w:val="00B10A41"/>
    <w:rsid w:val="00B114CD"/>
    <w:rsid w:val="00B11AFF"/>
    <w:rsid w:val="00B133CA"/>
    <w:rsid w:val="00B1378A"/>
    <w:rsid w:val="00B13C80"/>
    <w:rsid w:val="00B147FF"/>
    <w:rsid w:val="00B14BE3"/>
    <w:rsid w:val="00B14DFE"/>
    <w:rsid w:val="00B14EC1"/>
    <w:rsid w:val="00B1517E"/>
    <w:rsid w:val="00B1626A"/>
    <w:rsid w:val="00B1674E"/>
    <w:rsid w:val="00B1683C"/>
    <w:rsid w:val="00B1698C"/>
    <w:rsid w:val="00B17DEB"/>
    <w:rsid w:val="00B2166C"/>
    <w:rsid w:val="00B21CBD"/>
    <w:rsid w:val="00B24E31"/>
    <w:rsid w:val="00B253F8"/>
    <w:rsid w:val="00B25BC0"/>
    <w:rsid w:val="00B26027"/>
    <w:rsid w:val="00B26126"/>
    <w:rsid w:val="00B2614A"/>
    <w:rsid w:val="00B2693B"/>
    <w:rsid w:val="00B27570"/>
    <w:rsid w:val="00B27A20"/>
    <w:rsid w:val="00B30986"/>
    <w:rsid w:val="00B32950"/>
    <w:rsid w:val="00B32DCD"/>
    <w:rsid w:val="00B3369F"/>
    <w:rsid w:val="00B34BC8"/>
    <w:rsid w:val="00B34D80"/>
    <w:rsid w:val="00B35127"/>
    <w:rsid w:val="00B35254"/>
    <w:rsid w:val="00B35538"/>
    <w:rsid w:val="00B35D62"/>
    <w:rsid w:val="00B36BD1"/>
    <w:rsid w:val="00B37672"/>
    <w:rsid w:val="00B37B84"/>
    <w:rsid w:val="00B37F1F"/>
    <w:rsid w:val="00B4013E"/>
    <w:rsid w:val="00B406D0"/>
    <w:rsid w:val="00B41CCC"/>
    <w:rsid w:val="00B431D3"/>
    <w:rsid w:val="00B44A81"/>
    <w:rsid w:val="00B4555E"/>
    <w:rsid w:val="00B45E7C"/>
    <w:rsid w:val="00B46B38"/>
    <w:rsid w:val="00B46D13"/>
    <w:rsid w:val="00B46D45"/>
    <w:rsid w:val="00B46D8A"/>
    <w:rsid w:val="00B47645"/>
    <w:rsid w:val="00B478E6"/>
    <w:rsid w:val="00B4793F"/>
    <w:rsid w:val="00B50072"/>
    <w:rsid w:val="00B51C7D"/>
    <w:rsid w:val="00B52A26"/>
    <w:rsid w:val="00B52D39"/>
    <w:rsid w:val="00B539C5"/>
    <w:rsid w:val="00B53C89"/>
    <w:rsid w:val="00B53DE8"/>
    <w:rsid w:val="00B5445F"/>
    <w:rsid w:val="00B54F05"/>
    <w:rsid w:val="00B55311"/>
    <w:rsid w:val="00B561C8"/>
    <w:rsid w:val="00B5727E"/>
    <w:rsid w:val="00B5773D"/>
    <w:rsid w:val="00B60D68"/>
    <w:rsid w:val="00B60E69"/>
    <w:rsid w:val="00B612ED"/>
    <w:rsid w:val="00B61D0F"/>
    <w:rsid w:val="00B61E10"/>
    <w:rsid w:val="00B61F63"/>
    <w:rsid w:val="00B62048"/>
    <w:rsid w:val="00B62E10"/>
    <w:rsid w:val="00B63225"/>
    <w:rsid w:val="00B6433F"/>
    <w:rsid w:val="00B65B4D"/>
    <w:rsid w:val="00B66007"/>
    <w:rsid w:val="00B6627E"/>
    <w:rsid w:val="00B66899"/>
    <w:rsid w:val="00B66E65"/>
    <w:rsid w:val="00B7000F"/>
    <w:rsid w:val="00B705D4"/>
    <w:rsid w:val="00B70744"/>
    <w:rsid w:val="00B7298C"/>
    <w:rsid w:val="00B732A7"/>
    <w:rsid w:val="00B735C6"/>
    <w:rsid w:val="00B73A58"/>
    <w:rsid w:val="00B73B45"/>
    <w:rsid w:val="00B74F15"/>
    <w:rsid w:val="00B75451"/>
    <w:rsid w:val="00B764CC"/>
    <w:rsid w:val="00B76588"/>
    <w:rsid w:val="00B766D0"/>
    <w:rsid w:val="00B76739"/>
    <w:rsid w:val="00B76A6E"/>
    <w:rsid w:val="00B77606"/>
    <w:rsid w:val="00B8053E"/>
    <w:rsid w:val="00B80D42"/>
    <w:rsid w:val="00B82746"/>
    <w:rsid w:val="00B84963"/>
    <w:rsid w:val="00B84B9A"/>
    <w:rsid w:val="00B8583B"/>
    <w:rsid w:val="00B8593D"/>
    <w:rsid w:val="00B85C8A"/>
    <w:rsid w:val="00B8600A"/>
    <w:rsid w:val="00B8666F"/>
    <w:rsid w:val="00B87D49"/>
    <w:rsid w:val="00B9065B"/>
    <w:rsid w:val="00B91757"/>
    <w:rsid w:val="00B91C4F"/>
    <w:rsid w:val="00B924F5"/>
    <w:rsid w:val="00B92AFA"/>
    <w:rsid w:val="00B9325D"/>
    <w:rsid w:val="00B93B61"/>
    <w:rsid w:val="00B949ED"/>
    <w:rsid w:val="00B96299"/>
    <w:rsid w:val="00B96543"/>
    <w:rsid w:val="00B96BA1"/>
    <w:rsid w:val="00B97247"/>
    <w:rsid w:val="00B9773C"/>
    <w:rsid w:val="00BA1282"/>
    <w:rsid w:val="00BA1E17"/>
    <w:rsid w:val="00BA2125"/>
    <w:rsid w:val="00BA4C04"/>
    <w:rsid w:val="00BA5606"/>
    <w:rsid w:val="00BA69AB"/>
    <w:rsid w:val="00BA7132"/>
    <w:rsid w:val="00BA7836"/>
    <w:rsid w:val="00BB1124"/>
    <w:rsid w:val="00BB1D6F"/>
    <w:rsid w:val="00BB1ECF"/>
    <w:rsid w:val="00BB2C85"/>
    <w:rsid w:val="00BB325F"/>
    <w:rsid w:val="00BB4C32"/>
    <w:rsid w:val="00BB4FA0"/>
    <w:rsid w:val="00BB5088"/>
    <w:rsid w:val="00BB58B7"/>
    <w:rsid w:val="00BB6710"/>
    <w:rsid w:val="00BC041B"/>
    <w:rsid w:val="00BC0795"/>
    <w:rsid w:val="00BC1733"/>
    <w:rsid w:val="00BC19B4"/>
    <w:rsid w:val="00BC1A97"/>
    <w:rsid w:val="00BC1B22"/>
    <w:rsid w:val="00BC26EE"/>
    <w:rsid w:val="00BC290F"/>
    <w:rsid w:val="00BC3168"/>
    <w:rsid w:val="00BC35E7"/>
    <w:rsid w:val="00BC35F1"/>
    <w:rsid w:val="00BC50B6"/>
    <w:rsid w:val="00BC5814"/>
    <w:rsid w:val="00BC5F1E"/>
    <w:rsid w:val="00BC690F"/>
    <w:rsid w:val="00BC74A8"/>
    <w:rsid w:val="00BC7802"/>
    <w:rsid w:val="00BC792D"/>
    <w:rsid w:val="00BD09CC"/>
    <w:rsid w:val="00BD1046"/>
    <w:rsid w:val="00BD18FB"/>
    <w:rsid w:val="00BD20CD"/>
    <w:rsid w:val="00BD2759"/>
    <w:rsid w:val="00BD3002"/>
    <w:rsid w:val="00BD3C5C"/>
    <w:rsid w:val="00BD4113"/>
    <w:rsid w:val="00BD4162"/>
    <w:rsid w:val="00BD6514"/>
    <w:rsid w:val="00BD65BF"/>
    <w:rsid w:val="00BD7DC6"/>
    <w:rsid w:val="00BE0B0E"/>
    <w:rsid w:val="00BE103C"/>
    <w:rsid w:val="00BE2955"/>
    <w:rsid w:val="00BE31DA"/>
    <w:rsid w:val="00BE4076"/>
    <w:rsid w:val="00BE436D"/>
    <w:rsid w:val="00BE5D4C"/>
    <w:rsid w:val="00BE62AB"/>
    <w:rsid w:val="00BE64B4"/>
    <w:rsid w:val="00BE7A7D"/>
    <w:rsid w:val="00BE7CFD"/>
    <w:rsid w:val="00BF0D3E"/>
    <w:rsid w:val="00BF0D6D"/>
    <w:rsid w:val="00BF0F8E"/>
    <w:rsid w:val="00BF182B"/>
    <w:rsid w:val="00BF1CC5"/>
    <w:rsid w:val="00BF3B5F"/>
    <w:rsid w:val="00BF3EB6"/>
    <w:rsid w:val="00BF3EF6"/>
    <w:rsid w:val="00BF4519"/>
    <w:rsid w:val="00BF4795"/>
    <w:rsid w:val="00BF5686"/>
    <w:rsid w:val="00BF575A"/>
    <w:rsid w:val="00BF665D"/>
    <w:rsid w:val="00BF76FC"/>
    <w:rsid w:val="00BF7FDD"/>
    <w:rsid w:val="00BF7FF7"/>
    <w:rsid w:val="00C0144C"/>
    <w:rsid w:val="00C01A30"/>
    <w:rsid w:val="00C0348D"/>
    <w:rsid w:val="00C034C1"/>
    <w:rsid w:val="00C034F3"/>
    <w:rsid w:val="00C03B52"/>
    <w:rsid w:val="00C07A90"/>
    <w:rsid w:val="00C1054E"/>
    <w:rsid w:val="00C1121D"/>
    <w:rsid w:val="00C11B1F"/>
    <w:rsid w:val="00C136CF"/>
    <w:rsid w:val="00C14048"/>
    <w:rsid w:val="00C14651"/>
    <w:rsid w:val="00C14A91"/>
    <w:rsid w:val="00C150A2"/>
    <w:rsid w:val="00C20072"/>
    <w:rsid w:val="00C207E1"/>
    <w:rsid w:val="00C2442F"/>
    <w:rsid w:val="00C24472"/>
    <w:rsid w:val="00C24486"/>
    <w:rsid w:val="00C24591"/>
    <w:rsid w:val="00C24807"/>
    <w:rsid w:val="00C25938"/>
    <w:rsid w:val="00C262C0"/>
    <w:rsid w:val="00C264EE"/>
    <w:rsid w:val="00C307EE"/>
    <w:rsid w:val="00C30A2E"/>
    <w:rsid w:val="00C30A53"/>
    <w:rsid w:val="00C30BA3"/>
    <w:rsid w:val="00C316CB"/>
    <w:rsid w:val="00C32285"/>
    <w:rsid w:val="00C32D24"/>
    <w:rsid w:val="00C357C1"/>
    <w:rsid w:val="00C364D4"/>
    <w:rsid w:val="00C36A98"/>
    <w:rsid w:val="00C36DF7"/>
    <w:rsid w:val="00C37B7F"/>
    <w:rsid w:val="00C37EE0"/>
    <w:rsid w:val="00C417BE"/>
    <w:rsid w:val="00C420BD"/>
    <w:rsid w:val="00C42931"/>
    <w:rsid w:val="00C42ADB"/>
    <w:rsid w:val="00C435E4"/>
    <w:rsid w:val="00C443BD"/>
    <w:rsid w:val="00C45897"/>
    <w:rsid w:val="00C462FF"/>
    <w:rsid w:val="00C4721C"/>
    <w:rsid w:val="00C50348"/>
    <w:rsid w:val="00C50B5A"/>
    <w:rsid w:val="00C50BA5"/>
    <w:rsid w:val="00C52568"/>
    <w:rsid w:val="00C52B13"/>
    <w:rsid w:val="00C52B18"/>
    <w:rsid w:val="00C52E97"/>
    <w:rsid w:val="00C544B8"/>
    <w:rsid w:val="00C544BB"/>
    <w:rsid w:val="00C551B6"/>
    <w:rsid w:val="00C554E9"/>
    <w:rsid w:val="00C60300"/>
    <w:rsid w:val="00C60ED0"/>
    <w:rsid w:val="00C6104B"/>
    <w:rsid w:val="00C616B7"/>
    <w:rsid w:val="00C62FDB"/>
    <w:rsid w:val="00C64883"/>
    <w:rsid w:val="00C64FBF"/>
    <w:rsid w:val="00C65164"/>
    <w:rsid w:val="00C65553"/>
    <w:rsid w:val="00C6594E"/>
    <w:rsid w:val="00C66BC0"/>
    <w:rsid w:val="00C66D21"/>
    <w:rsid w:val="00C672AA"/>
    <w:rsid w:val="00C67900"/>
    <w:rsid w:val="00C67D15"/>
    <w:rsid w:val="00C70105"/>
    <w:rsid w:val="00C70274"/>
    <w:rsid w:val="00C70843"/>
    <w:rsid w:val="00C71A50"/>
    <w:rsid w:val="00C71C9E"/>
    <w:rsid w:val="00C73D80"/>
    <w:rsid w:val="00C74260"/>
    <w:rsid w:val="00C76A10"/>
    <w:rsid w:val="00C778C9"/>
    <w:rsid w:val="00C77D5B"/>
    <w:rsid w:val="00C804FB"/>
    <w:rsid w:val="00C80FEC"/>
    <w:rsid w:val="00C81A7B"/>
    <w:rsid w:val="00C81F67"/>
    <w:rsid w:val="00C82000"/>
    <w:rsid w:val="00C82AF8"/>
    <w:rsid w:val="00C834F7"/>
    <w:rsid w:val="00C83874"/>
    <w:rsid w:val="00C85375"/>
    <w:rsid w:val="00C862ED"/>
    <w:rsid w:val="00C87CFB"/>
    <w:rsid w:val="00C9161D"/>
    <w:rsid w:val="00C91A08"/>
    <w:rsid w:val="00C92E48"/>
    <w:rsid w:val="00C93A75"/>
    <w:rsid w:val="00C94A1B"/>
    <w:rsid w:val="00C94FBE"/>
    <w:rsid w:val="00C95AFE"/>
    <w:rsid w:val="00C97B82"/>
    <w:rsid w:val="00CA06D1"/>
    <w:rsid w:val="00CA0A99"/>
    <w:rsid w:val="00CA10B8"/>
    <w:rsid w:val="00CA1E30"/>
    <w:rsid w:val="00CA210C"/>
    <w:rsid w:val="00CA291B"/>
    <w:rsid w:val="00CA3404"/>
    <w:rsid w:val="00CA3A99"/>
    <w:rsid w:val="00CA455F"/>
    <w:rsid w:val="00CA4567"/>
    <w:rsid w:val="00CA5C46"/>
    <w:rsid w:val="00CA5CFB"/>
    <w:rsid w:val="00CB0020"/>
    <w:rsid w:val="00CB008B"/>
    <w:rsid w:val="00CB086A"/>
    <w:rsid w:val="00CB0BE3"/>
    <w:rsid w:val="00CB0ECF"/>
    <w:rsid w:val="00CB12CE"/>
    <w:rsid w:val="00CB2A08"/>
    <w:rsid w:val="00CB2A8C"/>
    <w:rsid w:val="00CB2EA5"/>
    <w:rsid w:val="00CB3226"/>
    <w:rsid w:val="00CB3711"/>
    <w:rsid w:val="00CB3CF6"/>
    <w:rsid w:val="00CB4CBE"/>
    <w:rsid w:val="00CB5F3C"/>
    <w:rsid w:val="00CB74F9"/>
    <w:rsid w:val="00CB7B22"/>
    <w:rsid w:val="00CB7C40"/>
    <w:rsid w:val="00CC0179"/>
    <w:rsid w:val="00CC01E0"/>
    <w:rsid w:val="00CC06C0"/>
    <w:rsid w:val="00CC3D2F"/>
    <w:rsid w:val="00CC428A"/>
    <w:rsid w:val="00CC433B"/>
    <w:rsid w:val="00CC5371"/>
    <w:rsid w:val="00CC63EC"/>
    <w:rsid w:val="00CC692D"/>
    <w:rsid w:val="00CC693C"/>
    <w:rsid w:val="00CC6F5B"/>
    <w:rsid w:val="00CC7F6E"/>
    <w:rsid w:val="00CD00FA"/>
    <w:rsid w:val="00CD01CA"/>
    <w:rsid w:val="00CD05F0"/>
    <w:rsid w:val="00CD0CC7"/>
    <w:rsid w:val="00CD1B81"/>
    <w:rsid w:val="00CD3291"/>
    <w:rsid w:val="00CD32DB"/>
    <w:rsid w:val="00CD34D2"/>
    <w:rsid w:val="00CD3FAC"/>
    <w:rsid w:val="00CD4F36"/>
    <w:rsid w:val="00CD4FFB"/>
    <w:rsid w:val="00CD5C43"/>
    <w:rsid w:val="00CD5C7F"/>
    <w:rsid w:val="00CD6330"/>
    <w:rsid w:val="00CD67E9"/>
    <w:rsid w:val="00CD6C75"/>
    <w:rsid w:val="00CD6F21"/>
    <w:rsid w:val="00CE0216"/>
    <w:rsid w:val="00CE045A"/>
    <w:rsid w:val="00CE051A"/>
    <w:rsid w:val="00CE18DC"/>
    <w:rsid w:val="00CE1963"/>
    <w:rsid w:val="00CE1A84"/>
    <w:rsid w:val="00CE1FA7"/>
    <w:rsid w:val="00CE2D44"/>
    <w:rsid w:val="00CE3933"/>
    <w:rsid w:val="00CE3A1D"/>
    <w:rsid w:val="00CE3B39"/>
    <w:rsid w:val="00CE4171"/>
    <w:rsid w:val="00CE50A5"/>
    <w:rsid w:val="00CE53C6"/>
    <w:rsid w:val="00CE645D"/>
    <w:rsid w:val="00CE7AF2"/>
    <w:rsid w:val="00CF05FF"/>
    <w:rsid w:val="00CF0EC5"/>
    <w:rsid w:val="00CF0EDD"/>
    <w:rsid w:val="00CF1848"/>
    <w:rsid w:val="00CF2212"/>
    <w:rsid w:val="00CF22AC"/>
    <w:rsid w:val="00CF2964"/>
    <w:rsid w:val="00CF2B6A"/>
    <w:rsid w:val="00CF4494"/>
    <w:rsid w:val="00CF451C"/>
    <w:rsid w:val="00CF5615"/>
    <w:rsid w:val="00CF70B0"/>
    <w:rsid w:val="00CF7E85"/>
    <w:rsid w:val="00D0054B"/>
    <w:rsid w:val="00D01365"/>
    <w:rsid w:val="00D01367"/>
    <w:rsid w:val="00D01F9D"/>
    <w:rsid w:val="00D02BB8"/>
    <w:rsid w:val="00D02EFB"/>
    <w:rsid w:val="00D031FE"/>
    <w:rsid w:val="00D0444D"/>
    <w:rsid w:val="00D049F6"/>
    <w:rsid w:val="00D04B96"/>
    <w:rsid w:val="00D054D6"/>
    <w:rsid w:val="00D05A08"/>
    <w:rsid w:val="00D062BF"/>
    <w:rsid w:val="00D06FDC"/>
    <w:rsid w:val="00D07269"/>
    <w:rsid w:val="00D075D0"/>
    <w:rsid w:val="00D101AF"/>
    <w:rsid w:val="00D11B4F"/>
    <w:rsid w:val="00D11B53"/>
    <w:rsid w:val="00D11C39"/>
    <w:rsid w:val="00D12044"/>
    <w:rsid w:val="00D15011"/>
    <w:rsid w:val="00D15715"/>
    <w:rsid w:val="00D15E7F"/>
    <w:rsid w:val="00D1781C"/>
    <w:rsid w:val="00D17946"/>
    <w:rsid w:val="00D21C35"/>
    <w:rsid w:val="00D221B7"/>
    <w:rsid w:val="00D2310C"/>
    <w:rsid w:val="00D237CC"/>
    <w:rsid w:val="00D23A63"/>
    <w:rsid w:val="00D23C94"/>
    <w:rsid w:val="00D24F85"/>
    <w:rsid w:val="00D26AA3"/>
    <w:rsid w:val="00D279A0"/>
    <w:rsid w:val="00D31C75"/>
    <w:rsid w:val="00D32711"/>
    <w:rsid w:val="00D32B88"/>
    <w:rsid w:val="00D33924"/>
    <w:rsid w:val="00D33A95"/>
    <w:rsid w:val="00D35787"/>
    <w:rsid w:val="00D366C9"/>
    <w:rsid w:val="00D3679E"/>
    <w:rsid w:val="00D371FC"/>
    <w:rsid w:val="00D41936"/>
    <w:rsid w:val="00D41DD8"/>
    <w:rsid w:val="00D42B76"/>
    <w:rsid w:val="00D42DFB"/>
    <w:rsid w:val="00D43B61"/>
    <w:rsid w:val="00D44513"/>
    <w:rsid w:val="00D44E35"/>
    <w:rsid w:val="00D4505B"/>
    <w:rsid w:val="00D452A7"/>
    <w:rsid w:val="00D456D1"/>
    <w:rsid w:val="00D45C58"/>
    <w:rsid w:val="00D468D1"/>
    <w:rsid w:val="00D46C5D"/>
    <w:rsid w:val="00D478B8"/>
    <w:rsid w:val="00D50EB4"/>
    <w:rsid w:val="00D51E3B"/>
    <w:rsid w:val="00D524CA"/>
    <w:rsid w:val="00D531AF"/>
    <w:rsid w:val="00D54191"/>
    <w:rsid w:val="00D549C6"/>
    <w:rsid w:val="00D54A77"/>
    <w:rsid w:val="00D54B63"/>
    <w:rsid w:val="00D574EB"/>
    <w:rsid w:val="00D5777C"/>
    <w:rsid w:val="00D57DD1"/>
    <w:rsid w:val="00D60204"/>
    <w:rsid w:val="00D603E5"/>
    <w:rsid w:val="00D607F9"/>
    <w:rsid w:val="00D60CCD"/>
    <w:rsid w:val="00D61ABA"/>
    <w:rsid w:val="00D6204D"/>
    <w:rsid w:val="00D631CA"/>
    <w:rsid w:val="00D63213"/>
    <w:rsid w:val="00D63DCB"/>
    <w:rsid w:val="00D63E0E"/>
    <w:rsid w:val="00D663CB"/>
    <w:rsid w:val="00D70787"/>
    <w:rsid w:val="00D709AA"/>
    <w:rsid w:val="00D70BE0"/>
    <w:rsid w:val="00D716AC"/>
    <w:rsid w:val="00D71FA7"/>
    <w:rsid w:val="00D7269A"/>
    <w:rsid w:val="00D726E6"/>
    <w:rsid w:val="00D73826"/>
    <w:rsid w:val="00D73BC0"/>
    <w:rsid w:val="00D74411"/>
    <w:rsid w:val="00D74EEE"/>
    <w:rsid w:val="00D75E92"/>
    <w:rsid w:val="00D76083"/>
    <w:rsid w:val="00D76291"/>
    <w:rsid w:val="00D76A18"/>
    <w:rsid w:val="00D772E7"/>
    <w:rsid w:val="00D77527"/>
    <w:rsid w:val="00D77671"/>
    <w:rsid w:val="00D77983"/>
    <w:rsid w:val="00D8035D"/>
    <w:rsid w:val="00D815A2"/>
    <w:rsid w:val="00D81682"/>
    <w:rsid w:val="00D818E6"/>
    <w:rsid w:val="00D81E2A"/>
    <w:rsid w:val="00D8494C"/>
    <w:rsid w:val="00D850DD"/>
    <w:rsid w:val="00D85D63"/>
    <w:rsid w:val="00D86F92"/>
    <w:rsid w:val="00D87073"/>
    <w:rsid w:val="00D874C4"/>
    <w:rsid w:val="00D878C3"/>
    <w:rsid w:val="00D90262"/>
    <w:rsid w:val="00D903C0"/>
    <w:rsid w:val="00D9172B"/>
    <w:rsid w:val="00D918E9"/>
    <w:rsid w:val="00D92952"/>
    <w:rsid w:val="00D92AAB"/>
    <w:rsid w:val="00D92F93"/>
    <w:rsid w:val="00D93939"/>
    <w:rsid w:val="00D93C0C"/>
    <w:rsid w:val="00D94951"/>
    <w:rsid w:val="00D95824"/>
    <w:rsid w:val="00D958B9"/>
    <w:rsid w:val="00D967EF"/>
    <w:rsid w:val="00D97B53"/>
    <w:rsid w:val="00DA0733"/>
    <w:rsid w:val="00DA2281"/>
    <w:rsid w:val="00DA22A2"/>
    <w:rsid w:val="00DA23D1"/>
    <w:rsid w:val="00DA3835"/>
    <w:rsid w:val="00DA40B8"/>
    <w:rsid w:val="00DA5455"/>
    <w:rsid w:val="00DB0FA2"/>
    <w:rsid w:val="00DB20F3"/>
    <w:rsid w:val="00DB267A"/>
    <w:rsid w:val="00DB2EA9"/>
    <w:rsid w:val="00DB2FCD"/>
    <w:rsid w:val="00DB3573"/>
    <w:rsid w:val="00DB408B"/>
    <w:rsid w:val="00DB411B"/>
    <w:rsid w:val="00DB4C97"/>
    <w:rsid w:val="00DB5896"/>
    <w:rsid w:val="00DB604D"/>
    <w:rsid w:val="00DB7748"/>
    <w:rsid w:val="00DB7A50"/>
    <w:rsid w:val="00DB7EA9"/>
    <w:rsid w:val="00DC0868"/>
    <w:rsid w:val="00DC16B4"/>
    <w:rsid w:val="00DC1783"/>
    <w:rsid w:val="00DC3164"/>
    <w:rsid w:val="00DC332E"/>
    <w:rsid w:val="00DC35D6"/>
    <w:rsid w:val="00DC3F30"/>
    <w:rsid w:val="00DC4946"/>
    <w:rsid w:val="00DC5794"/>
    <w:rsid w:val="00DC5D8B"/>
    <w:rsid w:val="00DC5EA4"/>
    <w:rsid w:val="00DC6AD7"/>
    <w:rsid w:val="00DC76F8"/>
    <w:rsid w:val="00DD0F86"/>
    <w:rsid w:val="00DD118C"/>
    <w:rsid w:val="00DD15AD"/>
    <w:rsid w:val="00DD494C"/>
    <w:rsid w:val="00DD4D02"/>
    <w:rsid w:val="00DD607C"/>
    <w:rsid w:val="00DD65F9"/>
    <w:rsid w:val="00DE02C9"/>
    <w:rsid w:val="00DE0BFF"/>
    <w:rsid w:val="00DE0C30"/>
    <w:rsid w:val="00DE15B0"/>
    <w:rsid w:val="00DE2213"/>
    <w:rsid w:val="00DE22CF"/>
    <w:rsid w:val="00DE310E"/>
    <w:rsid w:val="00DE45E3"/>
    <w:rsid w:val="00DE5A89"/>
    <w:rsid w:val="00DE7189"/>
    <w:rsid w:val="00DE761D"/>
    <w:rsid w:val="00DE7C1C"/>
    <w:rsid w:val="00DE7E8A"/>
    <w:rsid w:val="00DF02EE"/>
    <w:rsid w:val="00DF0AFA"/>
    <w:rsid w:val="00DF113F"/>
    <w:rsid w:val="00DF12A2"/>
    <w:rsid w:val="00DF25D9"/>
    <w:rsid w:val="00DF2803"/>
    <w:rsid w:val="00DF3628"/>
    <w:rsid w:val="00DF3C8F"/>
    <w:rsid w:val="00DF4523"/>
    <w:rsid w:val="00DF4E47"/>
    <w:rsid w:val="00DF4E4D"/>
    <w:rsid w:val="00DF53E2"/>
    <w:rsid w:val="00DF5A5B"/>
    <w:rsid w:val="00E00116"/>
    <w:rsid w:val="00E00338"/>
    <w:rsid w:val="00E0100D"/>
    <w:rsid w:val="00E01BD4"/>
    <w:rsid w:val="00E0326B"/>
    <w:rsid w:val="00E037AB"/>
    <w:rsid w:val="00E03CAB"/>
    <w:rsid w:val="00E04E46"/>
    <w:rsid w:val="00E0536E"/>
    <w:rsid w:val="00E05CCF"/>
    <w:rsid w:val="00E0608A"/>
    <w:rsid w:val="00E06110"/>
    <w:rsid w:val="00E06573"/>
    <w:rsid w:val="00E102D5"/>
    <w:rsid w:val="00E10A69"/>
    <w:rsid w:val="00E10FC0"/>
    <w:rsid w:val="00E116B2"/>
    <w:rsid w:val="00E12110"/>
    <w:rsid w:val="00E122A3"/>
    <w:rsid w:val="00E148D4"/>
    <w:rsid w:val="00E150A2"/>
    <w:rsid w:val="00E17233"/>
    <w:rsid w:val="00E17464"/>
    <w:rsid w:val="00E1765E"/>
    <w:rsid w:val="00E17794"/>
    <w:rsid w:val="00E205B6"/>
    <w:rsid w:val="00E20BB7"/>
    <w:rsid w:val="00E21DC3"/>
    <w:rsid w:val="00E21EEF"/>
    <w:rsid w:val="00E21FFC"/>
    <w:rsid w:val="00E22473"/>
    <w:rsid w:val="00E22CF6"/>
    <w:rsid w:val="00E22F31"/>
    <w:rsid w:val="00E23D1F"/>
    <w:rsid w:val="00E23FB8"/>
    <w:rsid w:val="00E24278"/>
    <w:rsid w:val="00E24B1F"/>
    <w:rsid w:val="00E260B9"/>
    <w:rsid w:val="00E2779C"/>
    <w:rsid w:val="00E27853"/>
    <w:rsid w:val="00E30C71"/>
    <w:rsid w:val="00E31E80"/>
    <w:rsid w:val="00E32BA6"/>
    <w:rsid w:val="00E32BE8"/>
    <w:rsid w:val="00E32E15"/>
    <w:rsid w:val="00E41629"/>
    <w:rsid w:val="00E416FB"/>
    <w:rsid w:val="00E41802"/>
    <w:rsid w:val="00E418FE"/>
    <w:rsid w:val="00E44A7B"/>
    <w:rsid w:val="00E44AD7"/>
    <w:rsid w:val="00E44C5C"/>
    <w:rsid w:val="00E44EA1"/>
    <w:rsid w:val="00E4567A"/>
    <w:rsid w:val="00E4570A"/>
    <w:rsid w:val="00E461D9"/>
    <w:rsid w:val="00E461E4"/>
    <w:rsid w:val="00E46625"/>
    <w:rsid w:val="00E46AA7"/>
    <w:rsid w:val="00E46EB0"/>
    <w:rsid w:val="00E50A1A"/>
    <w:rsid w:val="00E51911"/>
    <w:rsid w:val="00E534DA"/>
    <w:rsid w:val="00E54C50"/>
    <w:rsid w:val="00E559FF"/>
    <w:rsid w:val="00E575AF"/>
    <w:rsid w:val="00E62AA3"/>
    <w:rsid w:val="00E63863"/>
    <w:rsid w:val="00E64428"/>
    <w:rsid w:val="00E65441"/>
    <w:rsid w:val="00E65E74"/>
    <w:rsid w:val="00E66235"/>
    <w:rsid w:val="00E66909"/>
    <w:rsid w:val="00E67F99"/>
    <w:rsid w:val="00E70C2D"/>
    <w:rsid w:val="00E70F47"/>
    <w:rsid w:val="00E72308"/>
    <w:rsid w:val="00E72CE9"/>
    <w:rsid w:val="00E734EE"/>
    <w:rsid w:val="00E7351A"/>
    <w:rsid w:val="00E74B49"/>
    <w:rsid w:val="00E74FED"/>
    <w:rsid w:val="00E75371"/>
    <w:rsid w:val="00E75C4E"/>
    <w:rsid w:val="00E76BE1"/>
    <w:rsid w:val="00E778B6"/>
    <w:rsid w:val="00E77C8F"/>
    <w:rsid w:val="00E77F6C"/>
    <w:rsid w:val="00E80084"/>
    <w:rsid w:val="00E801D7"/>
    <w:rsid w:val="00E81A03"/>
    <w:rsid w:val="00E82A53"/>
    <w:rsid w:val="00E82C68"/>
    <w:rsid w:val="00E82FBE"/>
    <w:rsid w:val="00E83387"/>
    <w:rsid w:val="00E834DB"/>
    <w:rsid w:val="00E8355A"/>
    <w:rsid w:val="00E835DE"/>
    <w:rsid w:val="00E835F2"/>
    <w:rsid w:val="00E83739"/>
    <w:rsid w:val="00E83C24"/>
    <w:rsid w:val="00E854E0"/>
    <w:rsid w:val="00E8572E"/>
    <w:rsid w:val="00E85B9D"/>
    <w:rsid w:val="00E86CDB"/>
    <w:rsid w:val="00E86F4F"/>
    <w:rsid w:val="00E879E4"/>
    <w:rsid w:val="00E915DD"/>
    <w:rsid w:val="00E91A6F"/>
    <w:rsid w:val="00E91F9F"/>
    <w:rsid w:val="00E92512"/>
    <w:rsid w:val="00E92B10"/>
    <w:rsid w:val="00E9318D"/>
    <w:rsid w:val="00E9333B"/>
    <w:rsid w:val="00E93C38"/>
    <w:rsid w:val="00E93DC7"/>
    <w:rsid w:val="00E93F51"/>
    <w:rsid w:val="00E9515C"/>
    <w:rsid w:val="00E95C1D"/>
    <w:rsid w:val="00E95E85"/>
    <w:rsid w:val="00E96566"/>
    <w:rsid w:val="00EA006B"/>
    <w:rsid w:val="00EA01C1"/>
    <w:rsid w:val="00EA022A"/>
    <w:rsid w:val="00EA0B72"/>
    <w:rsid w:val="00EA1ED6"/>
    <w:rsid w:val="00EA1F87"/>
    <w:rsid w:val="00EA22A5"/>
    <w:rsid w:val="00EA2E0F"/>
    <w:rsid w:val="00EA3043"/>
    <w:rsid w:val="00EA39FD"/>
    <w:rsid w:val="00EA41A7"/>
    <w:rsid w:val="00EA492F"/>
    <w:rsid w:val="00EA5C3F"/>
    <w:rsid w:val="00EA5F80"/>
    <w:rsid w:val="00EA782B"/>
    <w:rsid w:val="00EA7F0F"/>
    <w:rsid w:val="00EB0333"/>
    <w:rsid w:val="00EB137A"/>
    <w:rsid w:val="00EB3581"/>
    <w:rsid w:val="00EB5197"/>
    <w:rsid w:val="00EB5643"/>
    <w:rsid w:val="00EB5876"/>
    <w:rsid w:val="00EB610B"/>
    <w:rsid w:val="00EB7642"/>
    <w:rsid w:val="00EB7B0B"/>
    <w:rsid w:val="00EB7DD5"/>
    <w:rsid w:val="00EB7F86"/>
    <w:rsid w:val="00EC1A88"/>
    <w:rsid w:val="00EC2683"/>
    <w:rsid w:val="00EC2717"/>
    <w:rsid w:val="00EC30A6"/>
    <w:rsid w:val="00EC7BCA"/>
    <w:rsid w:val="00EC7C31"/>
    <w:rsid w:val="00ED004D"/>
    <w:rsid w:val="00ED036F"/>
    <w:rsid w:val="00ED0C7C"/>
    <w:rsid w:val="00ED3C09"/>
    <w:rsid w:val="00ED4460"/>
    <w:rsid w:val="00ED47AA"/>
    <w:rsid w:val="00ED500A"/>
    <w:rsid w:val="00ED5A97"/>
    <w:rsid w:val="00ED5B2A"/>
    <w:rsid w:val="00ED650F"/>
    <w:rsid w:val="00ED683E"/>
    <w:rsid w:val="00ED6AF0"/>
    <w:rsid w:val="00ED6C99"/>
    <w:rsid w:val="00ED6DC8"/>
    <w:rsid w:val="00ED7041"/>
    <w:rsid w:val="00ED7294"/>
    <w:rsid w:val="00ED760B"/>
    <w:rsid w:val="00ED77A0"/>
    <w:rsid w:val="00EE07D0"/>
    <w:rsid w:val="00EE11AF"/>
    <w:rsid w:val="00EE14C8"/>
    <w:rsid w:val="00EE2EF5"/>
    <w:rsid w:val="00EE359D"/>
    <w:rsid w:val="00EE3D40"/>
    <w:rsid w:val="00EE3E72"/>
    <w:rsid w:val="00EE5F5C"/>
    <w:rsid w:val="00EE6131"/>
    <w:rsid w:val="00EE66DC"/>
    <w:rsid w:val="00EE6889"/>
    <w:rsid w:val="00EE6CE0"/>
    <w:rsid w:val="00EE7E9E"/>
    <w:rsid w:val="00EF0D90"/>
    <w:rsid w:val="00EF1BEC"/>
    <w:rsid w:val="00EF208A"/>
    <w:rsid w:val="00EF3DA8"/>
    <w:rsid w:val="00EF45B2"/>
    <w:rsid w:val="00EF4DA8"/>
    <w:rsid w:val="00EF596F"/>
    <w:rsid w:val="00EF5B39"/>
    <w:rsid w:val="00EF6E62"/>
    <w:rsid w:val="00EF7998"/>
    <w:rsid w:val="00F009F9"/>
    <w:rsid w:val="00F00AAF"/>
    <w:rsid w:val="00F00AF4"/>
    <w:rsid w:val="00F00D59"/>
    <w:rsid w:val="00F0182B"/>
    <w:rsid w:val="00F01970"/>
    <w:rsid w:val="00F028A9"/>
    <w:rsid w:val="00F02B0E"/>
    <w:rsid w:val="00F036D5"/>
    <w:rsid w:val="00F036E8"/>
    <w:rsid w:val="00F0395B"/>
    <w:rsid w:val="00F0425A"/>
    <w:rsid w:val="00F0441F"/>
    <w:rsid w:val="00F0474D"/>
    <w:rsid w:val="00F04923"/>
    <w:rsid w:val="00F07EB3"/>
    <w:rsid w:val="00F1141D"/>
    <w:rsid w:val="00F1212A"/>
    <w:rsid w:val="00F12594"/>
    <w:rsid w:val="00F13ED7"/>
    <w:rsid w:val="00F16759"/>
    <w:rsid w:val="00F17AA8"/>
    <w:rsid w:val="00F2097B"/>
    <w:rsid w:val="00F21CD7"/>
    <w:rsid w:val="00F22800"/>
    <w:rsid w:val="00F233E1"/>
    <w:rsid w:val="00F23AE4"/>
    <w:rsid w:val="00F256F5"/>
    <w:rsid w:val="00F25908"/>
    <w:rsid w:val="00F30F88"/>
    <w:rsid w:val="00F326CC"/>
    <w:rsid w:val="00F32ECA"/>
    <w:rsid w:val="00F3355F"/>
    <w:rsid w:val="00F3464B"/>
    <w:rsid w:val="00F347AF"/>
    <w:rsid w:val="00F35E9A"/>
    <w:rsid w:val="00F36353"/>
    <w:rsid w:val="00F364FB"/>
    <w:rsid w:val="00F36A0F"/>
    <w:rsid w:val="00F37402"/>
    <w:rsid w:val="00F3780E"/>
    <w:rsid w:val="00F3794C"/>
    <w:rsid w:val="00F407E3"/>
    <w:rsid w:val="00F42589"/>
    <w:rsid w:val="00F42731"/>
    <w:rsid w:val="00F42D94"/>
    <w:rsid w:val="00F4355B"/>
    <w:rsid w:val="00F4361B"/>
    <w:rsid w:val="00F4504F"/>
    <w:rsid w:val="00F4562F"/>
    <w:rsid w:val="00F4665D"/>
    <w:rsid w:val="00F47C0B"/>
    <w:rsid w:val="00F5059F"/>
    <w:rsid w:val="00F50AA0"/>
    <w:rsid w:val="00F51514"/>
    <w:rsid w:val="00F51B40"/>
    <w:rsid w:val="00F51EA3"/>
    <w:rsid w:val="00F522C7"/>
    <w:rsid w:val="00F523E2"/>
    <w:rsid w:val="00F54661"/>
    <w:rsid w:val="00F5545E"/>
    <w:rsid w:val="00F60A88"/>
    <w:rsid w:val="00F60E4E"/>
    <w:rsid w:val="00F615AB"/>
    <w:rsid w:val="00F62151"/>
    <w:rsid w:val="00F62DE7"/>
    <w:rsid w:val="00F62F98"/>
    <w:rsid w:val="00F63441"/>
    <w:rsid w:val="00F6455E"/>
    <w:rsid w:val="00F6468E"/>
    <w:rsid w:val="00F6525F"/>
    <w:rsid w:val="00F7299E"/>
    <w:rsid w:val="00F73B8D"/>
    <w:rsid w:val="00F766D5"/>
    <w:rsid w:val="00F767AC"/>
    <w:rsid w:val="00F768DF"/>
    <w:rsid w:val="00F76916"/>
    <w:rsid w:val="00F770DA"/>
    <w:rsid w:val="00F77474"/>
    <w:rsid w:val="00F8007C"/>
    <w:rsid w:val="00F80CBD"/>
    <w:rsid w:val="00F82835"/>
    <w:rsid w:val="00F83AB4"/>
    <w:rsid w:val="00F855E6"/>
    <w:rsid w:val="00F86A8B"/>
    <w:rsid w:val="00F87C68"/>
    <w:rsid w:val="00F912A6"/>
    <w:rsid w:val="00F91914"/>
    <w:rsid w:val="00F94774"/>
    <w:rsid w:val="00F949E5"/>
    <w:rsid w:val="00F94BA0"/>
    <w:rsid w:val="00F95FD6"/>
    <w:rsid w:val="00F9637C"/>
    <w:rsid w:val="00F96511"/>
    <w:rsid w:val="00F97306"/>
    <w:rsid w:val="00FA0407"/>
    <w:rsid w:val="00FA1A26"/>
    <w:rsid w:val="00FA1FD2"/>
    <w:rsid w:val="00FA3643"/>
    <w:rsid w:val="00FA422F"/>
    <w:rsid w:val="00FA4529"/>
    <w:rsid w:val="00FA571E"/>
    <w:rsid w:val="00FA58C0"/>
    <w:rsid w:val="00FA65A8"/>
    <w:rsid w:val="00FB0270"/>
    <w:rsid w:val="00FB126F"/>
    <w:rsid w:val="00FB200B"/>
    <w:rsid w:val="00FB2522"/>
    <w:rsid w:val="00FB2CA3"/>
    <w:rsid w:val="00FB2CCF"/>
    <w:rsid w:val="00FB3CA0"/>
    <w:rsid w:val="00FB40ED"/>
    <w:rsid w:val="00FB4DC6"/>
    <w:rsid w:val="00FB5DB6"/>
    <w:rsid w:val="00FC1AD9"/>
    <w:rsid w:val="00FC3839"/>
    <w:rsid w:val="00FC39E4"/>
    <w:rsid w:val="00FC3D9C"/>
    <w:rsid w:val="00FC4D1F"/>
    <w:rsid w:val="00FC53DB"/>
    <w:rsid w:val="00FC6E5A"/>
    <w:rsid w:val="00FC6FC4"/>
    <w:rsid w:val="00FD09A5"/>
    <w:rsid w:val="00FD18AB"/>
    <w:rsid w:val="00FD29B9"/>
    <w:rsid w:val="00FD375B"/>
    <w:rsid w:val="00FD3856"/>
    <w:rsid w:val="00FD5577"/>
    <w:rsid w:val="00FD55A9"/>
    <w:rsid w:val="00FD6C2C"/>
    <w:rsid w:val="00FD6CDE"/>
    <w:rsid w:val="00FE0484"/>
    <w:rsid w:val="00FE077A"/>
    <w:rsid w:val="00FE0820"/>
    <w:rsid w:val="00FE087B"/>
    <w:rsid w:val="00FE14B2"/>
    <w:rsid w:val="00FE1B3D"/>
    <w:rsid w:val="00FE242C"/>
    <w:rsid w:val="00FE4C6B"/>
    <w:rsid w:val="00FE673B"/>
    <w:rsid w:val="00FE6CBB"/>
    <w:rsid w:val="00FE7567"/>
    <w:rsid w:val="00FE76E4"/>
    <w:rsid w:val="00FF0512"/>
    <w:rsid w:val="00FF1DF2"/>
    <w:rsid w:val="00FF2004"/>
    <w:rsid w:val="00FF25BE"/>
    <w:rsid w:val="00FF27B1"/>
    <w:rsid w:val="00FF3878"/>
    <w:rsid w:val="00FF546A"/>
    <w:rsid w:val="00FF5625"/>
    <w:rsid w:val="00FF65DE"/>
    <w:rsid w:val="00FF6B1C"/>
    <w:rsid w:val="00FF6B21"/>
    <w:rsid w:val="00FF6E2A"/>
    <w:rsid w:val="00FF75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3199CF"/>
  <w15:docId w15:val="{5026325C-420B-4EE7-8781-71C3AB74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A01"/>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ru-RU"/>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ru-RU"/>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ru-RU"/>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ru-RU"/>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ru-RU"/>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ru-RU"/>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ru-RU"/>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ru-RU"/>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aliases w:val="Heading 5 - GTI Car"/>
    <w:basedOn w:val="Policepardfaut"/>
    <w:link w:val="Titre5"/>
    <w:rsid w:val="007E09DA"/>
    <w:rPr>
      <w:rFonts w:ascii="Times New Roman" w:eastAsia="Times New Roman" w:hAnsi="Times New Roman" w:cs="Times New Roman"/>
      <w:bCs/>
      <w:i/>
      <w:sz w:val="22"/>
      <w:szCs w:val="26"/>
      <w:lang w:val="ru-RU"/>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ru-RU"/>
    </w:rPr>
  </w:style>
  <w:style w:type="character" w:customStyle="1" w:styleId="Titre7Car">
    <w:name w:val="Titre 7 Car"/>
    <w:basedOn w:val="Policepardfaut"/>
    <w:link w:val="Titre7"/>
    <w:rsid w:val="007E09DA"/>
    <w:rPr>
      <w:rFonts w:ascii="Univers" w:eastAsia="Times New Roman" w:hAnsi="Univers" w:cs="Times New Roman"/>
      <w:b/>
      <w:sz w:val="28"/>
      <w:lang w:val="ru-RU"/>
    </w:rPr>
  </w:style>
  <w:style w:type="character" w:customStyle="1" w:styleId="Titre8Car">
    <w:name w:val="Titre 8 Car"/>
    <w:basedOn w:val="Policepardfaut"/>
    <w:link w:val="Titre8"/>
    <w:rsid w:val="007E09DA"/>
    <w:rPr>
      <w:rFonts w:ascii="Univers" w:eastAsia="Times New Roman" w:hAnsi="Univers" w:cs="Times New Roman"/>
      <w:b/>
      <w:sz w:val="32"/>
      <w:lang w:val="ru-RU"/>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ru-RU"/>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nhideWhenUsed/>
    <w:qFormat/>
    <w:rsid w:val="00D12044"/>
    <w:pPr>
      <w:keepNext/>
      <w:keepLines/>
      <w:spacing w:after="200"/>
    </w:pPr>
    <w:rPr>
      <w:b/>
      <w:iCs/>
      <w:szCs w:val="18"/>
    </w:rPr>
  </w:style>
  <w:style w:type="paragraph" w:styleId="Corpsdetexte2">
    <w:name w:val="Body Text 2"/>
    <w:basedOn w:val="Normal"/>
    <w:link w:val="Corpsdetexte2Car"/>
    <w:rsid w:val="00855A78"/>
    <w:rPr>
      <w:rFonts w:eastAsia="MS Mincho" w:cs="Angsana New"/>
      <w:i/>
      <w:iCs/>
    </w:rPr>
  </w:style>
  <w:style w:type="character" w:customStyle="1" w:styleId="Corpsdetexte2Car">
    <w:name w:val="Corps de texte 2 Car"/>
    <w:basedOn w:val="Policepardfaut"/>
    <w:link w:val="Corpsdetexte2"/>
    <w:rsid w:val="00855A78"/>
    <w:rPr>
      <w:rFonts w:ascii="Times New Roman" w:eastAsia="MS Mincho" w:hAnsi="Times New Roman" w:cs="Angsana New"/>
      <w:i/>
      <w:iCs/>
      <w:sz w:val="22"/>
      <w:lang w:val="ru-RU"/>
    </w:rPr>
  </w:style>
  <w:style w:type="paragraph" w:styleId="Corpsdetexte3">
    <w:name w:val="Body Text 3"/>
    <w:basedOn w:val="Normal"/>
    <w:link w:val="Corpsdetexte3Car"/>
    <w:rsid w:val="00855A78"/>
    <w:pPr>
      <w:jc w:val="center"/>
    </w:pPr>
    <w:rPr>
      <w:rFonts w:eastAsia="MS Mincho" w:cs="Angsana New"/>
      <w:sz w:val="28"/>
    </w:rPr>
  </w:style>
  <w:style w:type="character" w:customStyle="1" w:styleId="Corpsdetexte3Car">
    <w:name w:val="Corps de texte 3 Car"/>
    <w:basedOn w:val="Policepardfaut"/>
    <w:link w:val="Corpsdetexte3"/>
    <w:rsid w:val="00855A78"/>
    <w:rPr>
      <w:rFonts w:ascii="Times New Roman" w:eastAsia="MS Mincho" w:hAnsi="Times New Roman" w:cs="Angsana New"/>
      <w:sz w:val="28"/>
      <w:lang w:val="ru-RU"/>
    </w:rPr>
  </w:style>
  <w:style w:type="paragraph" w:styleId="Retraitcorpsdetexte2">
    <w:name w:val="Body Text Indent 2"/>
    <w:basedOn w:val="Normal"/>
    <w:link w:val="Retraitcorpsdetexte2Car"/>
    <w:rsid w:val="00855A78"/>
    <w:pPr>
      <w:ind w:firstLine="720"/>
    </w:pPr>
    <w:rPr>
      <w:rFonts w:eastAsia="MS Mincho" w:cs="Angsana New"/>
    </w:rPr>
  </w:style>
  <w:style w:type="character" w:customStyle="1" w:styleId="Retraitcorpsdetexte2Car">
    <w:name w:val="Retrait corps de texte 2 Car"/>
    <w:basedOn w:val="Policepardfaut"/>
    <w:link w:val="Retraitcorpsdetexte2"/>
    <w:rsid w:val="00855A78"/>
    <w:rPr>
      <w:rFonts w:ascii="Times New Roman" w:eastAsia="MS Mincho" w:hAnsi="Times New Roman" w:cs="Angsana New"/>
      <w:sz w:val="22"/>
      <w:lang w:val="ru-RU"/>
    </w:rPr>
  </w:style>
  <w:style w:type="paragraph" w:styleId="Retraitcorpsdetexte3">
    <w:name w:val="Body Text Indent 3"/>
    <w:basedOn w:val="Normal"/>
    <w:link w:val="Retraitcorpsdetexte3Car"/>
    <w:rsid w:val="00855A78"/>
    <w:pPr>
      <w:ind w:left="1080" w:hanging="360"/>
    </w:pPr>
    <w:rPr>
      <w:rFonts w:ascii="Courier" w:eastAsia="MS Mincho" w:hAnsi="Courier" w:cs="Angsana New"/>
      <w:sz w:val="20"/>
    </w:rPr>
  </w:style>
  <w:style w:type="character" w:customStyle="1" w:styleId="Retraitcorpsdetexte3Car">
    <w:name w:val="Retrait corps de texte 3 Car"/>
    <w:basedOn w:val="Policepardfaut"/>
    <w:link w:val="Retraitcorpsdetexte3"/>
    <w:rsid w:val="00855A78"/>
    <w:rPr>
      <w:rFonts w:ascii="Courier" w:eastAsia="MS Mincho" w:hAnsi="Courier" w:cs="Angsana New"/>
      <w:sz w:val="20"/>
      <w:lang w:val="ru-RU"/>
    </w:rPr>
  </w:style>
  <w:style w:type="paragraph" w:customStyle="1" w:styleId="BodyText21">
    <w:name w:val="Body Text 21"/>
    <w:basedOn w:val="Normal"/>
    <w:rsid w:val="00855A78"/>
    <w:rPr>
      <w:rFonts w:eastAsia="MS Mincho" w:cs="Angsana New"/>
    </w:rPr>
  </w:style>
  <w:style w:type="paragraph" w:styleId="Normalcentr">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Explorateurdedocuments">
    <w:name w:val="Document Map"/>
    <w:basedOn w:val="Normal"/>
    <w:link w:val="ExplorateurdedocumentsCar"/>
    <w:semiHidden/>
    <w:rsid w:val="00855A78"/>
    <w:pPr>
      <w:shd w:val="clear" w:color="auto" w:fill="000080"/>
    </w:pPr>
    <w:rPr>
      <w:rFonts w:ascii="Tahoma" w:eastAsia="MS Mincho" w:hAnsi="Tahoma" w:cs="Angsana New"/>
    </w:rPr>
  </w:style>
  <w:style w:type="character" w:customStyle="1" w:styleId="ExplorateurdedocumentsCar">
    <w:name w:val="Explorateur de documents Car"/>
    <w:basedOn w:val="Policepardfaut"/>
    <w:link w:val="Explorateurdedocuments"/>
    <w:semiHidden/>
    <w:rsid w:val="00855A78"/>
    <w:rPr>
      <w:rFonts w:ascii="Tahoma" w:eastAsia="MS Mincho" w:hAnsi="Tahoma" w:cs="Angsana New"/>
      <w:sz w:val="22"/>
      <w:shd w:val="clear" w:color="auto" w:fill="000080"/>
      <w:lang w:val="ru-RU"/>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Titre2"/>
    <w:rsid w:val="00855A78"/>
    <w:rPr>
      <w:rFonts w:eastAsia="MS Mincho" w:cs="Angsana New"/>
    </w:rPr>
  </w:style>
  <w:style w:type="paragraph" w:styleId="Textebrut">
    <w:name w:val="Plain Text"/>
    <w:basedOn w:val="Normal"/>
    <w:link w:val="TextebrutCar"/>
    <w:uiPriority w:val="99"/>
    <w:rsid w:val="00855A78"/>
    <w:rPr>
      <w:rFonts w:ascii="Courier New" w:eastAsia="MS Mincho" w:hAnsi="Courier New"/>
      <w:sz w:val="20"/>
    </w:rPr>
  </w:style>
  <w:style w:type="character" w:customStyle="1" w:styleId="TextebrutCar">
    <w:name w:val="Texte brut Car"/>
    <w:basedOn w:val="Policepardfaut"/>
    <w:link w:val="Textebru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855A78"/>
    <w:rPr>
      <w:b/>
      <w:bCs/>
    </w:rPr>
  </w:style>
  <w:style w:type="paragraph" w:customStyle="1" w:styleId="Para10">
    <w:name w:val="Para 1"/>
    <w:basedOn w:val="Corpsdetexte"/>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PrformatHTML">
    <w:name w:val="HTML Preformatted"/>
    <w:basedOn w:val="Normal"/>
    <w:link w:val="PrformatHTMLCar"/>
    <w:uiPriority w:val="99"/>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PrformatHTMLCar">
    <w:name w:val="Préformaté HTML Car"/>
    <w:basedOn w:val="Policepardfaut"/>
    <w:link w:val="PrformatHTML"/>
    <w:uiPriority w:val="99"/>
    <w:rsid w:val="00855A78"/>
    <w:rPr>
      <w:rFonts w:ascii="Courier New" w:eastAsia="MS Mincho" w:hAnsi="Courier New" w:cs="Courier New"/>
      <w:sz w:val="20"/>
      <w:lang w:val="ru-RU"/>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ru-RU"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Accentuation">
    <w:name w:val="Emphasis"/>
    <w:qFormat/>
    <w:rsid w:val="00855A78"/>
    <w:rPr>
      <w:i/>
      <w:iCs/>
    </w:rPr>
  </w:style>
  <w:style w:type="character" w:customStyle="1" w:styleId="BlockTextChar">
    <w:name w:val="Block Text Char"/>
    <w:rsid w:val="00855A78"/>
    <w:rPr>
      <w:sz w:val="24"/>
      <w:szCs w:val="24"/>
      <w:lang w:val="ru-RU"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ru-RU" w:eastAsia="en-US" w:bidi="ar-SA"/>
    </w:rPr>
  </w:style>
  <w:style w:type="paragraph" w:styleId="Objetducommentaire">
    <w:name w:val="annotation subject"/>
    <w:basedOn w:val="Commentaire"/>
    <w:next w:val="Commentaire"/>
    <w:link w:val="ObjetducommentaireCar"/>
    <w:semiHidden/>
    <w:rsid w:val="00855A78"/>
    <w:pPr>
      <w:spacing w:after="0" w:line="240" w:lineRule="auto"/>
    </w:pPr>
    <w:rPr>
      <w:rFonts w:eastAsia="MS Mincho" w:cs="Angsana New"/>
      <w:b/>
      <w:bCs/>
      <w:sz w:val="20"/>
    </w:rPr>
  </w:style>
  <w:style w:type="character" w:customStyle="1" w:styleId="ObjetducommentaireCar">
    <w:name w:val="Objet du commentaire Car"/>
    <w:basedOn w:val="CommentaireCar"/>
    <w:link w:val="Objetducommentaire"/>
    <w:semiHidden/>
    <w:rsid w:val="00855A78"/>
    <w:rPr>
      <w:rFonts w:ascii="Times New Roman" w:eastAsia="MS Mincho" w:hAnsi="Times New Roman" w:cs="Angsana New"/>
      <w:b/>
      <w:bCs/>
      <w:sz w:val="20"/>
      <w:lang w:val="ru-RU"/>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Corpsdetexte"/>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itre2"/>
    <w:next w:val="Corpsdetexte"/>
    <w:rsid w:val="00855A78"/>
    <w:pPr>
      <w:tabs>
        <w:tab w:val="clear" w:pos="720"/>
        <w:tab w:val="left" w:pos="900"/>
      </w:tabs>
    </w:pPr>
    <w:rPr>
      <w:rFonts w:eastAsia="Batang"/>
      <w:b w:val="0"/>
      <w:bCs w:val="0"/>
      <w:szCs w:val="20"/>
    </w:rPr>
  </w:style>
  <w:style w:type="paragraph" w:customStyle="1" w:styleId="Heading2noletter">
    <w:name w:val="Heading 2 (no letter)"/>
    <w:basedOn w:val="Titre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ru-RU"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Corpsdetexte"/>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ru-RU"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rPr>
  </w:style>
  <w:style w:type="paragraph" w:customStyle="1" w:styleId="StyleBodyTextTimesNewRoman11ptCharChar">
    <w:name w:val="Style Body Text + Times New Roman 11 pt Char Char"/>
    <w:basedOn w:val="Corpsdetexte"/>
    <w:rsid w:val="00855A78"/>
    <w:rPr>
      <w:rFonts w:eastAsia="MS Mincho" w:cs="Angsana New"/>
      <w:iCs w:val="0"/>
      <w:snapToGrid w:val="0"/>
      <w:color w:val="000000"/>
      <w:szCs w:val="22"/>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ru-RU" w:eastAsia="en-US" w:bidi="ar-SA"/>
    </w:rPr>
  </w:style>
  <w:style w:type="numbering" w:styleId="111111">
    <w:name w:val="Outline List 2"/>
    <w:basedOn w:val="Aucuneliste"/>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ru-RU"/>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Titre3"/>
    <w:next w:val="Titre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rPr>
  </w:style>
  <w:style w:type="paragraph" w:customStyle="1" w:styleId="MediumShading2-Accent61">
    <w:name w:val="Medium Shading 2 - Accent 61"/>
    <w:hidden/>
    <w:uiPriority w:val="99"/>
    <w:semiHidden/>
    <w:rsid w:val="00855A78"/>
    <w:rPr>
      <w:rFonts w:ascii="Times New Roman" w:eastAsia="MS Mincho" w:hAnsi="Times New Roman" w:cs="Angsana New"/>
      <w:sz w:val="22"/>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vision">
    <w:name w:val="Revision"/>
    <w:hidden/>
    <w:uiPriority w:val="99"/>
    <w:semiHidden/>
    <w:rsid w:val="00855A78"/>
    <w:rPr>
      <w:rFonts w:ascii="Times New Roman" w:eastAsia="MS Mincho" w:hAnsi="Times New Roman" w:cs="Angsana New"/>
      <w:sz w:val="22"/>
    </w:rPr>
  </w:style>
  <w:style w:type="character" w:customStyle="1" w:styleId="UnresolvedMention1">
    <w:name w:val="Unresolved Mention1"/>
    <w:basedOn w:val="Policepardfaut"/>
    <w:uiPriority w:val="99"/>
    <w:semiHidden/>
    <w:unhideWhenUsed/>
    <w:rsid w:val="004A1AC3"/>
    <w:rPr>
      <w:color w:val="808080"/>
      <w:shd w:val="clear" w:color="auto" w:fill="E6E6E6"/>
    </w:rPr>
  </w:style>
  <w:style w:type="character" w:styleId="Mentionnonrsolue">
    <w:name w:val="Unresolved Mention"/>
    <w:basedOn w:val="Policepardfaut"/>
    <w:uiPriority w:val="99"/>
    <w:semiHidden/>
    <w:unhideWhenUsed/>
    <w:rsid w:val="005D0C6E"/>
    <w:rPr>
      <w:color w:val="808080"/>
      <w:shd w:val="clear" w:color="auto" w:fill="E6E6E6"/>
    </w:rPr>
  </w:style>
  <w:style w:type="character" w:customStyle="1" w:styleId="y2iqfc">
    <w:name w:val="y2iqfc"/>
    <w:basedOn w:val="Policepardfaut"/>
    <w:rsid w:val="002D4FF5"/>
  </w:style>
  <w:style w:type="table" w:customStyle="1" w:styleId="TableGrid1">
    <w:name w:val="Table Grid1"/>
    <w:basedOn w:val="TableauNormal"/>
    <w:next w:val="Grilledutableau"/>
    <w:uiPriority w:val="39"/>
    <w:qFormat/>
    <w:rsid w:val="00241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484CE5"/>
    <w:rPr>
      <w:rFonts w:ascii="Segoe UI" w:hAnsi="Segoe UI" w:cs="Segoe UI" w:hint="default"/>
      <w:sz w:val="18"/>
      <w:szCs w:val="18"/>
      <w:shd w:val="clear" w:color="auto" w:fill="00FFFF"/>
    </w:rPr>
  </w:style>
  <w:style w:type="character" w:customStyle="1" w:styleId="cf11">
    <w:name w:val="cf11"/>
    <w:basedOn w:val="Policepardfaut"/>
    <w:rsid w:val="00484CE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94593394">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30449968">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549075227">
      <w:bodyDiv w:val="1"/>
      <w:marLeft w:val="0"/>
      <w:marRight w:val="0"/>
      <w:marTop w:val="0"/>
      <w:marBottom w:val="0"/>
      <w:divBdr>
        <w:top w:val="none" w:sz="0" w:space="0" w:color="auto"/>
        <w:left w:val="none" w:sz="0" w:space="0" w:color="auto"/>
        <w:bottom w:val="none" w:sz="0" w:space="0" w:color="auto"/>
        <w:right w:val="none" w:sz="0" w:space="0" w:color="auto"/>
      </w:divBdr>
    </w:div>
    <w:div w:id="581573674">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80854635">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33553542">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798186964">
      <w:bodyDiv w:val="1"/>
      <w:marLeft w:val="0"/>
      <w:marRight w:val="0"/>
      <w:marTop w:val="0"/>
      <w:marBottom w:val="0"/>
      <w:divBdr>
        <w:top w:val="none" w:sz="0" w:space="0" w:color="auto"/>
        <w:left w:val="none" w:sz="0" w:space="0" w:color="auto"/>
        <w:bottom w:val="none" w:sz="0" w:space="0" w:color="auto"/>
        <w:right w:val="none" w:sz="0" w:space="0" w:color="auto"/>
      </w:divBdr>
    </w:div>
    <w:div w:id="804012087">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997534872">
      <w:bodyDiv w:val="1"/>
      <w:marLeft w:val="0"/>
      <w:marRight w:val="0"/>
      <w:marTop w:val="0"/>
      <w:marBottom w:val="0"/>
      <w:divBdr>
        <w:top w:val="none" w:sz="0" w:space="0" w:color="auto"/>
        <w:left w:val="none" w:sz="0" w:space="0" w:color="auto"/>
        <w:bottom w:val="none" w:sz="0" w:space="0" w:color="auto"/>
        <w:right w:val="none" w:sz="0" w:space="0" w:color="auto"/>
      </w:divBdr>
    </w:div>
    <w:div w:id="1081948535">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07913017">
      <w:bodyDiv w:val="1"/>
      <w:marLeft w:val="0"/>
      <w:marRight w:val="0"/>
      <w:marTop w:val="0"/>
      <w:marBottom w:val="0"/>
      <w:divBdr>
        <w:top w:val="none" w:sz="0" w:space="0" w:color="auto"/>
        <w:left w:val="none" w:sz="0" w:space="0" w:color="auto"/>
        <w:bottom w:val="none" w:sz="0" w:space="0" w:color="auto"/>
        <w:right w:val="none" w:sz="0" w:space="0" w:color="auto"/>
      </w:divBdr>
    </w:div>
    <w:div w:id="1258294707">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284652229">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60048031">
      <w:bodyDiv w:val="1"/>
      <w:marLeft w:val="0"/>
      <w:marRight w:val="0"/>
      <w:marTop w:val="0"/>
      <w:marBottom w:val="0"/>
      <w:divBdr>
        <w:top w:val="none" w:sz="0" w:space="0" w:color="auto"/>
        <w:left w:val="none" w:sz="0" w:space="0" w:color="auto"/>
        <w:bottom w:val="none" w:sz="0" w:space="0" w:color="auto"/>
        <w:right w:val="none" w:sz="0" w:space="0" w:color="auto"/>
      </w:divBdr>
    </w:div>
    <w:div w:id="1569536632">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53291877">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34965182">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 w:id="2141797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2/cop-12-dec-03-r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2/cop-12-dec-03-ru.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hm.cbd.int/search/financial-analyzer" TargetMode="External"/><Relationship Id="rId2" Type="http://schemas.openxmlformats.org/officeDocument/2006/relationships/hyperlink" Target="https://chm.cbd.int/search/financial-analyzer" TargetMode="External"/><Relationship Id="rId1" Type="http://schemas.openxmlformats.org/officeDocument/2006/relationships/hyperlink" Target="https://chm.cbd.int/search/financial-analyzer" TargetMode="External"/><Relationship Id="rId5" Type="http://schemas.openxmlformats.org/officeDocument/2006/relationships/hyperlink" Target="https://data.imf.org/?sk=5804C5E1-0502-4672-BDCD-671BCDC565A9" TargetMode="External"/><Relationship Id="rId4" Type="http://schemas.openxmlformats.org/officeDocument/2006/relationships/hyperlink" Target="https://data.imf.org/?sk=5804C5E1-0502-4672-BDCD-671BCDC565A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Textedelespacerserv"/>
            </w:rPr>
            <w:t>[Subject]</w:t>
          </w:r>
        </w:p>
      </w:docPartBody>
    </w:docPart>
    <w:docPart>
      <w:docPartPr>
        <w:name w:val="ADDF6D64457143E18A619ADE8084FC3B"/>
        <w:category>
          <w:name w:val="General"/>
          <w:gallery w:val="placeholder"/>
        </w:category>
        <w:types>
          <w:type w:val="bbPlcHdr"/>
        </w:types>
        <w:behaviors>
          <w:behavior w:val="content"/>
        </w:behaviors>
        <w:guid w:val="{0ED32774-B38B-46E4-B996-DBE52120B407}"/>
      </w:docPartPr>
      <w:docPartBody>
        <w:p w:rsidR="00A93D79" w:rsidRDefault="00810A55">
          <w:pPr>
            <w:pStyle w:val="ADDF6D64457143E18A619ADE8084FC3B"/>
          </w:pPr>
          <w:r w:rsidRPr="007E02EB">
            <w:rPr>
              <w:rStyle w:val="Textedelespacerserv"/>
            </w:rPr>
            <w:t>[Title]</w:t>
          </w:r>
        </w:p>
      </w:docPartBody>
    </w:docPart>
    <w:docPart>
      <w:docPartPr>
        <w:name w:val="4CC2342768D949928F63CBF6A4B22D30"/>
        <w:category>
          <w:name w:val="General"/>
          <w:gallery w:val="placeholder"/>
        </w:category>
        <w:types>
          <w:type w:val="bbPlcHdr"/>
        </w:types>
        <w:behaviors>
          <w:behavior w:val="content"/>
        </w:behaviors>
        <w:guid w:val="{17547426-A434-4CAA-A04D-CE3A91CFC5C7}"/>
      </w:docPartPr>
      <w:docPartBody>
        <w:p w:rsidR="00906D49" w:rsidRDefault="0041387E" w:rsidP="0041387E">
          <w:pPr>
            <w:pStyle w:val="4CC2342768D949928F63CBF6A4B22D30"/>
          </w:pPr>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0840"/>
    <w:rsid w:val="0003311A"/>
    <w:rsid w:val="00150840"/>
    <w:rsid w:val="00155E65"/>
    <w:rsid w:val="00195DB7"/>
    <w:rsid w:val="001A6E86"/>
    <w:rsid w:val="001B664A"/>
    <w:rsid w:val="001D7FFA"/>
    <w:rsid w:val="0021633A"/>
    <w:rsid w:val="00272505"/>
    <w:rsid w:val="00277C12"/>
    <w:rsid w:val="002A64D0"/>
    <w:rsid w:val="002B53D1"/>
    <w:rsid w:val="00313BCF"/>
    <w:rsid w:val="00323CF4"/>
    <w:rsid w:val="00337761"/>
    <w:rsid w:val="00374786"/>
    <w:rsid w:val="00374A80"/>
    <w:rsid w:val="003B0506"/>
    <w:rsid w:val="003C0918"/>
    <w:rsid w:val="003D294E"/>
    <w:rsid w:val="003F72D4"/>
    <w:rsid w:val="0041387E"/>
    <w:rsid w:val="0042537E"/>
    <w:rsid w:val="00437B85"/>
    <w:rsid w:val="0049765E"/>
    <w:rsid w:val="004C12C7"/>
    <w:rsid w:val="004E0FA5"/>
    <w:rsid w:val="00500A2B"/>
    <w:rsid w:val="00537DD0"/>
    <w:rsid w:val="0058288D"/>
    <w:rsid w:val="005B22F9"/>
    <w:rsid w:val="006221CF"/>
    <w:rsid w:val="00631C0C"/>
    <w:rsid w:val="006801B3"/>
    <w:rsid w:val="006E3C0C"/>
    <w:rsid w:val="006F0284"/>
    <w:rsid w:val="00782783"/>
    <w:rsid w:val="0078507D"/>
    <w:rsid w:val="007D4CD0"/>
    <w:rsid w:val="007E411A"/>
    <w:rsid w:val="007E6374"/>
    <w:rsid w:val="00810A55"/>
    <w:rsid w:val="008821B1"/>
    <w:rsid w:val="008A48F5"/>
    <w:rsid w:val="008C3682"/>
    <w:rsid w:val="008C6619"/>
    <w:rsid w:val="008D420E"/>
    <w:rsid w:val="008F3A6D"/>
    <w:rsid w:val="00906D49"/>
    <w:rsid w:val="0091609C"/>
    <w:rsid w:val="00934F5F"/>
    <w:rsid w:val="00936A78"/>
    <w:rsid w:val="00937D6B"/>
    <w:rsid w:val="00972538"/>
    <w:rsid w:val="0098642F"/>
    <w:rsid w:val="009B500C"/>
    <w:rsid w:val="00A93D79"/>
    <w:rsid w:val="00AA72C9"/>
    <w:rsid w:val="00AE3623"/>
    <w:rsid w:val="00B051C2"/>
    <w:rsid w:val="00B6620D"/>
    <w:rsid w:val="00B82519"/>
    <w:rsid w:val="00B83C68"/>
    <w:rsid w:val="00BC6187"/>
    <w:rsid w:val="00BD73E7"/>
    <w:rsid w:val="00C314C3"/>
    <w:rsid w:val="00CD3003"/>
    <w:rsid w:val="00CF5BF6"/>
    <w:rsid w:val="00DB7A25"/>
    <w:rsid w:val="00DD74DE"/>
    <w:rsid w:val="00DD7658"/>
    <w:rsid w:val="00E62E43"/>
    <w:rsid w:val="00E83044"/>
    <w:rsid w:val="00EC52CC"/>
    <w:rsid w:val="00EC7094"/>
    <w:rsid w:val="00EE04CE"/>
    <w:rsid w:val="00F40FBF"/>
    <w:rsid w:val="00F71319"/>
    <w:rsid w:val="00F759B3"/>
    <w:rsid w:val="00F8150A"/>
    <w:rsid w:val="00FA51A3"/>
    <w:rsid w:val="00FB3FAE"/>
    <w:rsid w:val="00FD2A04"/>
    <w:rsid w:val="00FE3223"/>
    <w:rsid w:val="00FE6B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1387E"/>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ADDF6D64457143E18A619ADE8084FC3B">
    <w:name w:val="ADDF6D64457143E18A619ADE8084FC3B"/>
    <w:pPr>
      <w:spacing w:after="160" w:line="259" w:lineRule="auto"/>
    </w:pPr>
    <w:rPr>
      <w:lang w:val="en-US" w:eastAsia="en-US"/>
    </w:rPr>
  </w:style>
  <w:style w:type="paragraph" w:customStyle="1" w:styleId="4CC2342768D949928F63CBF6A4B22D30">
    <w:name w:val="4CC2342768D949928F63CBF6A4B22D30"/>
    <w:rsid w:val="0041387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603046-682D-4EE2-BA84-68F413ADE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5F02D-7D34-4CA8-BA34-7BBACCCFE08F}">
  <ds:schemaRefs>
    <ds:schemaRef ds:uri="http://schemas.openxmlformats.org/officeDocument/2006/bibliography"/>
  </ds:schemaRefs>
</ds:datastoreItem>
</file>

<file path=customXml/itemProps4.xml><?xml version="1.0" encoding="utf-8"?>
<ds:datastoreItem xmlns:ds="http://schemas.openxmlformats.org/officeDocument/2006/customXml" ds:itemID="{351B85CD-012B-4DB6-81C8-7345825E5250}">
  <ds:schemaRefs>
    <ds:schemaRef ds:uri="http://schemas.microsoft.com/sharepoint/v3/contenttype/forms"/>
  </ds:schemaRefs>
</ds:datastoreItem>
</file>

<file path=customXml/itemProps5.xml><?xml version="1.0" encoding="utf-8"?>
<ds:datastoreItem xmlns:ds="http://schemas.openxmlformats.org/officeDocument/2006/customXml" ds:itemID="{45429EEE-048C-45E3-9AC9-A4A05FC4683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18</Pages>
  <Words>8132</Words>
  <Characters>44727</Characters>
  <Application>Microsoft Office Word</Application>
  <DocSecurity>0</DocSecurity>
  <Lines>372</Lines>
  <Paragraphs>105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Мобилизация ресурсов: ИТОГОВЫЙ анализ информации, представленной посредством структуры представления финансовой отчетности</vt:lpstr>
      <vt:lpstr>Resource mobilization: Final analysis of information provided through the financial reporting framework</vt:lpstr>
    </vt:vector>
  </TitlesOfParts>
  <Company>SCBD</Company>
  <LinksUpToDate>false</LinksUpToDate>
  <CharactersWithSpaces>52754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 ИТОГОВЫЙ анализ информации, представленной посредством структуры представления финансовой отчетности</dc:title>
  <dc:subject>CBD/COP/15/11</dc:subject>
  <dc:creator>SCBD</dc:creator>
  <cp:keywords>Conference of the Parties to the Convention on Biological Diversity, fifteenth meeting</cp:keywords>
  <dc:description/>
  <cp:lastModifiedBy>L A</cp:lastModifiedBy>
  <cp:revision>57</cp:revision>
  <cp:lastPrinted>2022-10-31T20:15:00Z</cp:lastPrinted>
  <dcterms:created xsi:type="dcterms:W3CDTF">2022-11-13T08:59:00Z</dcterms:created>
  <dcterms:modified xsi:type="dcterms:W3CDTF">2022-11-18T14:38:00Z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