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C2BF7" w14:paraId="07F74AC9" w14:textId="77777777" w:rsidTr="008A1499">
        <w:trPr>
          <w:trHeight w:val="850"/>
        </w:trPr>
        <w:tc>
          <w:tcPr>
            <w:tcW w:w="975" w:type="dxa"/>
            <w:vAlign w:val="bottom"/>
          </w:tcPr>
          <w:p w14:paraId="11FD7EC0" w14:textId="77777777" w:rsidR="008A1499" w:rsidRPr="009C2BF7" w:rsidRDefault="008A1499" w:rsidP="008A1499">
            <w:pPr>
              <w:pStyle w:val="AASmallLogo"/>
            </w:pPr>
            <w:r>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44F437A8" w14:textId="77777777" w:rsidR="008A1499" w:rsidRPr="009C2BF7" w:rsidRDefault="008A1499" w:rsidP="008A1499">
            <w:pPr>
              <w:pStyle w:val="AASmallLogo"/>
            </w:pPr>
          </w:p>
        </w:tc>
        <w:tc>
          <w:tcPr>
            <w:tcW w:w="1434" w:type="dxa"/>
            <w:noWrap/>
            <w:vAlign w:val="bottom"/>
          </w:tcPr>
          <w:p w14:paraId="680812CD" w14:textId="620D4689" w:rsidR="008A1499" w:rsidRPr="009C2BF7" w:rsidRDefault="00691636" w:rsidP="008A1499">
            <w:pPr>
              <w:pStyle w:val="AASmallLogo"/>
            </w:pPr>
            <w:r w:rsidRPr="00360A23">
              <w:rPr>
                <w:noProof/>
                <w:lang w:eastAsia="ru-RU"/>
              </w:rPr>
              <w:drawing>
                <wp:inline distT="0" distB="0" distL="0" distR="0" wp14:anchorId="3257F12D" wp14:editId="72CC2B67">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t xml:space="preserve"> </w:t>
            </w:r>
          </w:p>
          <w:p w14:paraId="18C63C75" w14:textId="77777777" w:rsidR="008A1499" w:rsidRPr="009C2BF7" w:rsidRDefault="008A1499" w:rsidP="008A1499">
            <w:pPr>
              <w:pStyle w:val="AASmallLogo"/>
            </w:pPr>
          </w:p>
        </w:tc>
        <w:tc>
          <w:tcPr>
            <w:tcW w:w="8073" w:type="dxa"/>
            <w:vAlign w:val="bottom"/>
          </w:tcPr>
          <w:p w14:paraId="080A2342" w14:textId="7657216A" w:rsidR="008A1499" w:rsidRPr="006656CF" w:rsidRDefault="008A1499" w:rsidP="008A1499">
            <w:pPr>
              <w:pStyle w:val="CBDNormal"/>
              <w:jc w:val="right"/>
            </w:pPr>
            <w:r>
              <w:rPr>
                <w:sz w:val="40"/>
              </w:rPr>
              <w:t>CBD</w:t>
            </w:r>
            <w:r>
              <w:t>/SBI/7/9</w:t>
            </w:r>
          </w:p>
        </w:tc>
      </w:tr>
    </w:tbl>
    <w:p w14:paraId="34FCB027" w14:textId="77777777" w:rsidR="008A1499" w:rsidRPr="009C2BF7"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B6604" w14:paraId="4350FF49" w14:textId="77777777" w:rsidTr="008A1499">
        <w:trPr>
          <w:trHeight w:val="1814"/>
        </w:trPr>
        <w:tc>
          <w:tcPr>
            <w:tcW w:w="7370" w:type="dxa"/>
          </w:tcPr>
          <w:p w14:paraId="5CFE854F" w14:textId="0BF66B9E" w:rsidR="008A1499" w:rsidRPr="009C2BF7" w:rsidRDefault="00691636" w:rsidP="008A1499">
            <w:pPr>
              <w:pStyle w:val="ACLargeLogo"/>
            </w:pPr>
            <w:r w:rsidRPr="001E2C8A">
              <w:rPr>
                <w:noProof/>
                <w:snapToGrid w:val="0"/>
                <w:kern w:val="22"/>
                <w:lang w:eastAsia="ru-RU"/>
              </w:rPr>
              <w:drawing>
                <wp:inline distT="0" distB="0" distL="0" distR="0" wp14:anchorId="078B3324" wp14:editId="02359C09">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t xml:space="preserve"> </w:t>
            </w:r>
          </w:p>
          <w:p w14:paraId="2B4D09EF" w14:textId="77777777" w:rsidR="008A1499" w:rsidRPr="009C2BF7" w:rsidRDefault="008A1499" w:rsidP="008A1499">
            <w:pPr>
              <w:pStyle w:val="ACLargeLogo"/>
            </w:pPr>
          </w:p>
        </w:tc>
        <w:tc>
          <w:tcPr>
            <w:tcW w:w="3112" w:type="dxa"/>
          </w:tcPr>
          <w:p w14:paraId="4582CE52" w14:textId="77777777" w:rsidR="008A1499" w:rsidRPr="00165379" w:rsidRDefault="008A1499" w:rsidP="008A1499">
            <w:pPr>
              <w:pStyle w:val="AEDistrNormal"/>
              <w:rPr>
                <w:lang w:val="en-CA"/>
              </w:rPr>
            </w:pPr>
            <w:r w:rsidRPr="00165379">
              <w:rPr>
                <w:lang w:val="en-CA"/>
              </w:rPr>
              <w:t xml:space="preserve">Distr.: General </w:t>
            </w:r>
          </w:p>
          <w:p w14:paraId="4631F7FB" w14:textId="07A9E22C" w:rsidR="008A1499" w:rsidRPr="00165379" w:rsidRDefault="00847A41" w:rsidP="008A1499">
            <w:pPr>
              <w:pStyle w:val="AEDistrNormal"/>
              <w:rPr>
                <w:lang w:val="en-CA"/>
              </w:rPr>
            </w:pPr>
            <w:r w:rsidRPr="00165379">
              <w:rPr>
                <w:lang w:val="en-CA"/>
              </w:rPr>
              <w:t>3 June 2026</w:t>
            </w:r>
          </w:p>
          <w:p w14:paraId="0EEE3C41" w14:textId="77777777" w:rsidR="00691636" w:rsidRDefault="00691636" w:rsidP="00691636">
            <w:pPr>
              <w:pStyle w:val="AEDistrNormal6pt"/>
              <w:spacing w:before="0"/>
              <w:rPr>
                <w:lang w:val="en-CA"/>
              </w:rPr>
            </w:pPr>
            <w:r w:rsidRPr="00165379">
              <w:rPr>
                <w:lang w:val="en-CA"/>
              </w:rPr>
              <w:t>Russian</w:t>
            </w:r>
          </w:p>
          <w:p w14:paraId="06032A02" w14:textId="2C27D39F" w:rsidR="008A1499" w:rsidRPr="00165379" w:rsidRDefault="00691636" w:rsidP="00691636">
            <w:pPr>
              <w:pStyle w:val="AEDistrNormal6pt"/>
              <w:spacing w:before="0"/>
              <w:rPr>
                <w:lang w:val="en-CA"/>
              </w:rPr>
            </w:pPr>
            <w:r w:rsidRPr="00165379">
              <w:rPr>
                <w:lang w:val="en-CA"/>
              </w:rPr>
              <w:t>Original: English</w:t>
            </w:r>
            <w:r w:rsidR="008A1499" w:rsidRPr="00165379">
              <w:rPr>
                <w:lang w:val="en-CA"/>
              </w:rPr>
              <w:t xml:space="preserve"> </w:t>
            </w:r>
          </w:p>
          <w:p w14:paraId="426F4FB1" w14:textId="77777777" w:rsidR="008A1499" w:rsidRPr="00165379" w:rsidRDefault="008A1499" w:rsidP="008A1499">
            <w:pPr>
              <w:pStyle w:val="AEDistrNormal6pt"/>
              <w:rPr>
                <w:lang w:val="en-CA"/>
              </w:rPr>
            </w:pPr>
          </w:p>
        </w:tc>
      </w:tr>
    </w:tbl>
    <w:p w14:paraId="155E6006" w14:textId="77777777" w:rsidR="008A1499" w:rsidRPr="00165379" w:rsidRDefault="008A1499"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C2BF7" w14:paraId="77884DA3" w14:textId="77777777" w:rsidTr="008A1499">
        <w:trPr>
          <w:trHeight w:val="57"/>
        </w:trPr>
        <w:tc>
          <w:tcPr>
            <w:tcW w:w="6094" w:type="dxa"/>
          </w:tcPr>
          <w:p w14:paraId="60968B1D" w14:textId="77777777" w:rsidR="008A1499" w:rsidRPr="009C2BF7" w:rsidRDefault="00C4348A" w:rsidP="008A1499">
            <w:pPr>
              <w:pStyle w:val="AFCorN12Bold"/>
            </w:pPr>
            <w:r>
              <w:t xml:space="preserve">Вспомогательный орган по осуществлению </w:t>
            </w:r>
          </w:p>
          <w:p w14:paraId="0A63B593" w14:textId="77777777" w:rsidR="008A1499" w:rsidRPr="009C2BF7" w:rsidRDefault="00FB6391" w:rsidP="008A1499">
            <w:pPr>
              <w:pStyle w:val="AFCorNBold"/>
            </w:pPr>
            <w:r>
              <w:t xml:space="preserve">Седьмое совещание </w:t>
            </w:r>
          </w:p>
          <w:p w14:paraId="2E397A4E" w14:textId="77777777" w:rsidR="008A1499" w:rsidRPr="009C2BF7" w:rsidRDefault="00FB6391" w:rsidP="008A1499">
            <w:pPr>
              <w:pStyle w:val="AFCorNNormal"/>
            </w:pPr>
            <w:r>
              <w:t xml:space="preserve">Найроби, </w:t>
            </w:r>
            <w:r>
              <w:rPr>
                <w:snapToGrid w:val="0"/>
              </w:rPr>
              <w:t>4-12 августа 2026 года</w:t>
            </w:r>
          </w:p>
          <w:p w14:paraId="6E15DB20" w14:textId="1B566CA8" w:rsidR="008A1499" w:rsidRPr="009C2BF7" w:rsidRDefault="008A1499" w:rsidP="008A1499">
            <w:pPr>
              <w:pStyle w:val="AFCorNNormal"/>
            </w:pPr>
            <w:r>
              <w:t>Пункт 9 предварительной повестки дня</w:t>
            </w:r>
            <w:r w:rsidRPr="009C2BF7">
              <w:rPr>
                <w:rStyle w:val="FootnoteReference"/>
              </w:rPr>
              <w:footnoteReference w:customMarkFollows="1" w:id="1"/>
              <w:t>*</w:t>
            </w:r>
            <w:r>
              <w:t xml:space="preserve"> </w:t>
            </w:r>
          </w:p>
          <w:p w14:paraId="57843DD4" w14:textId="5D93251F" w:rsidR="008A1499" w:rsidRPr="009C2BF7" w:rsidRDefault="00CF3FB6" w:rsidP="00A36D40">
            <w:pPr>
              <w:pStyle w:val="AFCorNBold"/>
            </w:pPr>
            <w:r>
              <w:t xml:space="preserve">Взаимодействие с субнациональными правительствами, городскими и другими местными органами власти в целях активизации осуществления Куньминско-Монреальской глобальной рамочной программы в области биоразнообразия </w:t>
            </w:r>
          </w:p>
        </w:tc>
        <w:tc>
          <w:tcPr>
            <w:tcW w:w="4388" w:type="dxa"/>
          </w:tcPr>
          <w:p w14:paraId="0744DABE" w14:textId="77777777" w:rsidR="008A1499" w:rsidRPr="00691636" w:rsidRDefault="008A1499" w:rsidP="008A1499">
            <w:pPr>
              <w:pStyle w:val="CBDNormal"/>
              <w:jc w:val="left"/>
            </w:pPr>
          </w:p>
        </w:tc>
      </w:tr>
    </w:tbl>
    <w:p w14:paraId="43176345" w14:textId="45981AE3" w:rsidR="00C9161D" w:rsidRPr="009E2D31" w:rsidRDefault="00000000" w:rsidP="00A111D1">
      <w:pPr>
        <w:pStyle w:val="CBDTitle"/>
        <w:rPr>
          <w:caps/>
        </w:rPr>
      </w:pPr>
      <w:sdt>
        <w:sdtPr>
          <w:alias w:val="Название"/>
          <w:tag w:val=""/>
          <w:id w:val="772832786"/>
          <w:placeholder>
            <w:docPart w:val="9415887786354C86B04DDAB1B6E72E20"/>
          </w:placeholder>
          <w:dataBinding w:prefixMappings="xmlns:ns0='http://purl.org/dc/elements/1.1/' xmlns:ns1='http://schemas.openxmlformats.org/package/2006/metadata/core-properties' " w:xpath="/ns1:coreProperties[1]/ns0:title[1]" w:storeItemID="{6C3C8BC8-F283-45AE-878A-BAB7291924A1}"/>
          <w:text/>
        </w:sdtPr>
        <w:sdtContent>
          <w:r w:rsidR="009E2D31">
            <w:t>А</w:t>
          </w:r>
          <w:r w:rsidR="009E2D31" w:rsidRPr="009E2D31">
            <w:t>нализ роли субнациональных и местных органов власти в осуществлении Куньминско-Монреальской глобальной рамочной программы в области биоразнообразия</w:t>
          </w:r>
        </w:sdtContent>
      </w:sdt>
      <w:r w:rsidR="009E2D31" w:rsidRPr="009E2D31">
        <w:rPr>
          <w:rStyle w:val="FootnoteReference"/>
        </w:rPr>
        <w:footnoteReference w:customMarkFollows="1" w:id="2"/>
        <w:t>**</w:t>
      </w:r>
    </w:p>
    <w:p w14:paraId="73482E0C" w14:textId="77777777" w:rsidR="00F6586C" w:rsidRPr="009C2BF7" w:rsidRDefault="0030169D" w:rsidP="00A111D1">
      <w:pPr>
        <w:pStyle w:val="CBDSubTitle"/>
      </w:pPr>
      <w:r>
        <w:t>Записка секретариата</w:t>
      </w:r>
    </w:p>
    <w:p w14:paraId="331B7659" w14:textId="6B446373" w:rsidR="00C9161D" w:rsidRPr="009C2BF7" w:rsidRDefault="00A111D1" w:rsidP="00A111D1">
      <w:pPr>
        <w:pStyle w:val="CBDH1"/>
      </w:pPr>
      <w:r>
        <w:t>I.</w:t>
      </w:r>
      <w:r>
        <w:tab/>
        <w:t xml:space="preserve">Введение </w:t>
      </w:r>
    </w:p>
    <w:p w14:paraId="3E3D1FA4" w14:textId="6B8DFE50" w:rsidR="00D95060" w:rsidRPr="009C2BF7" w:rsidRDefault="00D95060" w:rsidP="00D95060">
      <w:pPr>
        <w:pStyle w:val="CBDNormalNumber"/>
      </w:pPr>
      <w:r>
        <w:t xml:space="preserve">В пункте 7 решения </w:t>
      </w:r>
      <w:hyperlink r:id="rId15" w:history="1">
        <w:r>
          <w:rPr>
            <w:rStyle w:val="Hyperlink"/>
          </w:rPr>
          <w:t>15/12</w:t>
        </w:r>
      </w:hyperlink>
      <w:r w:rsidR="00C720F9">
        <w:t xml:space="preserve"> </w:t>
      </w:r>
      <w:r>
        <w:t>Конференция Сторон поручила Исполнительному секретарю при условии наличия ресурсов провести анализ роли субнациональных правительств, городских и других местных органов власти в осуществлении целей Конвенции и протоколов к ней и Куньминско-Монреальской глобальной рамочной программы в области биоразнообразия и представить доклад Вспомогательному органу по осуществлению для рассмотрения на совещании, которое будет проведено в период до 17-го совещания Конференции Сторон.</w:t>
      </w:r>
    </w:p>
    <w:p w14:paraId="46D1A58A" w14:textId="46D3C59B" w:rsidR="00BD708D" w:rsidRPr="009C2BF7" w:rsidRDefault="00BD708D" w:rsidP="00BD708D">
      <w:pPr>
        <w:pStyle w:val="CBDNormalNumber"/>
      </w:pPr>
      <w:r>
        <w:t>Во исполнение этого поручения и при условии наличия ресурсов секретариат поручил Сети местных органов власти за устойчивое развитие (ICLEI)</w:t>
      </w:r>
      <w:r w:rsidR="00634D0C" w:rsidRPr="009C2BF7">
        <w:rPr>
          <w:rStyle w:val="FootnoteReference"/>
        </w:rPr>
        <w:footnoteReference w:id="3"/>
      </w:r>
      <w:r>
        <w:t xml:space="preserve"> при содействии Сети Regions4</w:t>
      </w:r>
      <w:r w:rsidR="000A49F5" w:rsidRPr="009C2BF7">
        <w:rPr>
          <w:rStyle w:val="FootnoteReference"/>
        </w:rPr>
        <w:footnoteReference w:id="4"/>
      </w:r>
      <w:r>
        <w:t xml:space="preserve"> подготовить такой анализ мероприятий, осуществляемых на субнациональном уровне. Этот анализ включает аналитическую оценку общедоступной информации, в том числе тематических исследований, обязательств и мероприятий, о которых сообщалось в рамках соответствующих платформ и инициатив, связанных с деятельностью по сохранению биоразнообразия на субнациональном и местном </w:t>
      </w:r>
      <w:r w:rsidR="00C720F9">
        <w:t>уровнях.</w:t>
      </w:r>
      <w:r>
        <w:t xml:space="preserve"> Хотя полный текст анализа еще находится в стадии разработки, в приложении к настоящей записке содержится общее резюме анализа, подготовленное в сотрудничестве с Сетью ICLEI для содействия рассмотрению этого вопроса Вспомогательным органом по осуществлению. </w:t>
      </w:r>
    </w:p>
    <w:p w14:paraId="73C87D9D" w14:textId="210BED53" w:rsidR="00BD708D" w:rsidRPr="009C2BF7" w:rsidRDefault="00BD708D" w:rsidP="00BD708D">
      <w:pPr>
        <w:pStyle w:val="CBDNormalNumber"/>
      </w:pPr>
      <w:r>
        <w:t xml:space="preserve">В анализе представлен общий обзор мероприятий и инициатив, предпринимаемых субнациональными правительствами, городскими и другими местными органами власти в целях содействия осуществлению Конвенции и Куньминско-Монреальской глобальной </w:t>
      </w:r>
      <w:r>
        <w:lastRenderedPageBreak/>
        <w:t>рамочной программы в области биоразнообразия. В нем также подчеркивается роль институциональных механизмов поддержки, партнерских отношений и соответствующих платформ, включая CitiesWithNature</w:t>
      </w:r>
      <w:r w:rsidR="008C4890" w:rsidRPr="009C2BF7">
        <w:rPr>
          <w:rStyle w:val="FootnoteReference"/>
        </w:rPr>
        <w:footnoteReference w:id="5"/>
      </w:r>
      <w:r>
        <w:t xml:space="preserve"> и RegionsWithNature</w:t>
      </w:r>
      <w:r w:rsidR="008C4890" w:rsidRPr="009C2BF7">
        <w:rPr>
          <w:rStyle w:val="FootnoteReference"/>
        </w:rPr>
        <w:footnoteReference w:id="6"/>
      </w:r>
      <w:r>
        <w:t xml:space="preserve">, в содействии обмену знаниями, повышении осведомленности, добровольной отчетности и координации мероприятий по сохранению биоразнообразия, осуществляемых субнациональными правительствами, городскими и другими местными органами власти. </w:t>
      </w:r>
    </w:p>
    <w:p w14:paraId="1360029A" w14:textId="5164BDE6" w:rsidR="00BD708D" w:rsidRPr="009C2BF7" w:rsidRDefault="00751132" w:rsidP="006B60B2">
      <w:pPr>
        <w:pStyle w:val="CBDNormalNumber"/>
      </w:pPr>
      <w:r>
        <w:t xml:space="preserve">Настоящая записка содержит краткое резюме основных выводов, полученных из прилагаемого к ней общего резюме, дополненное краткой информацией, полученной из седьмых национальных докладов и соответствующих анализов, подготовленных для глобального обзора коллективного прогресса в осуществлении Куньминско-Монреальской глобальной рамочной программы в области биоразнообразия. Она также содержит элементы проекта рекомендации для рассмотрения Вспомогательным органом (разд. III). </w:t>
      </w:r>
    </w:p>
    <w:p w14:paraId="4CC98FD9" w14:textId="439CDBC4" w:rsidR="001003C4" w:rsidRPr="009C2BF7" w:rsidRDefault="001003C4" w:rsidP="001003C4">
      <w:pPr>
        <w:pStyle w:val="CBDH1"/>
      </w:pPr>
      <w:r>
        <w:t>II.</w:t>
      </w:r>
      <w:r>
        <w:tab/>
        <w:t xml:space="preserve">Основные выводы </w:t>
      </w:r>
    </w:p>
    <w:p w14:paraId="1C9E2955" w14:textId="20D60230" w:rsidR="009504F0" w:rsidRPr="009C2BF7" w:rsidRDefault="009504F0" w:rsidP="009504F0">
      <w:pPr>
        <w:pStyle w:val="CBDNormalNumber"/>
      </w:pPr>
      <w:r>
        <w:t>В анализе подчеркивается важная роль, которую субнациональные правительства, городские и другие местные органы власти могут сыграть в содействии осуществлению Конвенции и Куньминско-Монреальской глобальной рамочной программы в области биоразнообразия в соответствии с национальным законодательством, обстоятельствами и институциональными механизмами.</w:t>
      </w:r>
    </w:p>
    <w:p w14:paraId="7AA45EDE" w14:textId="77777777" w:rsidR="009504F0" w:rsidRPr="009C2BF7" w:rsidRDefault="009504F0" w:rsidP="009504F0">
      <w:pPr>
        <w:pStyle w:val="CBDNormalNumber"/>
      </w:pPr>
      <w:r>
        <w:t>В анализе приводятся примеры мероприятий и инициатив, реализуемых субнациональными правительствами, городскими и другими местными органами власти в таких областях, как планирование с учетом биоразнообразия, восстановление экосистем, охраняемые и сохраняемые районы, городское биоразнообразие, экологическая связность, повышение осведомленности, создание потенциала, мониторинг и отчетность. Кроме того, в анализе подчеркивается роль институциональных механизмов поддержки, партнерских отношений и добровольных платформ в содействии координации, обмену знаниями и повышению осведомленности о мероприятиях по сохранению биоразнообразия на субнациональном и местном уровнях.</w:t>
      </w:r>
    </w:p>
    <w:p w14:paraId="0ED8654F" w14:textId="77777777" w:rsidR="009504F0" w:rsidRPr="009C2BF7" w:rsidRDefault="009504F0" w:rsidP="009504F0">
      <w:pPr>
        <w:pStyle w:val="CBDNormalNumber"/>
      </w:pPr>
      <w:r>
        <w:t>В анализе также выявлены повторяющиеся проблемы, связанные с координацией на институциональном уровне, техническим и финансовым потенциалом, а также с интеграцией информации субнационального и местного уровней в процессы мониторинга и отчетности в области биоразнообразия.</w:t>
      </w:r>
    </w:p>
    <w:p w14:paraId="1EB34884" w14:textId="4D1EB8EA" w:rsidR="009504F0" w:rsidRPr="009C2BF7" w:rsidRDefault="009504F0" w:rsidP="009504F0">
      <w:pPr>
        <w:pStyle w:val="CBDNormalNumber"/>
      </w:pPr>
      <w:r>
        <w:t>Информация, полученная из седьмых национальных докладов и соответствующих анализов, подготовленных для глобального обзора коллективного прогресса в осуществлении Куньминско-Монреальской глобальной рамочной программы в области биоразнообразия, также позволяет предположить, что выполнение нескольких задач Рамочной программы затрагивает области, в которых субнациональные правительства, городские и другие местные органы власти зачастую выполняют важные обязанности и функции, включая пространственное планирование, восстановление, охраняемые и сохраняемые районы, городское биоразнообразие и привлечение к участию субъектов деятельности.</w:t>
      </w:r>
    </w:p>
    <w:p w14:paraId="5EF1A7FF" w14:textId="1A399CAA" w:rsidR="009504F0" w:rsidRPr="009C2BF7" w:rsidRDefault="009504F0" w:rsidP="009504F0">
      <w:pPr>
        <w:pStyle w:val="CBDNormalNumber"/>
      </w:pPr>
      <w:r>
        <w:t xml:space="preserve">В частности, информация, содержащаяся в седьмых национальных докладах, подчеркивает актуальность задачи 12 Рамочной программы для городских и других местных органов власти, учитывая ее направленность на увеличение площади и качества зеленых и голубых пространств, повышение их связности и доступности, а также выгод от их использования в городах и густонаселенных районах путем обеспечения городского планирования с учетом биоразнообразия. Соответствующие анализы, подготовленные для глобального обзора, свидетельствуют о растущем внимании к озеленению городов, </w:t>
      </w:r>
      <w:r>
        <w:lastRenderedPageBreak/>
        <w:t>экологическим коридорам, восстановлению городских экосистем, планированию городского биоразнообразия и основанным на природных факторах решениям, а также подчеркивают сохраняющиеся проблемы, связанные с системами мониторинга, методологиями, доступностью данных и потенциалом реализации мер по сохранению биоразнообразия.</w:t>
      </w:r>
    </w:p>
    <w:p w14:paraId="169D72C8" w14:textId="77777777" w:rsidR="009504F0" w:rsidRPr="009C2BF7" w:rsidRDefault="009504F0" w:rsidP="009504F0">
      <w:pPr>
        <w:pStyle w:val="CBDNormalNumber"/>
      </w:pPr>
      <w:r>
        <w:t>В целом выводы, полученные из прилагаемого анализа, и информация, содержащаяся в седьмых национальных докладах, позволяют предположить, что укрепление координации, сотрудничества и взаимодействия между органами власти — в надлежащих случаях и в соответствии с национальным законодательством и обстоятельствами — могло бы способствовать более эффективному осуществлению Конвенции и Куньминско-Монреальской глобальной рамочной программы в области биоразнообразия.</w:t>
      </w:r>
    </w:p>
    <w:p w14:paraId="2A9CB2F5" w14:textId="6C97DACC" w:rsidR="001F7A33" w:rsidRPr="009C2BF7" w:rsidRDefault="00455CC6" w:rsidP="001F7A33">
      <w:pPr>
        <w:pStyle w:val="CBDH1"/>
      </w:pPr>
      <w:r>
        <w:t>III.</w:t>
      </w:r>
      <w:r>
        <w:tab/>
        <w:t>Рекомендация</w:t>
      </w:r>
    </w:p>
    <w:p w14:paraId="5032E8D3" w14:textId="5FA7A182" w:rsidR="006270EA" w:rsidRPr="009C2BF7" w:rsidRDefault="006270EA" w:rsidP="006270EA">
      <w:pPr>
        <w:pStyle w:val="CBDNormalNumber"/>
      </w:pPr>
      <w:r>
        <w:t xml:space="preserve">Вспомогательный орган по осуществлению, возможно, пожелает рекомендовать Конференции Сторон на ее 17-м совещании принять решение следующего содержания: </w:t>
      </w:r>
    </w:p>
    <w:p w14:paraId="4C1AD6E5" w14:textId="77777777" w:rsidR="006270EA" w:rsidRPr="009C2BF7" w:rsidRDefault="006270EA" w:rsidP="006656CF">
      <w:pPr>
        <w:pStyle w:val="CBDNormalNoNumber"/>
        <w:ind w:firstLine="567"/>
      </w:pPr>
      <w:r>
        <w:rPr>
          <w:i/>
          <w:iCs/>
        </w:rPr>
        <w:t>Конференция Сторон</w:t>
      </w:r>
      <w:r>
        <w:t>,</w:t>
      </w:r>
    </w:p>
    <w:p w14:paraId="3CB2ECC7" w14:textId="34C98188" w:rsidR="006270EA" w:rsidRPr="009C2BF7" w:rsidRDefault="006270EA" w:rsidP="00FE373E">
      <w:pPr>
        <w:pStyle w:val="CBDNormalNumber"/>
        <w:numPr>
          <w:ilvl w:val="0"/>
          <w:numId w:val="0"/>
        </w:numPr>
        <w:ind w:left="567" w:firstLine="567"/>
      </w:pPr>
      <w:r>
        <w:rPr>
          <w:i/>
          <w:iCs/>
        </w:rPr>
        <w:t>ссылаясь на</w:t>
      </w:r>
      <w:r>
        <w:t xml:space="preserve"> решение </w:t>
      </w:r>
      <w:hyperlink r:id="rId16" w:history="1">
        <w:r>
          <w:rPr>
            <w:rStyle w:val="Hyperlink"/>
          </w:rPr>
          <w:t>15/12</w:t>
        </w:r>
      </w:hyperlink>
      <w:r>
        <w:t xml:space="preserve"> от 19 декабря 2022 года,</w:t>
      </w:r>
    </w:p>
    <w:p w14:paraId="6239B2E5" w14:textId="3D885E65" w:rsidR="006270EA" w:rsidRPr="009C2BF7" w:rsidRDefault="00AC0A80" w:rsidP="006656CF">
      <w:pPr>
        <w:pStyle w:val="CBDNormalNoNumber"/>
        <w:ind w:firstLine="567"/>
      </w:pPr>
      <w:r>
        <w:t>1.</w:t>
      </w:r>
      <w:r>
        <w:rPr>
          <w:i/>
          <w:iCs/>
        </w:rPr>
        <w:tab/>
        <w:t>принимает к сведению</w:t>
      </w:r>
      <w:r>
        <w:t xml:space="preserve"> общее резюме</w:t>
      </w:r>
      <w:r w:rsidR="009C2BF7" w:rsidRPr="009C2BF7">
        <w:rPr>
          <w:rStyle w:val="FootnoteReference"/>
          <w:lang w:val="en-GB"/>
        </w:rPr>
        <w:footnoteReference w:id="7"/>
      </w:r>
      <w:r>
        <w:t xml:space="preserve"> доклада об анализе роли субнациональных правительств, городских и других местных органов власти в осуществлении Конвенции о биологическом разнообразии</w:t>
      </w:r>
      <w:r w:rsidR="00975497" w:rsidRPr="009C2BF7">
        <w:rPr>
          <w:rStyle w:val="FootnoteReference"/>
          <w:lang w:val="en-GB"/>
        </w:rPr>
        <w:footnoteReference w:id="8"/>
      </w:r>
      <w:r>
        <w:t xml:space="preserve"> и протоколов к ней и Куньминско-Монреальской глобальной рамочной программы в области биоразнообразия</w:t>
      </w:r>
      <w:r w:rsidR="00FE373E" w:rsidRPr="009C2BF7">
        <w:rPr>
          <w:rStyle w:val="FootnoteReference"/>
          <w:lang w:val="en-GB"/>
        </w:rPr>
        <w:footnoteReference w:id="9"/>
      </w:r>
      <w:r w:rsidR="009172D5">
        <w:t>;</w:t>
      </w:r>
      <w:r>
        <w:t xml:space="preserve"> </w:t>
      </w:r>
    </w:p>
    <w:p w14:paraId="5A90D6AD" w14:textId="3A70B57C" w:rsidR="006270EA" w:rsidRPr="009C2BF7" w:rsidRDefault="00AC0A80" w:rsidP="006656CF">
      <w:pPr>
        <w:pStyle w:val="CBDNormalNoNumber"/>
        <w:ind w:firstLine="567"/>
      </w:pPr>
      <w:r>
        <w:t>2.</w:t>
      </w:r>
      <w:r>
        <w:rPr>
          <w:i/>
          <w:iCs/>
        </w:rPr>
        <w:tab/>
        <w:t>призывает</w:t>
      </w:r>
      <w:r>
        <w:t xml:space="preserve"> продолжать усилия по укреплению координации, сотрудничества и взаимодействия между всеми органами власти, в том числе в контексте осуществления Плана действий в отношении субнациональных правительств, городских и других местных органов власти в области биоразнообразия (2023–2030 гг.)</w:t>
      </w:r>
      <w:r w:rsidR="001F63D2" w:rsidRPr="009C2BF7">
        <w:rPr>
          <w:rStyle w:val="FootnoteReference"/>
          <w:lang w:val="en-GB"/>
        </w:rPr>
        <w:footnoteReference w:id="10"/>
      </w:r>
      <w:r w:rsidR="009172D5">
        <w:t>;</w:t>
      </w:r>
      <w:r>
        <w:t xml:space="preserve"> в поддержку осуществления Конвенции и протоколов к ней и Рамочной программы.</w:t>
      </w:r>
    </w:p>
    <w:p w14:paraId="31406583" w14:textId="22AFE00C" w:rsidR="001F7A33" w:rsidRPr="009C2BF7" w:rsidRDefault="000E2081" w:rsidP="00EF567C">
      <w:pPr>
        <w:pStyle w:val="CBDNormalNumber"/>
      </w:pPr>
      <w:r>
        <w:br w:type="page"/>
      </w:r>
    </w:p>
    <w:p w14:paraId="35814215" w14:textId="4A16462E" w:rsidR="00D744A5" w:rsidRPr="009C2BF7" w:rsidRDefault="00D744A5" w:rsidP="00D744A5">
      <w:pPr>
        <w:pStyle w:val="CBDAnnex"/>
      </w:pPr>
      <w:r>
        <w:lastRenderedPageBreak/>
        <w:t>Приложение</w:t>
      </w:r>
    </w:p>
    <w:p w14:paraId="6B02B2E0" w14:textId="6F150C52" w:rsidR="001F7A33" w:rsidRPr="009C2BF7" w:rsidRDefault="008F2301" w:rsidP="001F7A33">
      <w:pPr>
        <w:pStyle w:val="CBDTitle"/>
      </w:pPr>
      <w:r>
        <w:t xml:space="preserve">Общее резюме доклада об анализе роли субнациональных правительств, городских и других местных органов власти в осуществлении Конвенции о биологическом разнообразии и протоколов к ней и Куньминско-Монреальской глобальной рамочной программы в области биоразнообразия </w:t>
      </w:r>
    </w:p>
    <w:p w14:paraId="5866276C" w14:textId="23125859" w:rsidR="00961643" w:rsidRPr="006656CF" w:rsidRDefault="001F7A33" w:rsidP="006656CF">
      <w:pPr>
        <w:pStyle w:val="CBDNormalNoNumber"/>
        <w:rPr>
          <w:sz w:val="20"/>
          <w:szCs w:val="20"/>
        </w:rPr>
      </w:pPr>
      <w:r>
        <w:t>Общее резюме доклада об анализе роли субнациональных правительств, городских и других местных органов власти в осуществлении целей Конвенции о биологическом разнообразии и протоколов к ней и Куньминско-Монреальской глобальной рамочной программы в области биоразнообразия приводится ниже в том виде, в котором оно поступило в секретариат.</w:t>
      </w:r>
    </w:p>
    <w:p w14:paraId="2F5C154D" w14:textId="56029946" w:rsidR="00961643" w:rsidRPr="009C2BF7" w:rsidRDefault="004B2919" w:rsidP="006656CF">
      <w:pPr>
        <w:pStyle w:val="CBDH1"/>
      </w:pPr>
      <w:r>
        <w:t>I.</w:t>
      </w:r>
      <w:r>
        <w:tab/>
      </w:r>
      <w:r>
        <w:rPr>
          <w:b w:val="0"/>
          <w:bCs/>
        </w:rPr>
        <w:t>Введение</w:t>
      </w:r>
      <w:r>
        <w:t xml:space="preserve"> - Сохранение динамики от Монреаля и Кали до Еревана</w:t>
      </w:r>
    </w:p>
    <w:p w14:paraId="6514CD6D" w14:textId="52CCFD0B" w:rsidR="00961643" w:rsidRPr="006656CF" w:rsidRDefault="00961643" w:rsidP="006656CF">
      <w:pPr>
        <w:pStyle w:val="CBDNormalNoNumber"/>
      </w:pPr>
      <w:r>
        <w:t xml:space="preserve">Доклад подготовлен во исполнение пункта 7 решения 15/12, в котором Исполнительному секретарю поручено провести анализ роли субнациональных и местных органов власти в осуществлении Конвенции и Куньминско-Монреальской глобальной рамочной программы в области биоразнообразия (КМГРПБ) в преддверии 17-го совещания Конференции Сторон. Сроки проведения данного анализа совпадают со сроками глобального обзора коллективного прогресса в осуществлении КМГРПБ. Хотя сроки совпадают, а информация о вкладе субнациональных и местных органов власти в выполнение задач КМГРПБ, представленная в рамках платформ действий </w:t>
      </w:r>
      <w:hyperlink r:id="rId17">
        <w:r>
          <w:rPr>
            <w:color w:val="1155CC"/>
            <w:u w:val="single"/>
          </w:rPr>
          <w:t>CitiesWithNature</w:t>
        </w:r>
      </w:hyperlink>
      <w:r>
        <w:t xml:space="preserve"> и </w:t>
      </w:r>
      <w:hyperlink r:id="rId18">
        <w:r>
          <w:rPr>
            <w:color w:val="1155CC"/>
            <w:u w:val="single"/>
          </w:rPr>
          <w:t>RegionsWithNature</w:t>
        </w:r>
      </w:hyperlink>
      <w:r>
        <w:t xml:space="preserve">, была направлена в механизм посредничества КБР, анализ участия субнациональных и местных органов власти в соответствии с решением 15/12 представляет собой совершенно отдельный процесс и отдельный доклад. Чтобы разъяснить различие между глобальным обзором и анализом роли субнациональных и местных органов власти, в начале доклада дается краткое изложение каждого из этих процессов обзора, а затем описывается роль субнациональных и местных органов власти в осуществлении КМГРПБ. </w:t>
      </w:r>
    </w:p>
    <w:p w14:paraId="77B58775" w14:textId="2B26D324" w:rsidR="00961643" w:rsidRPr="006656CF" w:rsidRDefault="00C85999" w:rsidP="006656CF">
      <w:pPr>
        <w:pStyle w:val="CBDH2"/>
        <w:jc w:val="left"/>
      </w:pPr>
      <w:r>
        <w:t>1.1.</w:t>
      </w:r>
      <w:r>
        <w:tab/>
        <w:t>Глобальный обзор коллективного прогресса в осуществлении Куньминско-Монреальской глобальной рамочной программы в области биоразнообразия</w:t>
      </w:r>
    </w:p>
    <w:p w14:paraId="0A1A8613" w14:textId="77777777" w:rsidR="00961643" w:rsidRPr="006656CF" w:rsidRDefault="00961643" w:rsidP="006656CF">
      <w:pPr>
        <w:pStyle w:val="CBDNormalNoNumber"/>
      </w:pPr>
      <w:r>
        <w:t xml:space="preserve">После принятия КМГРПБ Стороны преобразовали ее амбициозные цели в национальные приоритеты и действия: к февралю 2026 года 119 Сторон представили национальные задачи, согласованные с Рамочной программой, а 44 — обновили свои национальные стратегии и планы действий по сохранению биоразнообразия (НСПДСБ). Эти документы имеют решающее значение для определения того, как правительства намерены обеспечить выполнение 23 глобальных задач КМГРПБ до 2030 года и достижение четырех долгосрочных целей до 2050 года, а также для формирования концептуальных рамок для мероприятий на субнациональном и местном уровнях. </w:t>
      </w:r>
    </w:p>
    <w:p w14:paraId="3696300A" w14:textId="618CD9F8" w:rsidR="00961643" w:rsidRPr="006656CF" w:rsidRDefault="00961643" w:rsidP="006656CF">
      <w:pPr>
        <w:pStyle w:val="CBDNormalNoNumber"/>
      </w:pPr>
      <w:r>
        <w:t xml:space="preserve">На 16-м совещании Конференции Сторон (КС-16) в Кали Стороны озвучили, что реализация должна ускориться, приняв ряд решений, направленных на содействие и укрепление процессов реализации и обзора — в том числе о введении в действие </w:t>
      </w:r>
      <w:r>
        <w:rPr>
          <w:color w:val="1155CC"/>
          <w:u w:val="single"/>
        </w:rPr>
        <w:t>Калийского фонда для использования выгод от применения цифровой информации о последовательностях</w:t>
      </w:r>
      <w:r>
        <w:t xml:space="preserve">, о создании </w:t>
      </w:r>
      <w:r>
        <w:rPr>
          <w:color w:val="1155CC"/>
          <w:u w:val="single"/>
        </w:rPr>
        <w:t>постоянного органа для повышения роли коренных народов и местных общин</w:t>
      </w:r>
      <w:r>
        <w:t xml:space="preserve"> и </w:t>
      </w:r>
      <w:r>
        <w:rPr>
          <w:color w:val="1155CC"/>
          <w:u w:val="single"/>
        </w:rPr>
        <w:t xml:space="preserve">разработке Стратегии мобилизации ресурсов на 2025–2030 годы. </w:t>
      </w:r>
    </w:p>
    <w:p w14:paraId="3ABDBEC2" w14:textId="42E1CB14" w:rsidR="00961643" w:rsidRPr="006656CF" w:rsidRDefault="00961643" w:rsidP="006656CF">
      <w:pPr>
        <w:pStyle w:val="CBDNormalNoNumber"/>
      </w:pPr>
      <w:r>
        <w:t xml:space="preserve">Кроме того, в целях обеспечения своевременной и эффективной оценки прогресса в достижении целей и выполнении задач глобальной рамочной программы в области биоразнообразия Стороны приняли </w:t>
      </w:r>
      <w:r>
        <w:rPr>
          <w:color w:val="1155CC"/>
          <w:u w:val="single"/>
        </w:rPr>
        <w:t>механизмы планирования, мониторинга, отчетности и обзора, включая глобальный обзор коллективного прогресса в осуществлении КМГРПБ</w:t>
      </w:r>
      <w:r>
        <w:t xml:space="preserve"> (глобальный обзор), который будет проводиться на 17-м и 19-м совещаниях Конференции </w:t>
      </w:r>
      <w:r>
        <w:lastRenderedPageBreak/>
        <w:t xml:space="preserve">Сторон (решения 15/6 и 16/32). Тем самым был создан механизм проведения </w:t>
      </w:r>
      <w:r>
        <w:rPr>
          <w:b/>
          <w:bCs/>
        </w:rPr>
        <w:t>регулярного глобального обзора,</w:t>
      </w:r>
      <w:r>
        <w:t xml:space="preserve"> аналогичный механизму в области климата, а также механизм для представления отчетности и оценки коллективного прогресса, выявления пробелов и оказания помощи Сторонам в повышении уровня амбиций в отношении задач на период до 2030 года и целей на период до 2050 года. Решением 15/6 Вспомогательному органу по осуществлению (ВОО) было поручено разработать определенный порядок проведения глобального обзора с учетом рекомендаций Вспомогательного органа по научным, техническим и технологическим консультациям (ВОНТТК) по соответствующим научно-техническим и технологическим вопросам, которые должны учитываться в глобальном обзоре</w:t>
      </w:r>
      <w:r w:rsidRPr="006656CF">
        <w:rPr>
          <w:vertAlign w:val="superscript"/>
          <w:lang w:val="en-GB"/>
        </w:rPr>
        <w:footnoteReference w:id="11"/>
      </w:r>
      <w:r w:rsidR="009172D5">
        <w:t>.</w:t>
      </w:r>
      <w:r>
        <w:t xml:space="preserve"> </w:t>
      </w:r>
    </w:p>
    <w:p w14:paraId="1C4BEB20" w14:textId="76CD825E" w:rsidR="00961643" w:rsidRPr="006656CF" w:rsidRDefault="00961643" w:rsidP="006656CF">
      <w:pPr>
        <w:pStyle w:val="CBDNormalNoNumber"/>
      </w:pPr>
      <w:r>
        <w:t>Контроль за процессом проведения глобального обзора осуществляет Консультативный комитет, который обеспечивает, чтобы обзор проводился под руководством Сторон и при поддержке Специальной научно-технической консультативной группы для подготовки глобального доклада о коллективном прогрессе в осуществлении Куньминско-Монреальской глобальной рамочной программы в области биоразнообразия. Процесс глобального обзора был инициирован после принятия решения 15/6 и включает анализ данных — в том числе национальных докладов, научных оценок, а также материалов, представленных правительствами и субъектами деятельности. В ходе проведения глобального обзора Стороны анализируют препятствия и извлеченные уроки, обмениваются передовым опытом и определяют, какая дополнительная поддержка необходима.</w:t>
      </w:r>
    </w:p>
    <w:p w14:paraId="2787EB84" w14:textId="2C4828DF" w:rsidR="00961643" w:rsidRPr="006656CF" w:rsidRDefault="00961643" w:rsidP="006656CF">
      <w:pPr>
        <w:pStyle w:val="CBDNormalNoNumber"/>
      </w:pPr>
      <w:r>
        <w:t xml:space="preserve">С момента принятия КМГРПБ «дорожная карта» от Монреаля до Кали и Еревана была полностью сосредоточена на проведении первого глобального обзора. Стороны, правительства других стран и наблюдатели соберутся в Армении на 17-е совещание Конференции Сторон (КС-17), где впервые с момента принятия КМГРПБ мир даст ответы на важнейшие вопросы: </w:t>
      </w:r>
      <w:r>
        <w:rPr>
          <w:i/>
          <w:iCs/>
        </w:rPr>
        <w:t>идем ли мы по плану для выполнения 23 глобальных задач?</w:t>
      </w:r>
      <w:r>
        <w:t xml:space="preserve"> Если нет, </w:t>
      </w:r>
      <w:r>
        <w:rPr>
          <w:i/>
          <w:iCs/>
        </w:rPr>
        <w:t>что необходимо ускорить, укрепить или исправить?</w:t>
      </w:r>
    </w:p>
    <w:p w14:paraId="2462E5F8" w14:textId="2B05A4BC" w:rsidR="00961643" w:rsidRPr="006656CF" w:rsidRDefault="00961643" w:rsidP="006656CF">
      <w:pPr>
        <w:pStyle w:val="CBDNormalNoNumber"/>
      </w:pPr>
      <w:r>
        <w:t>Ключевой вехой этой «дорожной карты» стало 26-е совещание ВОНТТК, которое прошло в Панаме в октябре 2025 года. На нем делегаты согласовали проект плана первого глобального доклада о ходе работы, призванного оценить коллективный прогресс, проанализировать ход реализации на национальном уровне в рамках НСПДСБ, выявить сохраняющиеся пробелы и обозначить приоритетные меры, необходимые для ускорения достижения целей в масштабах всей Рамочной программы.</w:t>
      </w:r>
    </w:p>
    <w:p w14:paraId="5722F667" w14:textId="3E1F6086" w:rsidR="00961643" w:rsidRPr="006656CF" w:rsidRDefault="00961643" w:rsidP="006656CF">
      <w:pPr>
        <w:pStyle w:val="CBDNormalNoNumber"/>
      </w:pPr>
      <w:r>
        <w:t>Одним словом, от Кали до Еревана мировое сообщество переходит от обязательств к действиям и подотчётности. Глобальный обзор на 17-м совещании Конференции Сторон определит направление на оставшуюся часть десятилетия, обеспечив, чтобы КМГРПБ стала не просто планом на бумаге, а реальным путем к жизни в гармонии с природой к 2050 году.</w:t>
      </w:r>
    </w:p>
    <w:p w14:paraId="7353AEF9" w14:textId="6616B410" w:rsidR="00961643" w:rsidRPr="006656CF" w:rsidRDefault="00C85999" w:rsidP="006656CF">
      <w:pPr>
        <w:pStyle w:val="CBDH2"/>
        <w:jc w:val="left"/>
      </w:pPr>
      <w:r>
        <w:t>1.2.</w:t>
      </w:r>
      <w:r>
        <w:tab/>
        <w:t>Цель и сфера охвата анализа роли субнациональных правительств, городских и других местных органов власти в осуществлении Конвенции, протоколов к ней и КМГРПБ</w:t>
      </w:r>
    </w:p>
    <w:p w14:paraId="6C6C7ECA" w14:textId="0E569353" w:rsidR="00961643" w:rsidRPr="006656CF" w:rsidRDefault="00961643" w:rsidP="006656CF">
      <w:pPr>
        <w:pStyle w:val="CBDNormalNoNumber"/>
      </w:pPr>
      <w:r>
        <w:t xml:space="preserve">Решение 15/12 о привлечении к участию субнациональных правительств, городских и других местных органов власти в целях активизации осуществления КМГРПБ, принятой на 15-м совещании Конференции Сторон, является знаковым решением, поскольку представляет собой единственный механизм многоуровневого управления в рамках трех Рио-де-Жанейрских конвенций. Оно обеспечивает концептуальные рамки и всеобъемлющий план действий на десятилетие для оказания поддержки Сторонам и субнациональным и местным органам власти в осуществлении КМГРПБ. Как упоминалось выше, в решении 15/12 Исполнительному секретарю поручено провести анализ роли субнациональных правительств, городских и других местных органов власти в осуществлении целей Конвенции и протоколов </w:t>
      </w:r>
      <w:r>
        <w:lastRenderedPageBreak/>
        <w:t xml:space="preserve">к ней и КМГРПБ, при условии наличия ресурсов, и представить доклад Вспомогательному органу по осуществлению для рассмотрения до 17-го совещания Конференции Сторон. </w:t>
      </w:r>
    </w:p>
    <w:p w14:paraId="194900CC" w14:textId="6541BE1D" w:rsidR="00961643" w:rsidRPr="006656CF" w:rsidRDefault="00961643" w:rsidP="006656CF">
      <w:pPr>
        <w:pStyle w:val="CBDNormalNoNumber"/>
      </w:pPr>
      <w:r>
        <w:t>Цель настоящего доклада заключается в том, чтобы ответить на это поручение Сторон, проведя анализ важнейшей роли субнациональных и местных органов власти в содействии осуществлению КМГРПБ и выполнению ее задач на период до 2030 года, измеряемых относительно семи областей деятельности, определенных в решении 15/12. Как органы власти, наиболее близкие к населению и ответственные за планирование в области землепользования, восстановление, охраняемые районы и действия на уровне общин, субнациональные и местные органы власти действуют там, где давление на биоразнообразие ощущается сильнее всего. Поэтому они занимают идеальное положение для реализации мер и решений, которые являются наиболее эффективными в решении проблем утраты биоразнообразия и деградации экосистем на местах.</w:t>
      </w:r>
    </w:p>
    <w:p w14:paraId="20B05DDD" w14:textId="262754A0" w:rsidR="00961643" w:rsidRPr="006656CF" w:rsidRDefault="00961643" w:rsidP="006656CF">
      <w:pPr>
        <w:pStyle w:val="CBDNormalNoNumber"/>
      </w:pPr>
      <w:r>
        <w:t xml:space="preserve">Настоящий доклад </w:t>
      </w:r>
      <w:r>
        <w:rPr>
          <w:b/>
          <w:bCs/>
        </w:rPr>
        <w:t>не предназначен</w:t>
      </w:r>
      <w:r>
        <w:t xml:space="preserve"> выступать в качестве систематического и всеобъемлющего доклада для демонстрации и оценки прогресса, уже достигнутого субнациональными и местными органами власти. Его цель заключается лишь в том, чтобы дать обзор некоторых из многочисленных инициатив, мер, программ и проектов, реализуемых городами — как крупными, так и небольшими, — районными органами власти, провинциями, штатами и префектурами по всему миру, которые вносят вклад в выполнение задач на период до 2030 года и реализацию областей деятельности, определенных в Плане действий, принятом в соответствии с решением 15/12 КБР. Это отражено с позиций двух взаимодополняющих подходов:</w:t>
      </w:r>
    </w:p>
    <w:p w14:paraId="290DB344" w14:textId="77777777" w:rsidR="00961643" w:rsidRPr="006656CF" w:rsidRDefault="00961643" w:rsidP="00961643">
      <w:pPr>
        <w:widowControl w:val="0"/>
        <w:numPr>
          <w:ilvl w:val="0"/>
          <w:numId w:val="8"/>
        </w:numPr>
        <w:tabs>
          <w:tab w:val="clear" w:pos="567"/>
          <w:tab w:val="clear" w:pos="1134"/>
          <w:tab w:val="clear" w:pos="1701"/>
          <w:tab w:val="clear" w:pos="2268"/>
        </w:tabs>
        <w:spacing w:before="240"/>
      </w:pPr>
      <w:r>
        <w:t>во-первых, аналитический обзор мер, принятых для реализации областей деятельности, определенных в решении 15/12, с точки зрения субнациональных и местных органов власти; и</w:t>
      </w:r>
    </w:p>
    <w:p w14:paraId="0DA2F23A" w14:textId="0ADAD9C1" w:rsidR="00961643" w:rsidRPr="006656CF" w:rsidRDefault="00961643" w:rsidP="00961643">
      <w:pPr>
        <w:widowControl w:val="0"/>
        <w:numPr>
          <w:ilvl w:val="0"/>
          <w:numId w:val="8"/>
        </w:numPr>
        <w:tabs>
          <w:tab w:val="clear" w:pos="567"/>
          <w:tab w:val="clear" w:pos="1134"/>
          <w:tab w:val="clear" w:pos="1701"/>
          <w:tab w:val="clear" w:pos="2268"/>
        </w:tabs>
        <w:spacing w:after="240"/>
      </w:pPr>
      <w:r>
        <w:t>во-вторых, подборка типичных примеров из практики субнациональных и местных органов власти со всего мира, иллюстрирующих их вклад в выполнение задач КМГРПБ.</w:t>
      </w:r>
    </w:p>
    <w:p w14:paraId="3F33493A" w14:textId="4DE63BCA" w:rsidR="00961643" w:rsidRPr="006656CF" w:rsidRDefault="00961643" w:rsidP="006656CF">
      <w:pPr>
        <w:pStyle w:val="CBDNormalNoNumber"/>
      </w:pPr>
      <w:r>
        <w:t>В соответствии с решением 15/12 в докладе подчеркивается, что признание и укрепление вклада субнациональных и местных органов власти соответствует общегосударственному подходу, заложенному в КМГРПБ. Субнациональные и местные органы власти являются составной частью многих Сторон и правительств других стран, и их роль в достижении целей Конвенции, а также в мониторинге и отчетности, учете проблематики, мобилизации ресурсов, создании потенциала, коммуникации, просвещении и повышении осведомленности общественности, обеспечении участия общества и доступа общественности к информации имеет решающее значение для успешного и эффективного осуществления КМГРПБ.</w:t>
      </w:r>
    </w:p>
    <w:p w14:paraId="2D8D0BB7" w14:textId="108EF8F6" w:rsidR="00961643" w:rsidRPr="006656CF" w:rsidRDefault="00C85999" w:rsidP="006656CF">
      <w:pPr>
        <w:pStyle w:val="CBDH2"/>
      </w:pPr>
      <w:r>
        <w:t>1.3.</w:t>
      </w:r>
      <w:r>
        <w:tab/>
        <w:t>Процесс и методология проведения обзора</w:t>
      </w:r>
    </w:p>
    <w:p w14:paraId="0AC4E5F1" w14:textId="1D147128" w:rsidR="00961643" w:rsidRPr="006656CF" w:rsidRDefault="00961643" w:rsidP="006656CF">
      <w:pPr>
        <w:pStyle w:val="CBDNormalNoNumber"/>
      </w:pPr>
      <w:r>
        <w:t xml:space="preserve">В решении 15/12 не содержится никаких указаний относительно порядка и процедуры проведения обзора, а также сферы охвата, за исключением его проведения «при условии наличия ресурсов». Нехватка ресурсов не позволила провести всесторонний, систематический сбор проверенных данных и их анализ на всех уровнях и во всех секторах государственного управления. Вместо этого из-за нехватки ресурсов обзор был ограничен легкодоступными и имеющимися данными. Соответственно, настоящий доклад был подготовлен на основе сочетания оперативного общего аналитического обзора и анализа существующих источников данных. Он опирается в первую очередь на тематические исследования из базы данных Regions4, а также на обязательства, меры и прогресс, о которых сообщают субнациональные и местные органы власти на платформах действий </w:t>
      </w:r>
      <w:hyperlink r:id="rId19">
        <w:r>
          <w:rPr>
            <w:color w:val="1155CC"/>
            <w:u w:val="single"/>
          </w:rPr>
          <w:t>RegionsWithNature</w:t>
        </w:r>
      </w:hyperlink>
      <w:r>
        <w:t xml:space="preserve"> и </w:t>
      </w:r>
      <w:hyperlink r:id="rId20">
        <w:r>
          <w:rPr>
            <w:color w:val="1155CC"/>
            <w:u w:val="single"/>
          </w:rPr>
          <w:t>CitiesWithNature</w:t>
        </w:r>
      </w:hyperlink>
      <w:r>
        <w:t xml:space="preserve">. В совокупности эти источники дают наглядное представление об инновациях, проблемах и вкладе субнациональных и местных органов власти в осуществление КМГРПБ. Однако нехватка ресурсов для всестороннего сбора данных </w:t>
      </w:r>
      <w:r>
        <w:lastRenderedPageBreak/>
        <w:t xml:space="preserve">выявила определенные пробелы. Главный из них заключается в том, что доклад отражает точку зрения лишь субнациональных органов власти и не показывает меры или прогресс в более широком контексте многоуровневого управления. Отсутствие финансирования для проведения всестороннего и систематического обзора прогресса привело к тому, что меры, принятые на национальном уровне в отношении семи областей деятельности в рамках Плана действий, не удалось включить в настоящий доклад. Во-вторых, поскольку доклад основан на имеющихся задокументированных тематических исследованиях и обязательствах, добровольно представленных городами и регионами, он не в полной мере отражает ситуацию с субнациональными и местными органами власти по всему миру. </w:t>
      </w:r>
    </w:p>
    <w:p w14:paraId="3EB607CC" w14:textId="371B7CD3" w:rsidR="00961643" w:rsidRPr="009C2BF7" w:rsidRDefault="00FB707D" w:rsidP="006656CF">
      <w:pPr>
        <w:pStyle w:val="CBDH1"/>
        <w:spacing w:before="120"/>
      </w:pPr>
      <w:r>
        <w:t>2.</w:t>
      </w:r>
      <w:r>
        <w:tab/>
        <w:t xml:space="preserve">Общие сведения </w:t>
      </w:r>
    </w:p>
    <w:p w14:paraId="6855EE41" w14:textId="4B1885D6" w:rsidR="00961643" w:rsidRPr="006656CF" w:rsidRDefault="00C85999" w:rsidP="006656CF">
      <w:pPr>
        <w:pStyle w:val="CBDH2"/>
        <w:jc w:val="left"/>
      </w:pPr>
      <w:r>
        <w:t>2.1.</w:t>
      </w:r>
      <w:r>
        <w:tab/>
        <w:t>Общегосударственный подход в осуществлении Куньминско-Монреальской глобальной рамочной программы в области биоразнообразия</w:t>
      </w:r>
    </w:p>
    <w:p w14:paraId="43A228F3" w14:textId="68B681AE" w:rsidR="00961643" w:rsidRPr="006656CF" w:rsidRDefault="00961643" w:rsidP="006656CF">
      <w:pPr>
        <w:pStyle w:val="CBDNormalNoNumber"/>
      </w:pPr>
      <w:r>
        <w:t xml:space="preserve">На практике общегосударственный подход подразумевает то, что Стороны несут ответственность за разработку и принятие государственной политики и правовых и административных мер, необходимых для осуществления на национальном уровне, и что провинции, города и муниципалитеты должны вносить свой вклад в выполнение задач КМГРПБ и реализацию концепции на период до 2050 года «Жизнь в гармонии с природой». Такой подход признает, что для успешной реализации КМГРПБ требуется политическая воля и признание на самом высоком уровне власти; </w:t>
      </w:r>
      <w:r>
        <w:rPr>
          <w:b/>
          <w:bCs/>
        </w:rPr>
        <w:t xml:space="preserve">он опирается на действия и сотрудничество всех уровней власти. </w:t>
      </w:r>
      <w:r>
        <w:t>Это отражено непосредственно в Рамочной программе, которая впервые включает задачу, конкретно направленную на местные органы власти (задача 12), наряду с многочисленными дополнительными упоминаниями о роли субнациональных и местных органов власти в решениях КБР. Аналитический обзор мер, принятых на субнациональном и местном уровнях, представленных в тематических исследованиях в рамках платформ действий CitiesWithNature и RegionsWithNature, показывает, что эти уровни власти вносят вклад в выполнение гораздо более широкого спектра задач, чем только задачи 12.</w:t>
      </w:r>
    </w:p>
    <w:p w14:paraId="3F09DD5A" w14:textId="77777777" w:rsidR="00961643" w:rsidRPr="006656CF" w:rsidRDefault="00961643" w:rsidP="006656CF">
      <w:pPr>
        <w:pStyle w:val="CBDNormalNoNumber"/>
      </w:pPr>
      <w:r>
        <w:t>Кроме того, общегосударственный подход способствует созданию более тесной взаимосвязи между многосторонними природоохранными соглашениями. Даже скромные шаги по согласованию реализации НСПДСБ, определяемых на национальном уровне вкладов (ОНУВ) и целевых показателей нейтрального баланса деградации земель могут принести значительные выгоды. Секретариаты трех Рио-де-Жанейрских конвенций призваны сыграть важную роль в содействии этой координации. Здесь также в ходе аналитического обзора было выявлено несколько примеров того, как субнациональные и местные органы власти интегрируют соображения в области биоразнообразия в местные планы по борьбе с изменением климата и наоборот, а также синхронизируют цели в области климата и биоразнообразия.</w:t>
      </w:r>
    </w:p>
    <w:p w14:paraId="787D8ED2" w14:textId="4CEA2D9B" w:rsidR="00961643" w:rsidRPr="006656CF" w:rsidRDefault="00C85999" w:rsidP="006656CF">
      <w:pPr>
        <w:pStyle w:val="CBDH2"/>
      </w:pPr>
      <w:r>
        <w:t>2.2.</w:t>
      </w:r>
      <w:r>
        <w:tab/>
        <w:t xml:space="preserve">План действий в соответствии с решением 15/12 </w:t>
      </w:r>
    </w:p>
    <w:p w14:paraId="03DD1949" w14:textId="4EE483DA" w:rsidR="00961643" w:rsidRPr="006656CF" w:rsidRDefault="00961643" w:rsidP="006656CF">
      <w:pPr>
        <w:pStyle w:val="CBDNormalNoNumber"/>
      </w:pPr>
      <w:r>
        <w:t>План действий рассчитан на осуществление в соответствии с национальным законодательством и включает перечень видов деятельности, сгруппированных в семь взаимосвязанных и взаимодополняющих областей деятельности. План действий имеет следующие цели:</w:t>
      </w:r>
    </w:p>
    <w:p w14:paraId="541FB6E5" w14:textId="2FA3154B" w:rsidR="00961643" w:rsidRPr="006656CF" w:rsidRDefault="00961643" w:rsidP="006656CF">
      <w:pPr>
        <w:tabs>
          <w:tab w:val="clear" w:pos="1134"/>
        </w:tabs>
        <w:spacing w:before="120" w:after="120"/>
        <w:ind w:left="567" w:firstLine="567"/>
      </w:pPr>
      <w:r>
        <w:t>(a)</w:t>
      </w:r>
      <w:r>
        <w:tab/>
      </w:r>
      <w:r>
        <w:rPr>
          <w:b/>
          <w:bCs/>
        </w:rPr>
        <w:t>расширение участия на местном уровне</w:t>
      </w:r>
      <w:r>
        <w:t xml:space="preserve"> путем более широкого привлечения субнациональных правительств, городских и других местных органов власти к осуществлению рамочных программ и стратегий по сохранению биоразнообразия и представлению соответствующей отчетности;</w:t>
      </w:r>
    </w:p>
    <w:p w14:paraId="5FB863EE" w14:textId="1E74A295" w:rsidR="00961643" w:rsidRPr="006656CF" w:rsidRDefault="00961643" w:rsidP="006656CF">
      <w:pPr>
        <w:tabs>
          <w:tab w:val="clear" w:pos="1134"/>
        </w:tabs>
        <w:spacing w:before="120" w:after="120"/>
        <w:ind w:left="567" w:firstLine="567"/>
      </w:pPr>
      <w:r>
        <w:t>(b)</w:t>
      </w:r>
      <w:r>
        <w:rPr>
          <w:b/>
          <w:bCs/>
        </w:rPr>
        <w:tab/>
        <w:t>улучшение координации и обмена знаниями</w:t>
      </w:r>
      <w:r>
        <w:t xml:space="preserve"> путем укрепления сотрудничества и обмена практическими навыками между органами власти, организациями, научными </w:t>
      </w:r>
      <w:r>
        <w:lastRenderedPageBreak/>
        <w:t>кругами и донорами в целях оказания поддержки в устойчивом управлении биоразнообразием и интеграции в процессы планирования;</w:t>
      </w:r>
    </w:p>
    <w:p w14:paraId="3FDE7B27" w14:textId="10DA9D88" w:rsidR="00961643" w:rsidRPr="006656CF" w:rsidRDefault="00961643" w:rsidP="006656CF">
      <w:pPr>
        <w:tabs>
          <w:tab w:val="clear" w:pos="1134"/>
        </w:tabs>
        <w:spacing w:before="120" w:after="120"/>
        <w:ind w:left="567" w:firstLine="567"/>
      </w:pPr>
      <w:r>
        <w:t>(c)</w:t>
      </w:r>
      <w:r>
        <w:tab/>
      </w:r>
      <w:r>
        <w:rPr>
          <w:b/>
          <w:bCs/>
        </w:rPr>
        <w:t>оказание поддержки в создании потенциала и инструментов</w:t>
      </w:r>
      <w:r>
        <w:t xml:space="preserve"> путем выявления и продвижения политики, механизмов финансирования и программ, которые дают местным органам власти возможность принимать эффективные меры по сохранению биоразнообразия в соответствии с национальными усилиями;</w:t>
      </w:r>
    </w:p>
    <w:p w14:paraId="55274AE7" w14:textId="2DDA19FD" w:rsidR="00961643" w:rsidRPr="006656CF" w:rsidRDefault="00961643" w:rsidP="006656CF">
      <w:pPr>
        <w:tabs>
          <w:tab w:val="clear" w:pos="1134"/>
        </w:tabs>
        <w:spacing w:before="120" w:after="120"/>
        <w:ind w:left="567" w:firstLine="567"/>
      </w:pPr>
      <w:r>
        <w:t>(d)</w:t>
      </w:r>
      <w:r>
        <w:tab/>
      </w:r>
      <w:r>
        <w:rPr>
          <w:b/>
          <w:bCs/>
        </w:rPr>
        <w:t xml:space="preserve">повышение </w:t>
      </w:r>
      <w:r>
        <w:t>осведомленности путем поощрения биоразнообразия посредством коммуникации, просвещения и повышения осведомленности общественности.</w:t>
      </w:r>
    </w:p>
    <w:p w14:paraId="5F71618C" w14:textId="77777777" w:rsidR="00961643" w:rsidRPr="006656CF" w:rsidRDefault="00961643" w:rsidP="006656CF">
      <w:pPr>
        <w:pStyle w:val="CBDNormalNoNumber"/>
      </w:pPr>
      <w:r>
        <w:t>Стороны и другие правительства настоятельно призываются осуществлять План действий сообразно обстоятельствам, с учетом национальных приоритетов, возможностей и потребностей, при поддержке со стороны секретариата и других основных партнеров, таких как Сеть местных органов власти за устойчивое развитие (ICLEI), Сеть Regions4, Группа ведущих субнациональных правительств и Комитет Европейского союза по регионам. К другим ключевым элементам, касающимся осуществления Плана действий, относятся:</w:t>
      </w:r>
    </w:p>
    <w:p w14:paraId="1BB82BB3" w14:textId="77777777" w:rsidR="00961643" w:rsidRPr="006656CF" w:rsidRDefault="00961643" w:rsidP="00961643">
      <w:pPr>
        <w:widowControl w:val="0"/>
        <w:numPr>
          <w:ilvl w:val="0"/>
          <w:numId w:val="10"/>
        </w:numPr>
        <w:tabs>
          <w:tab w:val="clear" w:pos="1134"/>
          <w:tab w:val="clear" w:pos="1701"/>
          <w:tab w:val="clear" w:pos="2268"/>
        </w:tabs>
        <w:ind w:left="1418" w:hanging="425"/>
      </w:pPr>
      <w:r>
        <w:rPr>
          <w:b/>
          <w:bCs/>
        </w:rPr>
        <w:t>оценка и данные:</w:t>
      </w:r>
      <w:r>
        <w:t xml:space="preserve"> поощрение использования добровольных инструментов, таких как Сингапурский индекс, и совершенствование совместного сбора данных для планирования, основанного на фактических данных;</w:t>
      </w:r>
    </w:p>
    <w:p w14:paraId="037144D4" w14:textId="77777777" w:rsidR="00961643" w:rsidRPr="006656CF" w:rsidRDefault="00961643" w:rsidP="00961643">
      <w:pPr>
        <w:widowControl w:val="0"/>
        <w:numPr>
          <w:ilvl w:val="0"/>
          <w:numId w:val="10"/>
        </w:numPr>
        <w:tabs>
          <w:tab w:val="clear" w:pos="1134"/>
          <w:tab w:val="clear" w:pos="1701"/>
          <w:tab w:val="clear" w:pos="2268"/>
        </w:tabs>
        <w:ind w:left="1418" w:hanging="425"/>
      </w:pPr>
      <w:r>
        <w:rPr>
          <w:b/>
          <w:bCs/>
        </w:rPr>
        <w:t>мониторинг и отчетность:</w:t>
      </w:r>
      <w:r>
        <w:t xml:space="preserve"> стимулирование к использованию платформ по обязательствам и отчетности, таких как RegionsWithNature и CitiesWithNature, а также включение вклада местных органов власти в национальную отчетность;</w:t>
      </w:r>
    </w:p>
    <w:p w14:paraId="2B6A217A" w14:textId="2323BF80" w:rsidR="00961643" w:rsidRPr="006656CF" w:rsidRDefault="00961643" w:rsidP="00961643">
      <w:pPr>
        <w:widowControl w:val="0"/>
        <w:numPr>
          <w:ilvl w:val="0"/>
          <w:numId w:val="10"/>
        </w:numPr>
        <w:tabs>
          <w:tab w:val="clear" w:pos="1134"/>
          <w:tab w:val="clear" w:pos="1701"/>
          <w:tab w:val="clear" w:pos="2268"/>
        </w:tabs>
        <w:ind w:left="1418" w:hanging="425"/>
      </w:pPr>
      <w:r>
        <w:rPr>
          <w:b/>
          <w:bCs/>
        </w:rPr>
        <w:t>институциональная поддержка:</w:t>
      </w:r>
      <w:r>
        <w:t xml:space="preserve"> мобилизация Глобального партнерства и консультативных комитетов КБР для руководства и координации осуществления; и</w:t>
      </w:r>
    </w:p>
    <w:p w14:paraId="21932275" w14:textId="77777777" w:rsidR="00961643" w:rsidRPr="006656CF" w:rsidRDefault="00961643" w:rsidP="00961643">
      <w:pPr>
        <w:widowControl w:val="0"/>
        <w:numPr>
          <w:ilvl w:val="0"/>
          <w:numId w:val="10"/>
        </w:numPr>
        <w:tabs>
          <w:tab w:val="clear" w:pos="1134"/>
          <w:tab w:val="clear" w:pos="1701"/>
          <w:tab w:val="clear" w:pos="2268"/>
        </w:tabs>
        <w:spacing w:after="240"/>
        <w:ind w:left="1418" w:hanging="425"/>
      </w:pPr>
      <w:r>
        <w:rPr>
          <w:b/>
          <w:bCs/>
        </w:rPr>
        <w:t>гибкость:</w:t>
      </w:r>
      <w:r>
        <w:t xml:space="preserve"> обеспечение возможности адаптации Плана к меняющимся национальным и местным приоритетам.</w:t>
      </w:r>
    </w:p>
    <w:p w14:paraId="510A7C41" w14:textId="7C9A8B48" w:rsidR="00961643" w:rsidRPr="006656CF" w:rsidRDefault="00961643" w:rsidP="006656CF">
      <w:pPr>
        <w:pStyle w:val="CBDNormalNoNumber"/>
      </w:pPr>
      <w:r>
        <w:t xml:space="preserve">Кроме того, в Плане действий определены семь взаимосвязанных и взаимодополняющих областей деятельности, обеспечивающих концептуальные рамки, на основе которых Стороны, их субнациональные и местные органы власти и субъекты деятельности могут разработать свои собственные мероприятия для осуществления Плана действий. По существу, решение 15/12 усиливает наглядность, поддержку и интеграцию вклада субнациональных и местных органов власти в рамках КБР, признавая, что эффективное осуществление ГПБ зависит от скоординированных действий на всех уровнях органов власти. </w:t>
      </w:r>
    </w:p>
    <w:p w14:paraId="1A4DA853" w14:textId="1C247205" w:rsidR="00961643" w:rsidRPr="009C2BF7" w:rsidRDefault="00F06F13" w:rsidP="006656CF">
      <w:pPr>
        <w:pStyle w:val="CBDH1"/>
      </w:pPr>
      <w:r>
        <w:t>3.</w:t>
      </w:r>
      <w:r>
        <w:tab/>
        <w:t>Прогресс по семи областям деятельности, предусмотренным в Плане действий</w:t>
      </w:r>
    </w:p>
    <w:p w14:paraId="303F4268" w14:textId="7CCBB84D" w:rsidR="00961643" w:rsidRPr="006656CF" w:rsidRDefault="00961643" w:rsidP="006656CF">
      <w:pPr>
        <w:pStyle w:val="CBDNormalNoNumber"/>
      </w:pPr>
      <w:r>
        <w:t xml:space="preserve">Поскольку в решении 15/12 предусмотрено, что осуществление Плана действий будет поддерживаться Консультативным комитетом по местным органам власти и биоразнообразию и Консультативным комитетом по субнациональным правительствам и биоразнообразию, а также Глобальным партнерством по субнациональным и местным органам власти для сохранения биоразнообразия, данный раздел начинается с краткого обзора того, как эти структуры содействовали осуществлению Плана с 2022 года. Прогресс субнациональных и местных органов власти по каждому из семи областей деятельности излагается начиная с подраздела 3.3 ниже. Как пояснялось в разделе 1.3 выше, здесь не рассматривается деятельность, предпринимаемая на национальном уровне в отношении семи областей деятельности Плана действий. </w:t>
      </w:r>
    </w:p>
    <w:p w14:paraId="05E369D9" w14:textId="3FA92406" w:rsidR="00961643" w:rsidRPr="006656CF" w:rsidRDefault="009D069C" w:rsidP="006656CF">
      <w:pPr>
        <w:pStyle w:val="CBDH2"/>
      </w:pPr>
      <w:r>
        <w:t>3.1.</w:t>
      </w:r>
      <w:r>
        <w:tab/>
        <w:t xml:space="preserve">Консультативные комитеты КБР по субнациональным правительствам и по местным органам власти и биоразнообразию </w:t>
      </w:r>
    </w:p>
    <w:p w14:paraId="00606A0D" w14:textId="440E359B" w:rsidR="00961643" w:rsidRPr="006656CF" w:rsidRDefault="00961643" w:rsidP="006656CF">
      <w:pPr>
        <w:pStyle w:val="CBDNormalNoNumber"/>
      </w:pPr>
      <w:r>
        <w:t xml:space="preserve">Цель Комитета по местным органам власти и биоразнообразию и Консультативного комитета по субнациональным правительствам и биоразнообразию, учрежденных в соответствии с </w:t>
      </w:r>
      <w:r>
        <w:lastRenderedPageBreak/>
        <w:t xml:space="preserve">решением X/22 в 2010 году и продленных в соответствии с решением 15/12, заключается во внесении вклада в План действий и оказании поддержки, опираясь на мнения городских и местных органов власти и субнациональных правительств, соответственно. </w:t>
      </w:r>
    </w:p>
    <w:p w14:paraId="0DD11B64" w14:textId="58FEFC30" w:rsidR="00961643" w:rsidRPr="006656CF" w:rsidRDefault="00961643" w:rsidP="006656CF">
      <w:pPr>
        <w:pStyle w:val="CBDNormalNoNumber"/>
      </w:pPr>
      <w:r>
        <w:rPr>
          <w:b/>
          <w:bCs/>
        </w:rPr>
        <w:t>Консультативный комитет по субнациональным правительствам и биоразнообразию</w:t>
      </w:r>
      <w:r>
        <w:t xml:space="preserve"> (КК СНП) координируется Сетью Regions4 в партнерстве с правительством Квебека. В настоящее время в его состав входят 26</w:t>
      </w:r>
      <w:r w:rsidRPr="006656CF">
        <w:rPr>
          <w:vertAlign w:val="superscript"/>
          <w:lang w:val="en-GB"/>
        </w:rPr>
        <w:footnoteReference w:id="12"/>
      </w:r>
      <w:r>
        <w:t xml:space="preserve"> региональных правительств, которые при поддержке партнерских организаций</w:t>
      </w:r>
      <w:r w:rsidRPr="006656CF">
        <w:rPr>
          <w:vertAlign w:val="superscript"/>
          <w:lang w:val="en-GB"/>
        </w:rPr>
        <w:footnoteReference w:id="13"/>
      </w:r>
      <w:r w:rsidR="002E10C0" w:rsidRPr="002E10C0">
        <w:t xml:space="preserve"> </w:t>
      </w:r>
      <w:r>
        <w:t>проводят ежеквартальные закрытые заседания для коллективного продвижения своих усилий. Основная цель КК СНП заключается в представлении интересов и отстаивании позиций своих членов на межсессионных совещаниях КБР и совещаниях Конференции Сторон, подчеркивая важнейшую роль, которую региональные лидеры играют в достижении целей Конвенции. Параллельно с этим комитет служит платформой, позволяющей членам обмениваться опытом в процессе продвижения мер по сохранению биоразнообразия в своих регионах. Комитет также стремится укреплять сотрудничество между своими членами, секретариатом КБР и Сторонами. Эта работа осуществляется при поддержке операционных партнеров: Группы ведущих субнациональных правительств под руководством префектуры Айти и Учебной платформы по сохранению биоразнообразия Сети Regions4 (R4BLP). Группа ведущих субнациональных правительств организует мероприятия на политическом уровне и выпускает раз в два года публикацию о достигнутом прогрессе, в то время как платформа R4BLP содействует обмену знаниями и созданию возможностей для своих членов обучаться у коллег.</w:t>
      </w:r>
    </w:p>
    <w:p w14:paraId="6DBF16FA" w14:textId="72E2CFFD" w:rsidR="00961643" w:rsidRPr="006656CF" w:rsidRDefault="00961643" w:rsidP="006656CF">
      <w:pPr>
        <w:pStyle w:val="CBDNormalNoNumber"/>
      </w:pPr>
      <w:r>
        <w:rPr>
          <w:b/>
          <w:bCs/>
        </w:rPr>
        <w:t xml:space="preserve">Консультативный комитет по местным органам власти и биоразнообразию </w:t>
      </w:r>
      <w:r>
        <w:t>координируется глобальным Центром по биоразнообразию городов (CBC) при Сети местных органов власти за устойчивое развитие (ICLEI). В настоящее время в его состав входят мэры, представляющие 15 городов</w:t>
      </w:r>
      <w:r w:rsidRPr="006656CF">
        <w:rPr>
          <w:vertAlign w:val="superscript"/>
          <w:lang w:val="en-GB"/>
        </w:rPr>
        <w:footnoteReference w:id="14"/>
      </w:r>
      <w:r w:rsidR="009172D5">
        <w:t>;</w:t>
      </w:r>
      <w:r>
        <w:t xml:space="preserve"> его деятельность поддерживает техническая рабочая группа, в которую входят старшие технические сотрудники и/или эксперты из каждого из городов-членов. Основная цель данного Консультативного комитета заключается в том, чтобы служить механизмом, с помощью которого города могут активно участвовать в процессах КБР и на межсессионных совещаниях и вносить в них свой вклад, а также платформой для формулирования и согласования целей и позиций городов в отношении вклада в КМГРПБ и НСПДСБ. Кроме того, Консультативный комитет стремится укреплять сотрудничество между своими членами, Секретариатом КБР и Сторонами, отражая точки зрения городов на План действий и осуществление КМГРПБ.</w:t>
      </w:r>
    </w:p>
    <w:p w14:paraId="56E17925" w14:textId="17F78A89" w:rsidR="00961643" w:rsidRPr="006656CF" w:rsidRDefault="009D069C" w:rsidP="006656CF">
      <w:pPr>
        <w:pStyle w:val="CBDH2"/>
        <w:rPr>
          <w:color w:val="000000"/>
        </w:rPr>
      </w:pPr>
      <w:r>
        <w:t>3.2.</w:t>
      </w:r>
      <w:r>
        <w:tab/>
        <w:t>Глобальное партнерство по действиям в интересах биоразнообразия на местном и субнациональном уровнях</w:t>
      </w:r>
    </w:p>
    <w:p w14:paraId="22F151E4" w14:textId="77777777" w:rsidR="00961643" w:rsidRPr="006656CF" w:rsidRDefault="00961643" w:rsidP="006656CF">
      <w:pPr>
        <w:pStyle w:val="CBDNormalNoNumber"/>
        <w:rPr>
          <w:rFonts w:eastAsia="Times New Roman"/>
        </w:rPr>
      </w:pPr>
      <w:r>
        <w:t xml:space="preserve">Глобальное партнерство по городам и биоразнообразию возникло в результате признания того, что города и субнациональные органы власти являются ключевыми участниками процесса осуществления Конвенции о биологическом разнообразии (КБР). В 2006 году более 300 местных органов власти на Генеральной ассамблее ICLEI в Кейптауне призвали к реализации пилотной инициативы «Действия в интересах биоразнообразия на местном уровне» (LAB), в результате чего 21 город, представляющий 52 миллиона человек, начал сотрудничать с ICLEI и инициативой МСОП «2010: обратный отсчет». В 2007 году на совещании в Куритибе (Бразилия), в котором приняли участие 34 мэра или их представителя, </w:t>
      </w:r>
      <w:r>
        <w:lastRenderedPageBreak/>
        <w:t>была принята Куритибская декларация о местных органах власти и биоразнообразии, обязывающая города оказывать поддержку достижению целей КБР и выполнению целевой задачи по биоразнообразию на 2010 год. Была учреждена целевая рабочая группа, в состав которой вошли секретариат КБР, ICLEI, ЮНЕП, ООН-Хабитат, МСОП, ЮНЕСКО, а также мэры Куритибы, Бонна, Нагои, Монреаля и Сингапура.</w:t>
      </w:r>
    </w:p>
    <w:p w14:paraId="1EDF5C51" w14:textId="77777777" w:rsidR="00961643" w:rsidRPr="006656CF" w:rsidRDefault="00961643" w:rsidP="006656CF">
      <w:pPr>
        <w:pStyle w:val="CBDNormalNoNumber"/>
        <w:rPr>
          <w:rFonts w:eastAsia="Times New Roman"/>
        </w:rPr>
      </w:pPr>
      <w:r>
        <w:t>Предложение о создании официального Глобального партнерства по городам и биоразнообразию получило дополнительную поддержку на Боннском саммите ООН по биоразнообразию 2008 года в рамках принятия Боннской декларации и было официально запущено на Всемирном конгрессе по охране природы МСОП в Барселоне в 2008 году. Эта сеть подготовила города к Международному году биоразнообразия ООН в 2010 году, кульминацией которого стало принятие Айти-Нагойской декларации о местных органах власти и биоразнообразии, а также утверждение на 10-м совещании Конференции Сторон в Нагое Плана действий КБР на 2011–2020 годы по городским и другим местным органам власти и биоразнообразию. Первое совещание по вопросам осуществления состоялось в Монпелье (Франция) в 2011 году, что послужило основой для дальнейшей координации на последующих совещаниях Конференции Сторон.</w:t>
      </w:r>
    </w:p>
    <w:p w14:paraId="6B61284B" w14:textId="34E065F2" w:rsidR="00961643" w:rsidRPr="006656CF" w:rsidRDefault="009D069C" w:rsidP="006656CF">
      <w:pPr>
        <w:pStyle w:val="CBDH2"/>
      </w:pPr>
      <w:r>
        <w:t>3.3.</w:t>
      </w:r>
      <w:r>
        <w:tab/>
        <w:t xml:space="preserve">Область деятельности 1: разработка и осуществление стратегий и мероприятий по сохранению биоразнообразия </w:t>
      </w:r>
    </w:p>
    <w:p w14:paraId="0953C228" w14:textId="5FBB1024" w:rsidR="00961643" w:rsidRPr="002E10C0" w:rsidRDefault="00961643" w:rsidP="006656CF">
      <w:pPr>
        <w:spacing w:before="120" w:after="120"/>
        <w:ind w:left="567"/>
        <w:rPr>
          <w:b/>
          <w:bCs/>
        </w:rPr>
      </w:pPr>
      <w:r>
        <w:rPr>
          <w:b/>
          <w:bCs/>
        </w:rPr>
        <w:t>Программа «30x30» по сохранению земель и прибрежных вод в штате Калифорния</w:t>
      </w:r>
      <w:r w:rsidR="002E10C0" w:rsidRPr="002E10C0">
        <w:rPr>
          <w:b/>
          <w:bCs/>
        </w:rPr>
        <w:t xml:space="preserve"> (</w:t>
      </w:r>
      <w:r>
        <w:rPr>
          <w:b/>
          <w:bCs/>
        </w:rPr>
        <w:t>Соединенные Штаты Америки</w:t>
      </w:r>
      <w:r w:rsidR="002E10C0" w:rsidRPr="002E10C0">
        <w:rPr>
          <w:b/>
          <w:bCs/>
        </w:rPr>
        <w:t>)</w:t>
      </w:r>
    </w:p>
    <w:p w14:paraId="6D4C2436" w14:textId="033348DA" w:rsidR="00961643" w:rsidRPr="006656CF" w:rsidRDefault="00961643" w:rsidP="006656CF">
      <w:pPr>
        <w:pStyle w:val="CBDNormalNoNumber"/>
      </w:pPr>
      <w:r>
        <w:t xml:space="preserve">Калифорнийская программа «30x30» преследует цель сохранения 30 % земель и прибрежных вод к 2030 году посредством скоординированных действий государственных ведомств, племен и местных партнеров. Отслеживание прогресса осуществляется с помощью платформы ГИС CA Nature и систем ежегодной отчетности. По состоянию на 2025 год под охраной уже находятся более 26 % земель и 21,9 % прибрежных вод. Более детальную информацию можно найти </w:t>
      </w:r>
      <w:hyperlink r:id="rId21">
        <w:r>
          <w:rPr>
            <w:color w:val="0000FF"/>
            <w:u w:val="single"/>
          </w:rPr>
          <w:t>здесь</w:t>
        </w:r>
      </w:hyperlink>
      <w:r>
        <w:t xml:space="preserve">. </w:t>
      </w:r>
    </w:p>
    <w:p w14:paraId="1D1627DA" w14:textId="77777777" w:rsidR="00961643" w:rsidRPr="006656CF" w:rsidRDefault="00961643" w:rsidP="006656CF">
      <w:pPr>
        <w:spacing w:before="120" w:after="120"/>
        <w:ind w:left="567"/>
        <w:rPr>
          <w:b/>
          <w:bCs/>
        </w:rPr>
      </w:pPr>
      <w:r>
        <w:rPr>
          <w:b/>
          <w:bCs/>
        </w:rPr>
        <w:t>Внедрение принципов участия и инструментов для реализации программы «30x30» в провинции Квебек (Канада)</w:t>
      </w:r>
    </w:p>
    <w:p w14:paraId="01B6D24C" w14:textId="4B694408" w:rsidR="00961643" w:rsidRPr="006656CF" w:rsidRDefault="00961643" w:rsidP="006656CF">
      <w:pPr>
        <w:pStyle w:val="CBDNormalNoNumber"/>
      </w:pPr>
      <w:r>
        <w:t xml:space="preserve">Квебек выполняет свою задачу программы «30x30» посредством публичных конкурсов проектов на создание охраняемых районов, структурированного диалога с субъектами деятельности и инструментов признания других эффективных природоохранных мер на порайонной основе. Этот процесс объединяет региональные консультации, участие коренных народов и инструменты поддержки принятия решений для определения приоритетных охраняемых районов. В результате было получено более 500 предложений и проведена работа по выявлению новых охраняемых и сохраняемых районов. Более детальную информацию можно найти </w:t>
      </w:r>
      <w:hyperlink r:id="rId22">
        <w:r>
          <w:rPr>
            <w:color w:val="0000FF"/>
            <w:u w:val="single"/>
          </w:rPr>
          <w:t>здесь</w:t>
        </w:r>
      </w:hyperlink>
      <w:r>
        <w:t>.</w:t>
      </w:r>
    </w:p>
    <w:p w14:paraId="5DAE5FE3" w14:textId="77777777" w:rsidR="00961643" w:rsidRPr="006656CF" w:rsidRDefault="00961643" w:rsidP="006656CF">
      <w:pPr>
        <w:spacing w:before="120" w:after="120"/>
        <w:ind w:left="567"/>
        <w:rPr>
          <w:b/>
          <w:bCs/>
        </w:rPr>
      </w:pPr>
      <w:r>
        <w:rPr>
          <w:b/>
          <w:bCs/>
        </w:rPr>
        <w:t>Местная стратегия по сохранению биоразнообразия Монреаля</w:t>
      </w:r>
    </w:p>
    <w:p w14:paraId="1A6F7DE7" w14:textId="3036566B" w:rsidR="00961643" w:rsidRPr="006656CF" w:rsidRDefault="00961643" w:rsidP="006656CF">
      <w:pPr>
        <w:pStyle w:val="CBDNormalNoNumber"/>
      </w:pPr>
      <w:r>
        <w:t xml:space="preserve">Город Монреаль в провинции Квебек (Канада) разработал местную стратегию по сохранению биоразнообразия и план </w:t>
      </w:r>
      <w:r w:rsidRPr="00B63EA4">
        <w:t xml:space="preserve">действий — </w:t>
      </w:r>
      <w:hyperlink r:id="rId23" w:history="1">
        <w:r w:rsidRPr="00B63EA4">
          <w:rPr>
            <w:rStyle w:val="Hyperlink"/>
            <w:i/>
            <w:iCs/>
          </w:rPr>
          <w:t>«План по сохранению биоразнообразия и содействию доступу к природе до 2030 года» и «План действий на 2024–2028 годы»,</w:t>
        </w:r>
      </w:hyperlink>
      <w:r w:rsidRPr="00B63EA4">
        <w:t xml:space="preserve"> —</w:t>
      </w:r>
      <w:r>
        <w:t xml:space="preserve"> которые сосредоточены на защите экосистем, интеграции природы в городское планирование и вовлечении граждан, в частности, через «План по природе и спорту». Ключевые меры включают защиту 10 % городской территории, посадку 500 000 деревьев к 2030 году, управление экологическими коридорами и развитие масштабных природных зон, таких как Большой парк Запада (Grand parc de l’Ouest). Город уделяет особое внимание защите наиболее важных с точки зрения биоразнообразия районов, водно-болотных угодий и повышению устойчивости города к изменению климата.</w:t>
      </w:r>
    </w:p>
    <w:p w14:paraId="423DC615" w14:textId="768609BD" w:rsidR="00961643" w:rsidRPr="006656CF" w:rsidRDefault="009D069C" w:rsidP="006656CF">
      <w:pPr>
        <w:pStyle w:val="CBDH2"/>
      </w:pPr>
      <w:r>
        <w:lastRenderedPageBreak/>
        <w:t>3.4.</w:t>
      </w:r>
      <w:r>
        <w:tab/>
        <w:t>Область деятельности 2: сотрудничество между уровнями органов власти и учет проблематики биоразнообразия</w:t>
      </w:r>
    </w:p>
    <w:p w14:paraId="56E4F230" w14:textId="77777777" w:rsidR="00961643" w:rsidRPr="006656CF" w:rsidRDefault="00961643" w:rsidP="006656CF">
      <w:pPr>
        <w:spacing w:before="120" w:after="120"/>
        <w:ind w:left="567"/>
        <w:rPr>
          <w:b/>
          <w:bCs/>
        </w:rPr>
      </w:pPr>
      <w:r>
        <w:rPr>
          <w:b/>
          <w:bCs/>
        </w:rPr>
        <w:t xml:space="preserve">Африканские города: интеграция природы в планирование в области землепользования и городскую инфраструктуру </w:t>
      </w:r>
    </w:p>
    <w:p w14:paraId="282BFE1F" w14:textId="5E5D808E" w:rsidR="00961643" w:rsidRPr="006656CF" w:rsidRDefault="00961643" w:rsidP="006656CF">
      <w:pPr>
        <w:pStyle w:val="CBDNormalNoNumber"/>
      </w:pPr>
      <w:r>
        <w:t xml:space="preserve">Проект «Природные активы для Африки» (UNA), реализуемый ICLEI в Африке при финансовой поддержке Шведского агентства международного сотрудничества в целях развития (СИДА), оказал помощь 11 африканским городам в девяти странах во включении решений, основанных на природных факторах, в стратегии и политику городского развития с целью улучшения городского управления, практик планирования и доступа к финансированию. Более детальную информацию можно найти </w:t>
      </w:r>
      <w:hyperlink r:id="rId24">
        <w:r>
          <w:rPr>
            <w:color w:val="0000FF"/>
            <w:u w:val="single"/>
          </w:rPr>
          <w:t>здесь</w:t>
        </w:r>
      </w:hyperlink>
      <w:r>
        <w:t xml:space="preserve"> и </w:t>
      </w:r>
      <w:hyperlink r:id="rId25">
        <w:r>
          <w:rPr>
            <w:color w:val="0000FF"/>
            <w:u w:val="single"/>
          </w:rPr>
          <w:t>здесь</w:t>
        </w:r>
      </w:hyperlink>
      <w:r>
        <w:t xml:space="preserve">. </w:t>
      </w:r>
    </w:p>
    <w:p w14:paraId="3AC0A734" w14:textId="77777777" w:rsidR="00961643" w:rsidRPr="006656CF" w:rsidRDefault="00961643" w:rsidP="006656CF">
      <w:pPr>
        <w:spacing w:before="120" w:after="120"/>
        <w:ind w:left="567"/>
        <w:rPr>
          <w:b/>
          <w:bCs/>
        </w:rPr>
      </w:pPr>
      <w:r>
        <w:rPr>
          <w:b/>
          <w:bCs/>
        </w:rPr>
        <w:t>Города по всему миру принимают меры в интересах водно-болотных угодий</w:t>
      </w:r>
    </w:p>
    <w:p w14:paraId="0BDB5BB9" w14:textId="729863DF" w:rsidR="00961643" w:rsidRPr="006656CF" w:rsidRDefault="00961643" w:rsidP="006656CF">
      <w:pPr>
        <w:pStyle w:val="CBDNormalNoNumber"/>
      </w:pPr>
      <w:r>
        <w:t xml:space="preserve">Программа </w:t>
      </w:r>
      <w:hyperlink r:id="rId26">
        <w:r>
          <w:rPr>
            <w:color w:val="0000FF"/>
            <w:u w:val="single"/>
          </w:rPr>
          <w:t>аккредитации «Водно-болотного города»</w:t>
        </w:r>
      </w:hyperlink>
      <w:r>
        <w:t xml:space="preserve"> в рамках Рамсарской конвенции о водно-болотных угодьях поощряет и отмечает города, которые выступают за рациональное использование и сохранение городских и пригородных водно-болотных угодий, а также способствуют вовлечению местного населения в деятельность, связанную с водно-болотными угодьями, интегрируя при этом эти экосистемы в муниципальное планирование и процесс принятия решений. В 2025 году на 15-м совещании Конференции Сторон Рамсарской конвенции 31 город из 16 стран мира получил аккредитацию «Водно-болотный город». Более детальную информацию можно найти </w:t>
      </w:r>
      <w:hyperlink r:id="rId27">
        <w:r>
          <w:rPr>
            <w:color w:val="0000FF"/>
            <w:u w:val="single"/>
          </w:rPr>
          <w:t>здесь.</w:t>
        </w:r>
      </w:hyperlink>
    </w:p>
    <w:p w14:paraId="795A75E9" w14:textId="77777777" w:rsidR="00961643" w:rsidRPr="006656CF" w:rsidRDefault="00961643" w:rsidP="006656CF">
      <w:pPr>
        <w:spacing w:before="120" w:after="120"/>
        <w:ind w:left="567"/>
        <w:rPr>
          <w:b/>
          <w:bCs/>
        </w:rPr>
      </w:pPr>
      <w:r>
        <w:rPr>
          <w:b/>
          <w:bCs/>
        </w:rPr>
        <w:t>Программа по созданию потенциала муниципальных охраняемых районов в штате Рио-де-Жанейро (Бразилия) </w:t>
      </w:r>
    </w:p>
    <w:p w14:paraId="1E6A6435" w14:textId="3240DB64" w:rsidR="00961643" w:rsidRPr="006656CF" w:rsidRDefault="00961643" w:rsidP="006656CF">
      <w:pPr>
        <w:pStyle w:val="CBDNormalNoNumber"/>
        <w:rPr>
          <w:rFonts w:eastAsia="Times New Roman"/>
        </w:rPr>
      </w:pPr>
      <w:r>
        <w:t xml:space="preserve">Программа ProUC в Рио-де-Жанейро помогает создавать потенциал муниципалитетов в области создания охраняемых районов и управления ими во всех 92 муниципалитетах. Она предусматривает оказание технической помощи, обучение государственных управленцев и операционную поддержку в ходе реализации, включая планирование управления и инструменты обеспечения соблюдения законодательства. С 2009 года в рамках программы было оказано содействие в создании более 60 муниципальных охраняемых районов и укреплении местного потенциала в области управления биоразнообразием. Более детальную информацию можно найти </w:t>
      </w:r>
      <w:hyperlink r:id="rId28">
        <w:r>
          <w:rPr>
            <w:color w:val="0000FF"/>
            <w:u w:val="single"/>
          </w:rPr>
          <w:t>здесь</w:t>
        </w:r>
      </w:hyperlink>
      <w:r>
        <w:t>. </w:t>
      </w:r>
    </w:p>
    <w:p w14:paraId="729302C4" w14:textId="77777777" w:rsidR="00961643" w:rsidRPr="006656CF" w:rsidRDefault="00961643" w:rsidP="006656CF">
      <w:pPr>
        <w:keepNext/>
        <w:spacing w:before="120" w:after="120"/>
        <w:ind w:left="567"/>
        <w:rPr>
          <w:b/>
          <w:bCs/>
        </w:rPr>
      </w:pPr>
      <w:r>
        <w:rPr>
          <w:b/>
          <w:bCs/>
        </w:rPr>
        <w:t>Проект по восстановлению мангровых зарослей в Сен-Луи (Сенегал) </w:t>
      </w:r>
    </w:p>
    <w:p w14:paraId="0CDE1E47" w14:textId="4E393AB4" w:rsidR="00961643" w:rsidRPr="006656CF" w:rsidRDefault="00961643" w:rsidP="006656CF">
      <w:pPr>
        <w:pStyle w:val="CBDNormalNoNumber"/>
        <w:rPr>
          <w:b/>
          <w:bCs/>
        </w:rPr>
      </w:pPr>
      <w:r>
        <w:t xml:space="preserve">Сен-Луи объединил пять автономных муниципалитетов в рамках межмуниципального соглашения с целью совместного управления 2 800 гектарами мангровых зарослей в дельте реки Сенегал, восстановив более 50 гектаров, обеспечив 7-процентный годовой рост экосистемы и охватив 80 000 человек программами экологического просвещения, одновременно способствуя созданию национальной платформы по управлению мангровыми зарослями под эгидой Управления морских охраняемых районов Сенегала. Более детальную информацию можно найти </w:t>
      </w:r>
      <w:hyperlink r:id="rId29">
        <w:r>
          <w:rPr>
            <w:color w:val="0000FF"/>
            <w:u w:val="single"/>
          </w:rPr>
          <w:t>здесь</w:t>
        </w:r>
      </w:hyperlink>
      <w:r>
        <w:t xml:space="preserve">. </w:t>
      </w:r>
    </w:p>
    <w:p w14:paraId="403C540C" w14:textId="5CF06D47" w:rsidR="00961643" w:rsidRPr="006656CF" w:rsidRDefault="009D069C" w:rsidP="006656CF">
      <w:pPr>
        <w:pStyle w:val="CBDH2"/>
      </w:pPr>
      <w:r>
        <w:t>3.5.</w:t>
      </w:r>
      <w:r>
        <w:tab/>
        <w:t>Область деятельности 3: мобилизация ресурсов</w:t>
      </w:r>
    </w:p>
    <w:p w14:paraId="65712A6C" w14:textId="77777777" w:rsidR="00961643" w:rsidRPr="006656CF" w:rsidRDefault="00961643" w:rsidP="006656CF">
      <w:pPr>
        <w:spacing w:before="120" w:after="120"/>
        <w:ind w:left="567"/>
        <w:rPr>
          <w:b/>
          <w:bCs/>
        </w:rPr>
      </w:pPr>
      <w:r>
        <w:rPr>
          <w:b/>
          <w:bCs/>
        </w:rPr>
        <w:t>Субнациональные правительства мобилизуют ресурсы для мер по сохранению биоразнообразия</w:t>
      </w:r>
    </w:p>
    <w:p w14:paraId="417557D0" w14:textId="77777777" w:rsidR="00961643" w:rsidRPr="006656CF" w:rsidRDefault="00961643" w:rsidP="006656CF">
      <w:pPr>
        <w:pStyle w:val="CBDNormalNoNumber"/>
      </w:pPr>
      <w:r>
        <w:t>На 16-м совещании Конференции Сторон КБР правительство Квебека объявило о выделении 2 млн канадских долларов в качестве нового взноса в Фонд Глобальной рамочной программы в области биоразнообразия (ФГПБ), став тем самым первым субнациональным правительством, внесшим вклад в Фонд Глобальной рамочной программы в области биоразнообразия. Правительство Калифорнии выделило 1,2 млрд долларов США на сохранение связности экосистем в условиях разрушительных последствий изменения климата.</w:t>
      </w:r>
    </w:p>
    <w:p w14:paraId="4DB69397" w14:textId="77777777" w:rsidR="00961643" w:rsidRPr="006656CF" w:rsidRDefault="00961643" w:rsidP="006656CF">
      <w:pPr>
        <w:spacing w:before="120" w:after="120"/>
        <w:ind w:left="567"/>
        <w:rPr>
          <w:b/>
          <w:bCs/>
        </w:rPr>
      </w:pPr>
      <w:r>
        <w:rPr>
          <w:b/>
          <w:bCs/>
        </w:rPr>
        <w:lastRenderedPageBreak/>
        <w:t>Механизм государственно-частного финансирования в области биоразнообразия в Ломбардии </w:t>
      </w:r>
    </w:p>
    <w:p w14:paraId="3574CD71" w14:textId="5204A117" w:rsidR="00961643" w:rsidRPr="006656CF" w:rsidRDefault="00961643" w:rsidP="006656CF">
      <w:pPr>
        <w:pStyle w:val="CBDNormalNoNumber"/>
        <w:rPr>
          <w:rFonts w:eastAsia="Times New Roman"/>
        </w:rPr>
      </w:pPr>
      <w:r>
        <w:t xml:space="preserve">Программа BIOCLIMA мобилизует смешанное государственно-частное финансирование в целях эффективного содействия сохранению биоразнообразия и восстановления экосистем по всему региону. Она финансирует ведение лесного хозяйства, охрану среды обитания и улучшение экосистемных услуг посредством конкурсного отбора проектов и требований к совместному финансированию. В рамках программы было мобилизовано более 5,6 млн евро и оказана поддержка проектам, охватывающим более 3 000 гектаров сертифицированных лесов, на которых внедрены практики устойчивого управления и лесовосстановления. Более детальную информацию можно найти </w:t>
      </w:r>
      <w:hyperlink r:id="rId30">
        <w:r>
          <w:rPr>
            <w:color w:val="1155CC"/>
            <w:u w:val="single"/>
          </w:rPr>
          <w:t>здесь</w:t>
        </w:r>
      </w:hyperlink>
      <w:r>
        <w:t>.</w:t>
      </w:r>
    </w:p>
    <w:p w14:paraId="5CFA4316" w14:textId="77777777" w:rsidR="00961643" w:rsidRPr="006656CF" w:rsidRDefault="00961643" w:rsidP="006656CF">
      <w:pPr>
        <w:spacing w:before="120" w:after="120"/>
        <w:ind w:left="567"/>
        <w:rPr>
          <w:b/>
          <w:bCs/>
        </w:rPr>
      </w:pPr>
      <w:r>
        <w:rPr>
          <w:b/>
          <w:bCs/>
        </w:rPr>
        <w:t>Кредиты биоразнообразия: механизм стимулирования финансирования природоохранных мероприятий в штате Парана </w:t>
      </w:r>
    </w:p>
    <w:p w14:paraId="07EC976F" w14:textId="4990E2CE" w:rsidR="00961643" w:rsidRPr="006656CF" w:rsidRDefault="00961643" w:rsidP="006656CF">
      <w:pPr>
        <w:pStyle w:val="CBDNormalNoNumber"/>
      </w:pPr>
      <w:r>
        <w:t xml:space="preserve">Система кредитов биоразнообразия штата Парана является первой субнациональной государственной политикой такого рода, создающей финансовый механизм, который вознаграждает владельцев частных земель за усилия по сохранению и восстановлению. В рамках этой системы проходит сертификацию 20 частных природных заповедников для выпуска торгуемых кредитов биоразнообразия, при этом региональный банк развития ЕБРР инвестирует 2 млн реалов в покупку и сбыт этих кредитов компаниям, стремящимся компенсировать свое воздействие на окружающую среду. Более детальную информацию можно найти </w:t>
      </w:r>
      <w:hyperlink r:id="rId31">
        <w:r>
          <w:rPr>
            <w:color w:val="0000FF"/>
            <w:u w:val="single"/>
          </w:rPr>
          <w:t>здесь</w:t>
        </w:r>
      </w:hyperlink>
      <w:r>
        <w:t xml:space="preserve">. </w:t>
      </w:r>
    </w:p>
    <w:p w14:paraId="1A7A3B25" w14:textId="77777777" w:rsidR="00961643" w:rsidRPr="006656CF" w:rsidRDefault="00961643" w:rsidP="006656CF">
      <w:pPr>
        <w:keepNext/>
        <w:spacing w:before="120" w:after="120"/>
        <w:ind w:left="567"/>
        <w:rPr>
          <w:b/>
          <w:bCs/>
        </w:rPr>
      </w:pPr>
      <w:r>
        <w:rPr>
          <w:b/>
          <w:bCs/>
        </w:rPr>
        <w:t>Местные органы власти привлекают частное финансирование для восстановления экосистем</w:t>
      </w:r>
    </w:p>
    <w:p w14:paraId="5E3BA84C" w14:textId="2F43C8BB" w:rsidR="00961643" w:rsidRPr="006656CF" w:rsidRDefault="00961643" w:rsidP="006656CF">
      <w:pPr>
        <w:pStyle w:val="CBDNormalNoNumber"/>
        <w:rPr>
          <w:rFonts w:eastAsia="Times New Roman"/>
        </w:rPr>
      </w:pPr>
      <w:r>
        <w:t>Местный муниципалитет Оверстранд, расположенный на побережье Атлантического океана в Южной Африке, применяет комплексный подход «от водосборного бассейна до побережья» для решения проблем утраты биоразнообразия, уязвимости к изменению климата, обеспечения водной безопасности и деградации прибрежных экосистем. Он получил грант на небольшой проект от ЮНЕП в рамках проекта «Generation Restoration Cities» для восстановления торфяников в коридоре водосборного бассейна реки Онрус с целью защиты водных ресурсов, предотвращения деградации земель и обеспечения долгосрочной устойчивости к изменению климата. Восстановление берегов реки Онрус и торфяников зависит от успешной реинтродукциии эндемичного вида растений — пальмиета (Prionium serratum). Муниципалитет привлек инвестиции от местных предприятий и фонда «White Desert Foundation» для создания питомников, способных выращивать эти местные виды растений в крупных масштабах.</w:t>
      </w:r>
    </w:p>
    <w:p w14:paraId="31B44BBE" w14:textId="6B9B2A20" w:rsidR="00961643" w:rsidRPr="006656CF" w:rsidRDefault="009D069C" w:rsidP="006656CF">
      <w:pPr>
        <w:pStyle w:val="CBDH2"/>
      </w:pPr>
      <w:r>
        <w:t>3.6.</w:t>
      </w:r>
      <w:r>
        <w:tab/>
        <w:t xml:space="preserve">Область деятельности 4: создание потенциала </w:t>
      </w:r>
    </w:p>
    <w:p w14:paraId="6CCA9395" w14:textId="77777777" w:rsidR="00961643" w:rsidRPr="006656CF" w:rsidRDefault="00961643" w:rsidP="006656CF">
      <w:pPr>
        <w:spacing w:before="120" w:after="120"/>
        <w:ind w:left="567"/>
        <w:rPr>
          <w:b/>
          <w:bCs/>
        </w:rPr>
      </w:pPr>
      <w:r>
        <w:rPr>
          <w:b/>
          <w:bCs/>
        </w:rPr>
        <w:t>Создание потенциала городов в области восстановления экосистем</w:t>
      </w:r>
    </w:p>
    <w:p w14:paraId="328CB9FC" w14:textId="4C9863AD" w:rsidR="00961643" w:rsidRPr="006656CF" w:rsidRDefault="00961643" w:rsidP="006656CF">
      <w:pPr>
        <w:pStyle w:val="CBDNormalNoNumber"/>
        <w:rPr>
          <w:rFonts w:eastAsia="Times New Roman"/>
        </w:rPr>
      </w:pPr>
      <w:r>
        <w:t xml:space="preserve">В рамках проекта «Generation Restoration Cities», реализуемого в контексте Десятилетия ООН по восстановлению экосистем, был создан потенциал 24 городов по всему миру в области восстановления экосистем посредством оказания технической поддержки, проведения серии обучающих вебинаров и организации очных обменов опытом между городами по вопросам восстановления экосистем, а также решения городских проблем. В рамках проекта были подготовлены два доклада о состоянии финансирования природоохранных мероприятий в городах, а также определены возможности для восстановления экосистем на рынках финансов и труда и наметился путь к устранению инвестиционного дефицита для выполнения глобальных обязательств в области сохранения биоразнообразия и борьбы с изменением климата. Этот проект, финансируемый Агентством GIZ, осуществлялся под руководством ЮНЕП при технической поддержке Центра по биоразнообразию городов при Сети ICLEI. Более детальную информацию можно найти </w:t>
      </w:r>
      <w:hyperlink r:id="rId32">
        <w:r>
          <w:rPr>
            <w:color w:val="0000FF"/>
            <w:u w:val="single"/>
          </w:rPr>
          <w:t>здесь</w:t>
        </w:r>
      </w:hyperlink>
      <w:r>
        <w:t xml:space="preserve">. </w:t>
      </w:r>
    </w:p>
    <w:p w14:paraId="5BC7BFF4" w14:textId="77777777" w:rsidR="00961643" w:rsidRPr="006656CF" w:rsidRDefault="00961643" w:rsidP="006656CF">
      <w:pPr>
        <w:keepNext/>
        <w:spacing w:before="120" w:after="120"/>
        <w:ind w:left="567"/>
        <w:rPr>
          <w:b/>
          <w:bCs/>
        </w:rPr>
      </w:pPr>
      <w:r>
        <w:rPr>
          <w:b/>
          <w:bCs/>
        </w:rPr>
        <w:lastRenderedPageBreak/>
        <w:t>Поддержка лидерства и инициатив коренных народов в Квебеке (Канада) </w:t>
      </w:r>
    </w:p>
    <w:p w14:paraId="5B3F1280" w14:textId="3E82B666" w:rsidR="00961643" w:rsidRPr="006656CF" w:rsidRDefault="00961643" w:rsidP="006656CF">
      <w:pPr>
        <w:pStyle w:val="CBDNormalNoNumber"/>
        <w:rPr>
          <w:rFonts w:eastAsia="Times New Roman"/>
        </w:rPr>
      </w:pPr>
      <w:r>
        <w:t xml:space="preserve">Квебек финансирует проекты по сохранению биоразнообразия под руководством коренных народов, через специальные источники финансирования в рамках своего «Плана по природе». Реализация осуществляется посредством грантовых программ, фондов по охране природы, управляемых коренными народами, а также совместно разработанных структур реализации с партнерами из числа первых народов и инуитов. В рамках этой инициативы было выделено более 20 млн канадских долларов, что позволило реализовать множество проектов по сохранению биоразнообразия под руководством коренных народов на всей территории провинции. Более детальную информацию можно найти </w:t>
      </w:r>
      <w:hyperlink r:id="rId33">
        <w:r>
          <w:rPr>
            <w:color w:val="0000FF"/>
            <w:u w:val="single"/>
          </w:rPr>
          <w:t>здесь</w:t>
        </w:r>
      </w:hyperlink>
      <w:r>
        <w:t>. </w:t>
      </w:r>
    </w:p>
    <w:p w14:paraId="1DB59DA8" w14:textId="77777777" w:rsidR="00961643" w:rsidRPr="006656CF" w:rsidRDefault="00961643" w:rsidP="006656CF">
      <w:pPr>
        <w:spacing w:before="120" w:after="120"/>
        <w:ind w:left="567"/>
        <w:rPr>
          <w:b/>
          <w:bCs/>
        </w:rPr>
      </w:pPr>
      <w:r>
        <w:rPr>
          <w:b/>
          <w:bCs/>
        </w:rPr>
        <w:t>Руководство по управлению природным наследием в провинциях Эквадора </w:t>
      </w:r>
    </w:p>
    <w:p w14:paraId="23E023AD" w14:textId="7FEE28CF" w:rsidR="00961643" w:rsidRPr="006656CF" w:rsidRDefault="00961643" w:rsidP="006656CF">
      <w:pPr>
        <w:pStyle w:val="CBDNormalNoNumber"/>
      </w:pPr>
      <w:r>
        <w:t xml:space="preserve">Узнав, что провинции Эквадора обладают юридическими полномочиями по управлению природным наследием, но не имеют инструментов для их реализации, Консорциум автономных провинциальных правительств Эквадора (CONGOPE) разработал практическое руководство по стратегическому управлению, согласованное с провинциальными должностными лицами, которое уже побудило по крайней мере две провинции объявить новые охраняемые районы и привело к заключению партнерского соглашения с ВФП на сумму 100 000 долл. США с целью разработки еще четырех местных инструментов управления. Более детальную информацию можно найти </w:t>
      </w:r>
      <w:hyperlink r:id="rId34">
        <w:r>
          <w:rPr>
            <w:color w:val="0000FF"/>
            <w:u w:val="single"/>
          </w:rPr>
          <w:t>здесь</w:t>
        </w:r>
      </w:hyperlink>
      <w:r>
        <w:t xml:space="preserve">. </w:t>
      </w:r>
    </w:p>
    <w:p w14:paraId="68C55DEA" w14:textId="6D074052" w:rsidR="00961643" w:rsidRPr="006656CF" w:rsidRDefault="009D069C" w:rsidP="006656CF">
      <w:pPr>
        <w:pStyle w:val="CBDH2"/>
      </w:pPr>
      <w:r>
        <w:t>3.7.</w:t>
      </w:r>
      <w:r>
        <w:tab/>
        <w:t>Область деятельности 5: коммуникация, просвещение и повышение осведомленности общественности</w:t>
      </w:r>
    </w:p>
    <w:p w14:paraId="76B0D171" w14:textId="77777777" w:rsidR="00961643" w:rsidRPr="006656CF" w:rsidRDefault="00961643" w:rsidP="006656CF">
      <w:pPr>
        <w:spacing w:before="120" w:after="120"/>
        <w:ind w:left="567"/>
        <w:rPr>
          <w:b/>
          <w:bCs/>
        </w:rPr>
      </w:pPr>
      <w:r>
        <w:rPr>
          <w:b/>
          <w:bCs/>
        </w:rPr>
        <w:t>Глобальная неделя биоразнообразия в Кали (Колумбия)</w:t>
      </w:r>
    </w:p>
    <w:p w14:paraId="785FCA6B" w14:textId="77777777" w:rsidR="00961643" w:rsidRPr="006656CF" w:rsidRDefault="00961643" w:rsidP="006656CF">
      <w:pPr>
        <w:pStyle w:val="CBDNormalNoNumber"/>
      </w:pPr>
      <w:r>
        <w:t>29–30 сентября 2025 года в городе Кали в рамках Глобальной недели биоразнообразия в Кали прошла сессия Коалиции объединенных городов и регионов за биоразнообразие. Это стало важной возможностью для оказания поддержки лицам, принимающим решения, а также ведомствам, занимающимся вопросами охраны окружающей среды, планирования и управления рисками, в реализации эффективных стратегий, способствующих созданию более устойчивых, экологичных и инклюзивных городов. Мероприятие вдохновило и воодушевило участников (местных лидеров и представителей властей, включая мэров, секретарей по вопросам планирования, секретарей по вопросам окружающей среды и других лиц, принимающих решения) на интеграцию подходов, основанных на принципах устойчивого развития, борьбы с изменением климата и сохранения биоразнообразия, в планы территориального развития, государственную политику и местные программы действий с учетом долгосрочной перспективы и с целью достижения значительного эффекта.</w:t>
      </w:r>
    </w:p>
    <w:p w14:paraId="0DE55A25" w14:textId="77777777" w:rsidR="00961643" w:rsidRPr="006656CF" w:rsidRDefault="00961643" w:rsidP="006656CF">
      <w:pPr>
        <w:keepNext/>
        <w:spacing w:before="120" w:after="120"/>
        <w:ind w:left="567"/>
        <w:rPr>
          <w:b/>
          <w:bCs/>
        </w:rPr>
      </w:pPr>
      <w:r>
        <w:rPr>
          <w:b/>
          <w:bCs/>
        </w:rPr>
        <w:t>«Пути жизни» — города и регионы объединяются ради мигрирующих видов</w:t>
      </w:r>
    </w:p>
    <w:p w14:paraId="32BFE6E1" w14:textId="1FF5FED3" w:rsidR="00961643" w:rsidRPr="006656CF" w:rsidRDefault="00961643" w:rsidP="006656CF">
      <w:pPr>
        <w:pStyle w:val="CBDNormalNoNumber"/>
      </w:pPr>
      <w:r>
        <w:t xml:space="preserve">Эта инициатива, возглавляемая Сетью местных органов власти за устойчивое развитие (ICLEI), направлена на повышение осведомленности городов и регионов о целях Конвенции по сохранению мигрирующих видов диких животных (КМВ). Побуждая города и регионы, расположенные вдоль миграционных маршрутов, пролетных путей и морских коридоров, к объединению, она подчеркивает, как действия на местном уровне способствуют экологической связности и защите мигрирующих видов через границы. Она предоставляет городам, присоединившимся к инициативе, возможность привлечь внимание мировой общественности, а также открывает возможности для обмена знаниями, сотрудничества, обучения у коллег и доступа к техническим руководящим указаниям. К числу городов, присоединившихся к этой инициативе, относятся Сиэтл, Барранкилья, администрация города Флорианаполис, штат Риу-Гранди-ду-Сул, Сан-Лоренсу-ду-Сул, администрация города Порту-Алегри, штат Парана, Кампо-Гранде, Стамбул, Йончхон, Варзанех, Абу-Даби и Кокоди. Более детальную информацию можно найти </w:t>
      </w:r>
      <w:hyperlink r:id="rId35">
        <w:r>
          <w:rPr>
            <w:color w:val="0000FF"/>
            <w:u w:val="single"/>
          </w:rPr>
          <w:t>здесь</w:t>
        </w:r>
      </w:hyperlink>
      <w:r>
        <w:t>.</w:t>
      </w:r>
    </w:p>
    <w:p w14:paraId="07090A60" w14:textId="77777777" w:rsidR="00961643" w:rsidRPr="006656CF" w:rsidRDefault="00961643" w:rsidP="006656CF">
      <w:pPr>
        <w:spacing w:before="120" w:after="120"/>
        <w:ind w:left="567"/>
        <w:rPr>
          <w:b/>
          <w:bCs/>
        </w:rPr>
      </w:pPr>
      <w:r>
        <w:rPr>
          <w:b/>
          <w:bCs/>
        </w:rPr>
        <w:t>Гуанчжоуская международная премия за инновации в городском развитии</w:t>
      </w:r>
    </w:p>
    <w:p w14:paraId="00DFC70A" w14:textId="66C5604E" w:rsidR="00961643" w:rsidRPr="006656CF" w:rsidRDefault="00961643" w:rsidP="006656CF">
      <w:pPr>
        <w:pStyle w:val="CBDNormalNoNumber"/>
      </w:pPr>
      <w:r>
        <w:lastRenderedPageBreak/>
        <w:t>Гуанчжоуская международная премия за инновации в городском развитии (Гуанчжоуская премия), учрежденная совместно организацией «Объединенные города и местные власти» (UCLG), Всемирной ассоциацией крупных городов «Метрополис» и администрацией города Гуанчжоу, присуждается за выдающиеся практики городов и местных органов власти в области содействия городским инновациям и устойчивому развитию. Премия охватывает широкий спектр областей, включая общественные услуги и инфраструктуру, планирование с участием общественности, партнерские отношения, технологии, устойчивость к изменению климата, социальную интеграцию и гендерное равенство. Эти примеры служат уникальным источником вдохновения для городов и регионов по всему миру. Среди лауреатов 6-й церемонии награждения, объявленных в 2024 году, — Богота, Халандри и Кампала. В греческом городе Халандри было осуществлено возрождение культурного наследия в восстановлении древнего Адрианова водопровода. Эта инициатива демонстрирует историческое, культурное и техническое значение акведука, а также подчеркивает его роль в качестве современной достопримечательности и источника водных ресурсов. Проект способствует реализации экологичной городской политики и устойчивому управлению водными ресурсами за счет создания качественных зеленых зон в четырех районах, а также перепрофилирования действующего акведука для орошения, что позволяет сократить потребность в питьевой воде.</w:t>
      </w:r>
    </w:p>
    <w:p w14:paraId="23E38D05" w14:textId="77777777" w:rsidR="00961643" w:rsidRPr="006656CF" w:rsidRDefault="00961643" w:rsidP="006656CF">
      <w:pPr>
        <w:keepNext/>
        <w:spacing w:before="120" w:after="120"/>
        <w:ind w:left="567"/>
        <w:rPr>
          <w:b/>
          <w:bCs/>
        </w:rPr>
      </w:pPr>
      <w:r>
        <w:rPr>
          <w:b/>
          <w:bCs/>
        </w:rPr>
        <w:t>Китайская премия «Очаровательные города биоразнообразия»</w:t>
      </w:r>
    </w:p>
    <w:p w14:paraId="532D989A" w14:textId="3BBDFCAE" w:rsidR="00961643" w:rsidRPr="006656CF" w:rsidRDefault="00961643" w:rsidP="006656CF">
      <w:pPr>
        <w:pStyle w:val="CBDNormalNoNumber"/>
      </w:pPr>
      <w:r>
        <w:t>Местные органы власти Китая предпринимают активные шаги по реализации НСПДСБ и Куньминско-Монреальской глобальной рамочной программы в области биоразнообразия. Несколько китайских городов, приложивших исключительные усилия для продвижения местных инициатив в области биоразнообразия, были отмечены за передовой опыт в рамках премии «Очаровательные города биоразнообразия». На 16-м совещании Конференции Сторон КБР награду «Очаровательные города биоразнообразия» получили следующие девять городов: город Аньцзи, район Бэйлунь города Нинбо, город Лишуй, район Нинхэ города Тяньцзинь, город Ордос, город Пекин, город Сямынь, город Шаосинь и город Шиянь. Все девять городов также присоединились к платформе «CitiesWithNature».</w:t>
      </w:r>
    </w:p>
    <w:p w14:paraId="174426B0" w14:textId="77777777" w:rsidR="00961643" w:rsidRPr="006656CF" w:rsidRDefault="00961643" w:rsidP="006656CF">
      <w:pPr>
        <w:spacing w:before="120" w:after="120"/>
        <w:ind w:left="567"/>
        <w:rPr>
          <w:b/>
          <w:bCs/>
        </w:rPr>
      </w:pPr>
      <w:r>
        <w:rPr>
          <w:b/>
          <w:bCs/>
        </w:rPr>
        <w:t>Продвижение благоприятного для природы управления среди предприятий в префектуре Айти (Япония) </w:t>
      </w:r>
    </w:p>
    <w:p w14:paraId="2C8CE024" w14:textId="77777777" w:rsidR="00961643" w:rsidRPr="006656CF" w:rsidRDefault="00961643" w:rsidP="006656CF">
      <w:pPr>
        <w:pStyle w:val="CBDNormalNoNumber"/>
        <w:rPr>
          <w:color w:val="000000" w:themeColor="text1"/>
        </w:rPr>
      </w:pPr>
      <w:r>
        <w:t>Префектура Айти провела семинары для предприятий с целью ознакомления их с подходами благоприятного для природы управления и международными рамочными программами в области биоразнообразия. Программа семинаров направлена на то, чтобы местные предприятия учитывали аспекты биоразнообразия при принятии деловых решений и в своей деятельности. В настоящее время проводится оценка изменений в поведении участвующих компаний после семинаров.</w:t>
      </w:r>
      <w:r>
        <w:rPr>
          <w:color w:val="000000" w:themeColor="text1"/>
        </w:rPr>
        <w:t xml:space="preserve"> </w:t>
      </w:r>
    </w:p>
    <w:p w14:paraId="337F9361" w14:textId="77777777" w:rsidR="00961643" w:rsidRPr="006656CF" w:rsidRDefault="00961643" w:rsidP="006656CF">
      <w:pPr>
        <w:spacing w:before="120" w:after="120"/>
        <w:ind w:left="567"/>
        <w:rPr>
          <w:b/>
          <w:bCs/>
        </w:rPr>
      </w:pPr>
      <w:r>
        <w:rPr>
          <w:b/>
          <w:bCs/>
        </w:rPr>
        <w:t>Инициатива по экологическому восстановлению и экотуризму в Западном Камеруне </w:t>
      </w:r>
    </w:p>
    <w:p w14:paraId="4F551F39" w14:textId="453B7913" w:rsidR="00961643" w:rsidRPr="006656CF" w:rsidRDefault="00961643" w:rsidP="006656CF">
      <w:pPr>
        <w:pStyle w:val="CBDNormalNoNumber"/>
      </w:pPr>
      <w:r>
        <w:t xml:space="preserve">Посредством программ экологического просвещения, консультаций с местным населением и развития инфраструктуры экотуризма вокруг богатого биоразнообразием вулканического ландшафта горы Мбапит Региональный совет Западного Камеруна повышает осведомленность фермеров, скотоводов и традиционных целителей о необходимости сохранения экосистем. Более детальную информацию можно найти </w:t>
      </w:r>
      <w:hyperlink r:id="rId36">
        <w:r>
          <w:rPr>
            <w:color w:val="0000FF"/>
            <w:u w:val="single"/>
          </w:rPr>
          <w:t>здесь</w:t>
        </w:r>
      </w:hyperlink>
      <w:r>
        <w:t xml:space="preserve">. </w:t>
      </w:r>
    </w:p>
    <w:p w14:paraId="0F9BAEF8" w14:textId="465A6CDD" w:rsidR="00961643" w:rsidRPr="006656CF" w:rsidRDefault="009D069C" w:rsidP="006656CF">
      <w:pPr>
        <w:pStyle w:val="CBDH2"/>
        <w:keepLines w:val="0"/>
        <w:spacing w:before="120" w:after="120"/>
        <w:ind w:firstLine="0"/>
      </w:pPr>
      <w:r>
        <w:t>3.8.</w:t>
      </w:r>
      <w:r>
        <w:tab/>
        <w:t>Область деятельности 6: оценка и более качественная информация для принятия решений</w:t>
      </w:r>
    </w:p>
    <w:p w14:paraId="62940ABA" w14:textId="77777777" w:rsidR="00961643" w:rsidRPr="006656CF" w:rsidRDefault="00961643" w:rsidP="006656CF">
      <w:pPr>
        <w:keepNext/>
        <w:spacing w:before="120" w:after="120"/>
        <w:ind w:left="567"/>
        <w:rPr>
          <w:b/>
          <w:bCs/>
        </w:rPr>
      </w:pPr>
      <w:r>
        <w:rPr>
          <w:b/>
          <w:bCs/>
        </w:rPr>
        <w:t>Индекс биоразнообразия городов (ИБГ)</w:t>
      </w:r>
    </w:p>
    <w:p w14:paraId="2E03E569" w14:textId="6B280FCB" w:rsidR="00961643" w:rsidRPr="006656CF" w:rsidRDefault="00961643" w:rsidP="006656CF">
      <w:pPr>
        <w:pStyle w:val="CBDNormalNoNumber"/>
      </w:pPr>
      <w:r>
        <w:t xml:space="preserve">Индекс биоразнообразия городов, также известный как Сингапурский индекс биоразнообразия городов, представляет собой инструмент самооценки, позволяющий городам анализировать и отслеживать прогресс в области сохранения биоразнообразия с </w:t>
      </w:r>
      <w:r>
        <w:lastRenderedPageBreak/>
        <w:t>учетом собственных исходных параметров. На основе официального </w:t>
      </w:r>
      <w:hyperlink r:id="rId37">
        <w:r>
          <w:rPr>
            <w:color w:val="0000FF"/>
            <w:u w:val="single"/>
          </w:rPr>
          <w:t>справочника</w:t>
        </w:r>
      </w:hyperlink>
      <w:r w:rsidR="009172D5" w:rsidRPr="009172D5">
        <w:t xml:space="preserve"> </w:t>
      </w:r>
      <w:r>
        <w:t xml:space="preserve">в платформу CitiesWithNature интегрирована цифровая версия справочника по использованию ИБГ, призванная содействовать городам в проведении мониторинга и подготовке отчетности по вопросам биоразнообразия и природы. Справочник также был переведен на португальский, испанский, французский и корейский языки, и все четыре переведенные версии доступны на платформе </w:t>
      </w:r>
      <w:hyperlink r:id="rId38">
        <w:r>
          <w:rPr>
            <w:color w:val="0000FF"/>
            <w:u w:val="single"/>
          </w:rPr>
          <w:t>CitiesWithNature Platform</w:t>
        </w:r>
      </w:hyperlink>
      <w:r w:rsidR="00C720F9">
        <w:t>.</w:t>
      </w:r>
    </w:p>
    <w:p w14:paraId="6684B586" w14:textId="725004AF" w:rsidR="00961643" w:rsidRPr="006656CF" w:rsidRDefault="00961643" w:rsidP="006656CF">
      <w:pPr>
        <w:spacing w:before="120" w:after="120"/>
        <w:ind w:left="567"/>
        <w:rPr>
          <w:b/>
          <w:bCs/>
        </w:rPr>
      </w:pPr>
      <w:r>
        <w:rPr>
          <w:b/>
          <w:bCs/>
        </w:rPr>
        <w:t>Индексы городской природы (ИГП)</w:t>
      </w:r>
    </w:p>
    <w:p w14:paraId="0C34C15B" w14:textId="6DC530E7" w:rsidR="00961643" w:rsidRPr="006656CF" w:rsidRDefault="00961643" w:rsidP="006656CF">
      <w:pPr>
        <w:pStyle w:val="CBDNormalNoNumber"/>
      </w:pPr>
      <w:hyperlink r:id="rId39">
        <w:r>
          <w:rPr>
            <w:color w:val="0000FF"/>
            <w:u w:val="single"/>
          </w:rPr>
          <w:t>Индексы городской природы</w:t>
        </w:r>
      </w:hyperlink>
      <w:r>
        <w:t xml:space="preserve"> (ИГП) МСОП, состоящие из набора из 30 индикаторных направлений, сгруппированных по шести темам, были разработаны, чтобы помочь городам понять свое воздействие на природу, ставить научно обоснованные цели для улучшения ситуации и соответствующим образом отслеживать их достижение. Обращая внимание на экологические показатели городов, этот механизм служит для повышения экологической прозрачности и подотчетности, облегчает постановку целей и стимулирует природоохранные действия.</w:t>
      </w:r>
    </w:p>
    <w:p w14:paraId="5EEA7435" w14:textId="77777777" w:rsidR="00961643" w:rsidRPr="006656CF" w:rsidRDefault="00961643" w:rsidP="006656CF">
      <w:pPr>
        <w:spacing w:before="120" w:after="120"/>
        <w:ind w:left="567"/>
        <w:rPr>
          <w:b/>
          <w:bCs/>
        </w:rPr>
      </w:pPr>
      <w:r>
        <w:rPr>
          <w:b/>
          <w:bCs/>
        </w:rPr>
        <w:t>Глобальная дорожная карта NATURA для городских решений, основанных на природных процессах</w:t>
      </w:r>
    </w:p>
    <w:p w14:paraId="33E62175" w14:textId="7C7A8E84" w:rsidR="00961643" w:rsidRPr="006656CF" w:rsidRDefault="00961643" w:rsidP="006656CF">
      <w:pPr>
        <w:pStyle w:val="CBDNormalNoNumber"/>
      </w:pPr>
      <w:r>
        <w:t xml:space="preserve">Глобальная дорожная карта NATURA представляет собой наиболее всеобъемлющую на сегодняшний день инициативу по оценке состояния знаний и практики применения решений, основанных на природных процессах, в городах и урбанизированных регионах по всему миру. Она оценивает данные из семи регионов мира, охватывающих Африку, Азию, Океанию, Ближний Восток и Северную Африку (БВСА), Европу, США и Канаду, а также Латинскую Америку, объединяет научные исследования, мнения экспертов и реальные примеры из практики и предлагает четкие, практические рекомендации для лиц, принимающих решения, на всех уровнях. Отобранные из тысяч примеров применения решений, основанных на природных процессах, во всех регионах мира, эти дорожные карты содержат более 150 типичных примеров, охватывающих различные типы решений, основанных на природных процессах, направленных на решение проблем, связанных с изменением климата, загрязнением окружающей среды, биоразнообразием, здоровьем человека и другими вызовами, которые охватывают различные географические и социокультурные контексты и могут служить примерами для расширения масштабов, тиражирования и внедрения инноваций в области решений, основанных на природных процессах, с целью достижения локального и регионального воздействия. Дополнительную информацию об этом можно найти </w:t>
      </w:r>
      <w:hyperlink r:id="rId40">
        <w:r>
          <w:rPr>
            <w:color w:val="0000FF"/>
            <w:u w:val="single"/>
          </w:rPr>
          <w:t>здесь</w:t>
        </w:r>
      </w:hyperlink>
      <w:r>
        <w:t xml:space="preserve">. </w:t>
      </w:r>
    </w:p>
    <w:p w14:paraId="1E9E571A" w14:textId="697F8506" w:rsidR="00961643" w:rsidRPr="006656CF" w:rsidRDefault="009D069C" w:rsidP="006656CF">
      <w:pPr>
        <w:pStyle w:val="CBDH2"/>
      </w:pPr>
      <w:r>
        <w:t>3.9.</w:t>
      </w:r>
      <w:r>
        <w:tab/>
        <w:t>Область деятельности 7: мониторинг и отчетность</w:t>
      </w:r>
    </w:p>
    <w:p w14:paraId="3B8052DE" w14:textId="77777777" w:rsidR="00961643" w:rsidRPr="006656CF" w:rsidRDefault="00961643" w:rsidP="006656CF">
      <w:pPr>
        <w:keepNext/>
        <w:keepLines/>
        <w:spacing w:before="120" w:after="120"/>
        <w:ind w:left="567"/>
        <w:rPr>
          <w:b/>
          <w:bCs/>
        </w:rPr>
      </w:pPr>
      <w:r>
        <w:rPr>
          <w:b/>
          <w:bCs/>
        </w:rPr>
        <w:t>Берлинский пакт о природе в городах</w:t>
      </w:r>
    </w:p>
    <w:p w14:paraId="44F7E0FF" w14:textId="7C171DB9" w:rsidR="00961643" w:rsidRPr="006656CF" w:rsidRDefault="00961643" w:rsidP="006656CF">
      <w:pPr>
        <w:pStyle w:val="CBDNormalNoNumber"/>
      </w:pPr>
      <w:hyperlink r:id="rId41">
        <w:r>
          <w:rPr>
            <w:color w:val="0000FF"/>
            <w:u w:val="single"/>
          </w:rPr>
          <w:t>Берлинский пакт о природе в городах</w:t>
        </w:r>
      </w:hyperlink>
      <w:r>
        <w:t>, интегрированный в платформу CitiesWithNature, — это инициатива, запущенная по инициативе Берлина и направленная на остановку и обращение вспять потери биоразнообразия в городских условиях и возвращение природы на путь восстановления на благо людей и планеты в городах по всему миру к 2030 году. Пакт включает в себя шесть принципов реализации, обеспечивающих эффективную работу по семи целевым областям, каждая из которых содержит ряд конкретных мер. На сегодняшний день 19 городов подписали Пакт и взяли на себя обязательство достичь этих целей.</w:t>
      </w:r>
    </w:p>
    <w:p w14:paraId="747F6203" w14:textId="77777777" w:rsidR="00961643" w:rsidRPr="006656CF" w:rsidRDefault="00961643" w:rsidP="006656CF">
      <w:pPr>
        <w:spacing w:before="120" w:after="120"/>
        <w:ind w:left="567"/>
        <w:rPr>
          <w:b/>
          <w:bCs/>
        </w:rPr>
      </w:pPr>
      <w:r>
        <w:rPr>
          <w:b/>
          <w:bCs/>
        </w:rPr>
        <w:t xml:space="preserve">Согласование политики в сфере взаимосвязи биоразнообразия и климата в Шотландии </w:t>
      </w:r>
    </w:p>
    <w:p w14:paraId="55E002F3" w14:textId="22E74AC2" w:rsidR="00961643" w:rsidRPr="006656CF" w:rsidRDefault="00961643" w:rsidP="006656CF">
      <w:pPr>
        <w:pStyle w:val="CBDNormalNoNumber"/>
      </w:pPr>
      <w:r>
        <w:t xml:space="preserve">Шотландия интегрирует планирование в области биоразнообразия и адаптации к изменению климата посредством скоординированной разработки стратегий между правительственными ведомствами. Это включает согласование Плана реализации Стратегии Шотландии по сохранению биоразнообразия с Национальным планом в области адаптации, а также совместное использование механизмов мониторинга и индикаторов. Данный подход позволил </w:t>
      </w:r>
      <w:r>
        <w:lastRenderedPageBreak/>
        <w:t xml:space="preserve">включить индикаторы биоразнообразия в систему мониторинга климатической жизнестойкости и улучшить межсекторальную координацию реализации мер. Более детальную информацию можно найти </w:t>
      </w:r>
      <w:hyperlink r:id="rId42">
        <w:r>
          <w:rPr>
            <w:color w:val="0000FF"/>
            <w:u w:val="single"/>
          </w:rPr>
          <w:t>здесь</w:t>
        </w:r>
      </w:hyperlink>
      <w:r>
        <w:t xml:space="preserve">. </w:t>
      </w:r>
    </w:p>
    <w:p w14:paraId="0DDE19D8" w14:textId="77777777" w:rsidR="00961643" w:rsidRPr="006656CF" w:rsidRDefault="00961643" w:rsidP="006656CF">
      <w:pPr>
        <w:spacing w:before="120" w:after="120"/>
        <w:ind w:left="567"/>
        <w:rPr>
          <w:b/>
          <w:bCs/>
        </w:rPr>
      </w:pPr>
      <w:r>
        <w:rPr>
          <w:b/>
          <w:bCs/>
        </w:rPr>
        <w:t xml:space="preserve">Оценка воздействия экстремальных климатических явлений на биоразнообразие Средиземноморья </w:t>
      </w:r>
    </w:p>
    <w:p w14:paraId="2DE443FA" w14:textId="0D441CE4" w:rsidR="00961643" w:rsidRPr="006656CF" w:rsidRDefault="00961643" w:rsidP="006656CF">
      <w:pPr>
        <w:pStyle w:val="CBDNormalNoNumber"/>
      </w:pPr>
      <w:r>
        <w:t xml:space="preserve">Каталония возглавляет проект оценки воздействия экстремальных климатических явлений на биоразнообразие Средиземноморья, запущенный в рамках Средиземноморского партнерства по климатическим действиям (MCAP), — межрегиональную научную инициативу, объединяющую регионы со средиземноморским климатом (включая Калифорнию, Новый Южный Уэльс, Западный Кейп и Сантьяго-де-Чили) с целью оценки того, как засухи, лесные пожары и морские волны тепла влияют на биоразнообразие, а также для преобразования полученных результатов в общие рекомендации по формированию политики. Более детальную информацию можно найти </w:t>
      </w:r>
      <w:hyperlink r:id="rId43">
        <w:r>
          <w:rPr>
            <w:color w:val="0000FF"/>
            <w:u w:val="single"/>
          </w:rPr>
          <w:t>здесь</w:t>
        </w:r>
      </w:hyperlink>
      <w:r>
        <w:t>.</w:t>
      </w:r>
    </w:p>
    <w:p w14:paraId="29108D36" w14:textId="77777777" w:rsidR="00961643" w:rsidRPr="006656CF" w:rsidRDefault="00961643" w:rsidP="006656CF">
      <w:pPr>
        <w:spacing w:before="120" w:after="120"/>
        <w:ind w:left="567"/>
        <w:rPr>
          <w:b/>
          <w:bCs/>
        </w:rPr>
      </w:pPr>
      <w:r>
        <w:rPr>
          <w:b/>
          <w:bCs/>
        </w:rPr>
        <w:t xml:space="preserve">Общественный мониторинг биоразнообразия в Юкатане </w:t>
      </w:r>
    </w:p>
    <w:p w14:paraId="368CF253" w14:textId="0935ED1F" w:rsidR="00961643" w:rsidRPr="006656CF" w:rsidRDefault="00961643" w:rsidP="006656CF">
      <w:pPr>
        <w:pStyle w:val="CBDNormalNoNumber"/>
      </w:pPr>
      <w:r>
        <w:t xml:space="preserve">В рамках проекта «Общественный мониторинг биоразнообразия в Юкатане» 43 члена общин из четырех эхидо в муниципалитете Текаш прошли обучение по установке и управлению станциями с фотоловушками, что позволило составить список из 36 видов фауны за 118 дней наблюдений. Более детальную информацию можно найти </w:t>
      </w:r>
      <w:hyperlink r:id="rId44">
        <w:r>
          <w:rPr>
            <w:color w:val="0000FF"/>
            <w:u w:val="single"/>
          </w:rPr>
          <w:t>здесь</w:t>
        </w:r>
      </w:hyperlink>
      <w:r>
        <w:t xml:space="preserve">. </w:t>
      </w:r>
    </w:p>
    <w:p w14:paraId="5839356A" w14:textId="42542395" w:rsidR="00961643" w:rsidRPr="009C2BF7" w:rsidRDefault="00FC022C" w:rsidP="006656CF">
      <w:pPr>
        <w:pStyle w:val="CBDH1"/>
      </w:pPr>
      <w:r>
        <w:t>4.</w:t>
      </w:r>
      <w:r>
        <w:tab/>
        <w:t>CitiesWithNature и RegionsWithNature — демонстрация обязательств городов и регионов в рамках КМГРПБ</w:t>
      </w:r>
    </w:p>
    <w:p w14:paraId="45DCC13A" w14:textId="6B596719" w:rsidR="00961643" w:rsidRPr="006656CF" w:rsidRDefault="00961643" w:rsidP="006656CF">
      <w:pPr>
        <w:pStyle w:val="CBDNormalNoNumber"/>
      </w:pPr>
      <w:r>
        <w:t xml:space="preserve">На данный момент 76 участвующих городов и регионов взяли на себя 711 действующих обязательств в рамках платформы действий </w:t>
      </w:r>
      <w:hyperlink r:id="rId45">
        <w:r>
          <w:rPr>
            <w:color w:val="1155CC"/>
            <w:u w:val="single"/>
          </w:rPr>
          <w:t>CitiesWithNature</w:t>
        </w:r>
      </w:hyperlink>
      <w:r>
        <w:t xml:space="preserve"> и </w:t>
      </w:r>
      <w:hyperlink r:id="rId46">
        <w:r>
          <w:rPr>
            <w:color w:val="1155CC"/>
            <w:u w:val="single"/>
          </w:rPr>
          <w:t>RegionsWithNature</w:t>
        </w:r>
      </w:hyperlink>
      <w:r>
        <w:t>, что свидетельствует о широкой готовности субнациональных правительств и местных органов власти вносить вклад в достижение глобальных целей в области охраны природы. Эти платформы признаны в решении 15/12 в качестве механизма, позволяющего субнациональным правительствам и местным органам власти отчитываться о своем вкладе в осуществление КМГРПБ. Эти обязательства воплощаются в реальные действия на местах: в рамках платформы в общей сложности было проведено 1 333 мероприятия. Эти обязательства разделены на три области деятельности, которые изложены ниже.</w:t>
      </w:r>
    </w:p>
    <w:p w14:paraId="40EDA36A" w14:textId="1D260406" w:rsidR="00961643" w:rsidRPr="006656CF" w:rsidRDefault="009D069C" w:rsidP="006656CF">
      <w:pPr>
        <w:pStyle w:val="CBDH2"/>
      </w:pPr>
      <w:r>
        <w:t>4.1.</w:t>
      </w:r>
      <w:r>
        <w:tab/>
        <w:t>Защита и восстановление природы</w:t>
      </w:r>
    </w:p>
    <w:p w14:paraId="40BA9660" w14:textId="024EDE4C" w:rsidR="00961643" w:rsidRPr="006656CF" w:rsidRDefault="00961643" w:rsidP="006656CF">
      <w:pPr>
        <w:pStyle w:val="CBDNormalNoNumber"/>
      </w:pPr>
      <w:r>
        <w:t xml:space="preserve">В этой категории было принято в общей сложности </w:t>
      </w:r>
      <w:r>
        <w:rPr>
          <w:b/>
          <w:bCs/>
        </w:rPr>
        <w:t>340 обязательств,</w:t>
      </w:r>
      <w:r>
        <w:t xml:space="preserve"> подкрепленных </w:t>
      </w:r>
      <w:r>
        <w:rPr>
          <w:b/>
          <w:bCs/>
        </w:rPr>
        <w:t>766 задокументированными действиями,</w:t>
      </w:r>
      <w:r>
        <w:t xml:space="preserve"> что свидетельствует о том, что города не только обязуются защищать природу, но и последовательно реализуют эти обязательства на местах. Эти усилия вносят непосредственный вклад в достижение </w:t>
      </w:r>
      <w:r>
        <w:rPr>
          <w:b/>
          <w:bCs/>
        </w:rPr>
        <w:t>8 целей в области устойчивого развития (ЦУР)</w:t>
      </w:r>
      <w:r>
        <w:t xml:space="preserve"> и </w:t>
      </w:r>
      <w:r>
        <w:rPr>
          <w:b/>
          <w:bCs/>
        </w:rPr>
        <w:t>8 задач Глобальной рамочной программы в области биоразнообразия (ГПБ),</w:t>
      </w:r>
      <w:r>
        <w:t xml:space="preserve"> включая задачи 1, 2, 3, 4, 5, 6, 7 и 8, и подчеркивают согласованность между действиями на местном уровне и глобальными целями в области биоразнообразия.</w:t>
      </w:r>
    </w:p>
    <w:p w14:paraId="5127BF0F" w14:textId="6BC33339" w:rsidR="00961643" w:rsidRPr="006656CF" w:rsidRDefault="009D069C" w:rsidP="006656CF">
      <w:pPr>
        <w:pStyle w:val="CBDH2"/>
      </w:pPr>
      <w:r>
        <w:t>4.2.</w:t>
      </w:r>
      <w:r>
        <w:tab/>
        <w:t>Устойчивое использование природы</w:t>
      </w:r>
    </w:p>
    <w:p w14:paraId="405C3F37" w14:textId="685C411F" w:rsidR="00961643" w:rsidRPr="006656CF" w:rsidRDefault="00961643" w:rsidP="006656CF">
      <w:pPr>
        <w:pStyle w:val="CBDNormalNoNumber"/>
      </w:pPr>
      <w:r>
        <w:t xml:space="preserve">Область деятельности «Устойчивое использование природных ресурсов» демонстрирует, как города интегрируют биоразнообразие в повседневную городскую жизнь, обеспечивая ответственное и справедливое использование природных ресурсов, способствующее благополучию сообществ. В этой категории города взяли на себя </w:t>
      </w:r>
      <w:r>
        <w:rPr>
          <w:b/>
          <w:bCs/>
        </w:rPr>
        <w:t>142 обязательства</w:t>
      </w:r>
      <w:r>
        <w:t xml:space="preserve">, подкрепленные </w:t>
      </w:r>
      <w:r>
        <w:rPr>
          <w:b/>
          <w:bCs/>
        </w:rPr>
        <w:t>156 задокументированными действиями,</w:t>
      </w:r>
      <w:r>
        <w:t xml:space="preserve"> что свидетельствует о реальном прогрессе во внедрении устойчивых практик в городские системы. Эти действия соответствуют </w:t>
      </w:r>
      <w:r>
        <w:rPr>
          <w:b/>
          <w:bCs/>
        </w:rPr>
        <w:t>5 ЦУР</w:t>
      </w:r>
      <w:r>
        <w:t xml:space="preserve"> и способствуют выполнению </w:t>
      </w:r>
      <w:r>
        <w:rPr>
          <w:b/>
          <w:bCs/>
        </w:rPr>
        <w:t>4 задач Глобальной рамочной программы в области биоразнообразия,</w:t>
      </w:r>
      <w:r>
        <w:t xml:space="preserve"> включая задачи 9, 10, 11 и 12, что отражает тесную взаимосвязь между инициативами на местном уровне и глобальными целями в области биоразнообразия.</w:t>
      </w:r>
    </w:p>
    <w:p w14:paraId="2DF20503" w14:textId="40A5D4BB" w:rsidR="00961643" w:rsidRPr="006656CF" w:rsidRDefault="009D069C" w:rsidP="006656CF">
      <w:pPr>
        <w:pStyle w:val="CBDH2"/>
      </w:pPr>
      <w:r>
        <w:lastRenderedPageBreak/>
        <w:t>4.3.</w:t>
      </w:r>
      <w:r>
        <w:tab/>
        <w:t>Разработка инструментов и решений</w:t>
      </w:r>
    </w:p>
    <w:p w14:paraId="6115C6E3" w14:textId="3DBBC70A" w:rsidR="00961643" w:rsidRPr="006656CF" w:rsidRDefault="00961643" w:rsidP="006656CF">
      <w:pPr>
        <w:pStyle w:val="CBDNormalNoNumber"/>
      </w:pPr>
      <w:r>
        <w:t xml:space="preserve">Область деятельности «Разработка инструментов и решений» отражает растущие усилия городов по укреплению благоприятных условий, необходимых для эффективных действий в области биоразнообразия. На сегодняшний день участвующие города взяли на себя </w:t>
      </w:r>
      <w:r>
        <w:rPr>
          <w:b/>
          <w:bCs/>
        </w:rPr>
        <w:t>229 обязательств,</w:t>
      </w:r>
      <w:r>
        <w:t xml:space="preserve"> подкрепленных </w:t>
      </w:r>
      <w:r>
        <w:rPr>
          <w:b/>
          <w:bCs/>
        </w:rPr>
        <w:t>340 задокументированными действиями,</w:t>
      </w:r>
      <w:r>
        <w:t xml:space="preserve"> что свидетельствует о четкой ориентации на создание управленческих структур, систем знаний и финансовых механизмов, необходимых для достижения глобальных целей в области биоразнообразия. Эти усилия вносят вклад в достижение </w:t>
      </w:r>
      <w:r>
        <w:rPr>
          <w:b/>
          <w:bCs/>
        </w:rPr>
        <w:t>12 ЦУР</w:t>
      </w:r>
      <w:r>
        <w:t xml:space="preserve"> и согласуются с </w:t>
      </w:r>
      <w:r>
        <w:rPr>
          <w:b/>
          <w:bCs/>
        </w:rPr>
        <w:t>9 задачами ГПБ,</w:t>
      </w:r>
      <w:r>
        <w:t xml:space="preserve"> включая задачи 13, 14, 15, 16, 18,19, 20, 21 и 22, что подчеркивает межотраслевой характер данной области деятельности.</w:t>
      </w:r>
    </w:p>
    <w:p w14:paraId="777EFC53" w14:textId="4F5C9E80" w:rsidR="00961643" w:rsidRPr="006656CF" w:rsidRDefault="00961643" w:rsidP="006656CF">
      <w:pPr>
        <w:pStyle w:val="CBDNormalNoNumber"/>
        <w:rPr>
          <w:i/>
          <w:iCs/>
        </w:rPr>
      </w:pPr>
      <w:r>
        <w:t xml:space="preserve">Обязательства из платформ CitiesWithNature и RegionsWithNature были включены в механизм посредничества КБР, чтобы обеспечить отражение прогресса городов и регионов в процессе глобального обзора. </w:t>
      </w:r>
    </w:p>
    <w:p w14:paraId="5DA2ECB1" w14:textId="51B5CD9F" w:rsidR="00961643" w:rsidRPr="009C2BF7" w:rsidRDefault="00FC022C" w:rsidP="006656CF">
      <w:pPr>
        <w:pStyle w:val="CBDH1"/>
      </w:pPr>
      <w:r>
        <w:t>5.</w:t>
      </w:r>
      <w:r>
        <w:tab/>
        <w:t>Дальнейшие перспективы к 2030 году</w:t>
      </w:r>
    </w:p>
    <w:p w14:paraId="4E5F3BE9" w14:textId="07478CAF" w:rsidR="00961643" w:rsidRPr="007D3315" w:rsidRDefault="00961643" w:rsidP="006656CF">
      <w:pPr>
        <w:pStyle w:val="CBDNormalNoNumber"/>
      </w:pPr>
      <w:r>
        <w:t>Хотя растущая мобилизация городов и регионов представляет собой важное достижение, нынешние темпы реализации по-прежнему остаются недостаточными.</w:t>
      </w:r>
      <w:r>
        <w:rPr>
          <w:b/>
          <w:bCs/>
        </w:rPr>
        <w:t xml:space="preserve"> Необходимо повысить уровень амбиций на всех уровнях органов власти,</w:t>
      </w:r>
      <w:r>
        <w:t xml:space="preserve"> а набранный к настоящему моменту темп должен воплотиться в более глубокие, быстрые и скоординированные действия на местах. В соответствии с решением 15/12 КБР в рамках Плана действий Стороны обязались оказывать поддержку и расширять возможности субнациональных правительств, городских и местных органов власти как ключевых участников процесса осуществления ГПБ. Настоящий доклад напоминает об этом обязательстве и подчеркивает, что предстоящий период станет периодом подотчетности. Механизмы, решения и руководящие указания уже существуют — теперь требуются последовательные, неотложные и более масштабные действия. Обязательства и действия субнациональных правительств и местных органов власти могут повысить вероятность выполнения задач на период до 2030 года, однако для этого необходимо, чтобы Стороны, субнациональные правительства и местные органы власти, а также ключевые партнеры, такие как Сеть местных органов власти за устойчивое развитие (ICLEI), Сеть Regions4, Группа ведущих субнациональных правительств и Комитет Европейского союза по регионам, предприняли дополнительные усилия.</w:t>
      </w:r>
      <w:r w:rsidR="007D3315" w:rsidRPr="007D3315">
        <w:t xml:space="preserve"> </w:t>
      </w:r>
    </w:p>
    <w:p w14:paraId="5258BFCC" w14:textId="2626E0E7" w:rsidR="009D069C" w:rsidRPr="006656CF" w:rsidRDefault="009D069C" w:rsidP="006656CF">
      <w:pPr>
        <w:ind w:left="720"/>
        <w:jc w:val="center"/>
        <w:rPr>
          <w:b/>
          <w:bCs/>
          <w:i/>
          <w:iCs/>
          <w:sz w:val="20"/>
          <w:szCs w:val="20"/>
        </w:rPr>
      </w:pPr>
      <w:r>
        <w:rPr>
          <w:color w:val="000000"/>
          <w:sz w:val="20"/>
          <w:szCs w:val="20"/>
        </w:rPr>
        <w:t>__________</w:t>
      </w:r>
    </w:p>
    <w:sectPr w:rsidR="009D069C" w:rsidRPr="006656CF" w:rsidSect="00165379">
      <w:headerReference w:type="even" r:id="rId47"/>
      <w:headerReference w:type="default" r:id="rId48"/>
      <w:footerReference w:type="even" r:id="rId49"/>
      <w:footerReference w:type="default" r:id="rId5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45371" w14:textId="77777777" w:rsidR="00905BC4" w:rsidRPr="00866063" w:rsidRDefault="00905BC4" w:rsidP="00CF1848">
      <w:r w:rsidRPr="00866063">
        <w:separator/>
      </w:r>
    </w:p>
  </w:endnote>
  <w:endnote w:type="continuationSeparator" w:id="0">
    <w:p w14:paraId="7737E94E" w14:textId="77777777" w:rsidR="00905BC4" w:rsidRPr="00866063" w:rsidRDefault="00905BC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CE69FF2" w14:textId="77777777" w:rsidR="00D75CA6" w:rsidRPr="00233BC5" w:rsidRDefault="00D75CA6" w:rsidP="00D75CA6">
            <w:pPr>
              <w:pStyle w:val="Footer"/>
              <w:jc w:val="left"/>
            </w:pPr>
            <w:r w:rsidRPr="006656CF">
              <w:rPr>
                <w:szCs w:val="20"/>
              </w:rPr>
              <w:fldChar w:fldCharType="begin"/>
            </w:r>
            <w:r w:rsidRPr="006656CF">
              <w:rPr>
                <w:szCs w:val="20"/>
              </w:rPr>
              <w:instrText xml:space="preserve"> PAGE </w:instrText>
            </w:r>
            <w:r w:rsidRPr="006656CF">
              <w:rPr>
                <w:szCs w:val="20"/>
              </w:rPr>
              <w:fldChar w:fldCharType="separate"/>
            </w:r>
            <w:r w:rsidRPr="006656CF">
              <w:rPr>
                <w:szCs w:val="20"/>
              </w:rPr>
              <w:t>2</w:t>
            </w:r>
            <w:r w:rsidRPr="006656CF">
              <w:rPr>
                <w:szCs w:val="20"/>
              </w:rPr>
              <w:fldChar w:fldCharType="end"/>
            </w:r>
            <w:r>
              <w:t>/</w:t>
            </w:r>
            <w:r w:rsidRPr="006656CF">
              <w:rPr>
                <w:szCs w:val="20"/>
              </w:rPr>
              <w:fldChar w:fldCharType="begin"/>
            </w:r>
            <w:r w:rsidRPr="006656CF">
              <w:rPr>
                <w:szCs w:val="20"/>
              </w:rPr>
              <w:instrText xml:space="preserve"> NUMPAGES  </w:instrText>
            </w:r>
            <w:r w:rsidRPr="006656CF">
              <w:rPr>
                <w:szCs w:val="20"/>
              </w:rPr>
              <w:fldChar w:fldCharType="separate"/>
            </w:r>
            <w:r w:rsidRPr="006656CF">
              <w:rPr>
                <w:szCs w:val="20"/>
              </w:rPr>
              <w:t>2</w:t>
            </w:r>
            <w:r w:rsidRPr="006656C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B356441" w14:textId="77777777" w:rsidR="00D75CA6" w:rsidRPr="00233BC5" w:rsidRDefault="00D75CA6" w:rsidP="00D75CA6">
        <w:pPr>
          <w:pStyle w:val="Footer"/>
        </w:pPr>
        <w:r w:rsidRPr="006656CF">
          <w:rPr>
            <w:szCs w:val="20"/>
          </w:rPr>
          <w:fldChar w:fldCharType="begin"/>
        </w:r>
        <w:r w:rsidRPr="006656CF">
          <w:rPr>
            <w:szCs w:val="20"/>
          </w:rPr>
          <w:instrText xml:space="preserve"> PAGE </w:instrText>
        </w:r>
        <w:r w:rsidRPr="006656CF">
          <w:rPr>
            <w:szCs w:val="20"/>
          </w:rPr>
          <w:fldChar w:fldCharType="separate"/>
        </w:r>
        <w:r w:rsidRPr="006656CF">
          <w:rPr>
            <w:szCs w:val="20"/>
          </w:rPr>
          <w:t>2</w:t>
        </w:r>
        <w:r w:rsidRPr="006656CF">
          <w:rPr>
            <w:szCs w:val="20"/>
          </w:rPr>
          <w:fldChar w:fldCharType="end"/>
        </w:r>
        <w:r>
          <w:t>/</w:t>
        </w:r>
        <w:r w:rsidRPr="006656CF">
          <w:rPr>
            <w:szCs w:val="20"/>
          </w:rPr>
          <w:fldChar w:fldCharType="begin"/>
        </w:r>
        <w:r w:rsidRPr="006656CF">
          <w:rPr>
            <w:szCs w:val="20"/>
          </w:rPr>
          <w:instrText xml:space="preserve"> NUMPAGES  </w:instrText>
        </w:r>
        <w:r w:rsidRPr="006656CF">
          <w:rPr>
            <w:szCs w:val="20"/>
          </w:rPr>
          <w:fldChar w:fldCharType="separate"/>
        </w:r>
        <w:r w:rsidRPr="006656CF">
          <w:rPr>
            <w:szCs w:val="20"/>
          </w:rPr>
          <w:t>3</w:t>
        </w:r>
        <w:r w:rsidRPr="006656C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653D2" w14:textId="77777777" w:rsidR="00905BC4" w:rsidRPr="00866063" w:rsidRDefault="00905BC4" w:rsidP="00CF1848">
      <w:r w:rsidRPr="00866063">
        <w:separator/>
      </w:r>
    </w:p>
  </w:footnote>
  <w:footnote w:type="continuationSeparator" w:id="0">
    <w:p w14:paraId="3FAF2BAC" w14:textId="77777777" w:rsidR="00905BC4" w:rsidRPr="00866063" w:rsidRDefault="00905BC4" w:rsidP="00CF1848">
      <w:r w:rsidRPr="00866063">
        <w:continuationSeparator/>
      </w:r>
    </w:p>
  </w:footnote>
  <w:footnote w:id="1">
    <w:p w14:paraId="1BE162D1" w14:textId="02954D45" w:rsidR="008A1499" w:rsidRPr="006656CF" w:rsidRDefault="008A1499">
      <w:pPr>
        <w:pStyle w:val="FootnoteText"/>
      </w:pPr>
      <w:hyperlink r:id="rId1" w:history="1">
        <w:r>
          <w:rPr>
            <w:rStyle w:val="Hyperlink"/>
            <w:vertAlign w:val="superscript"/>
          </w:rPr>
          <w:t>*</w:t>
        </w:r>
        <w:r>
          <w:rPr>
            <w:rStyle w:val="Hyperlink"/>
          </w:rPr>
          <w:t xml:space="preserve"> CBD/SBI/7/1</w:t>
        </w:r>
      </w:hyperlink>
      <w:r>
        <w:t>.</w:t>
      </w:r>
    </w:p>
  </w:footnote>
  <w:footnote w:id="2">
    <w:p w14:paraId="50EACE3A" w14:textId="28B53746" w:rsidR="004C3EB8" w:rsidRPr="006656CF" w:rsidRDefault="004C3EB8">
      <w:pPr>
        <w:pStyle w:val="FootnoteText"/>
      </w:pPr>
      <w:r>
        <w:rPr>
          <w:rStyle w:val="FootnoteReference"/>
        </w:rPr>
        <w:t>**</w:t>
      </w:r>
      <w:r>
        <w:t xml:space="preserve"> Настоящий документ издается без официального редактирования, за исключением проекта рекомендации, приведенного в разделе III.</w:t>
      </w:r>
    </w:p>
  </w:footnote>
  <w:footnote w:id="3">
    <w:p w14:paraId="0F264229" w14:textId="38BB4FD1" w:rsidR="00634D0C" w:rsidRPr="006656CF" w:rsidRDefault="00634D0C">
      <w:pPr>
        <w:pStyle w:val="FootnoteText"/>
      </w:pPr>
      <w:r>
        <w:rPr>
          <w:rStyle w:val="FootnoteReference"/>
        </w:rPr>
        <w:footnoteRef/>
      </w:r>
      <w:r>
        <w:t xml:space="preserve"> </w:t>
      </w:r>
      <w:hyperlink r:id="rId2" w:history="1">
        <w:r>
          <w:rPr>
            <w:rStyle w:val="Hyperlink"/>
          </w:rPr>
          <w:t>https://iclei.org/</w:t>
        </w:r>
      </w:hyperlink>
      <w:r>
        <w:t xml:space="preserve">. </w:t>
      </w:r>
    </w:p>
  </w:footnote>
  <w:footnote w:id="4">
    <w:p w14:paraId="6B58E246" w14:textId="4D2160B4" w:rsidR="000A49F5" w:rsidRPr="006656CF" w:rsidRDefault="000A49F5">
      <w:pPr>
        <w:pStyle w:val="FootnoteText"/>
      </w:pPr>
      <w:r>
        <w:rPr>
          <w:rStyle w:val="FootnoteReference"/>
        </w:rPr>
        <w:footnoteRef/>
      </w:r>
      <w:r>
        <w:t xml:space="preserve"> </w:t>
      </w:r>
      <w:hyperlink r:id="rId3" w:history="1">
        <w:r>
          <w:rPr>
            <w:rStyle w:val="Hyperlink"/>
          </w:rPr>
          <w:t>https://regions4.org/</w:t>
        </w:r>
      </w:hyperlink>
      <w:r>
        <w:t xml:space="preserve">. </w:t>
      </w:r>
    </w:p>
  </w:footnote>
  <w:footnote w:id="5">
    <w:p w14:paraId="47E58E76" w14:textId="35D3E605" w:rsidR="008C4890" w:rsidRPr="006656CF" w:rsidRDefault="008C4890">
      <w:pPr>
        <w:pStyle w:val="FootnoteText"/>
      </w:pPr>
      <w:r>
        <w:rPr>
          <w:rStyle w:val="FootnoteReference"/>
        </w:rPr>
        <w:footnoteRef/>
      </w:r>
      <w:r>
        <w:t xml:space="preserve"> </w:t>
      </w:r>
      <w:hyperlink r:id="rId4" w:history="1">
        <w:r>
          <w:rPr>
            <w:rStyle w:val="Hyperlink"/>
          </w:rPr>
          <w:t>https://citieswithnature.org/</w:t>
        </w:r>
      </w:hyperlink>
      <w:r>
        <w:t xml:space="preserve">. </w:t>
      </w:r>
    </w:p>
  </w:footnote>
  <w:footnote w:id="6">
    <w:p w14:paraId="77B60427" w14:textId="3FBB4392" w:rsidR="008C4890" w:rsidRPr="006656CF" w:rsidRDefault="008C4890">
      <w:pPr>
        <w:pStyle w:val="FootnoteText"/>
      </w:pPr>
      <w:r>
        <w:rPr>
          <w:rStyle w:val="FootnoteReference"/>
        </w:rPr>
        <w:footnoteRef/>
      </w:r>
      <w:r>
        <w:t xml:space="preserve"> </w:t>
      </w:r>
      <w:hyperlink r:id="rId5" w:history="1">
        <w:r>
          <w:rPr>
            <w:rStyle w:val="Hyperlink"/>
          </w:rPr>
          <w:t>https://regionswithnature.org/</w:t>
        </w:r>
      </w:hyperlink>
      <w:r>
        <w:t xml:space="preserve">. </w:t>
      </w:r>
    </w:p>
  </w:footnote>
  <w:footnote w:id="7">
    <w:p w14:paraId="41133A0E" w14:textId="0F0DA640" w:rsidR="009C2BF7" w:rsidRPr="009C2BF7" w:rsidRDefault="009C2BF7">
      <w:pPr>
        <w:pStyle w:val="FootnoteText"/>
      </w:pPr>
      <w:r>
        <w:rPr>
          <w:rStyle w:val="FootnoteReference"/>
        </w:rPr>
        <w:footnoteRef/>
      </w:r>
      <w:r>
        <w:t xml:space="preserve"> CBD/SBI/7/9, приложение.</w:t>
      </w:r>
    </w:p>
  </w:footnote>
  <w:footnote w:id="8">
    <w:p w14:paraId="4AD2B989" w14:textId="199DE0F1" w:rsidR="00975497" w:rsidRPr="006656CF" w:rsidRDefault="00975497">
      <w:pPr>
        <w:pStyle w:val="FootnoteText"/>
      </w:pPr>
      <w:r>
        <w:rPr>
          <w:rStyle w:val="FootnoteReference"/>
        </w:rPr>
        <w:footnoteRef/>
      </w:r>
      <w:r>
        <w:t xml:space="preserve"> Сборник договоров Организации Объединенных Наций, том 1760, № 30619.</w:t>
      </w:r>
    </w:p>
  </w:footnote>
  <w:footnote w:id="9">
    <w:p w14:paraId="4603F6AB" w14:textId="4E3C832D" w:rsidR="00FE373E" w:rsidRPr="006656CF" w:rsidRDefault="00FE373E">
      <w:pPr>
        <w:pStyle w:val="FootnoteText"/>
      </w:pPr>
      <w:r>
        <w:rPr>
          <w:rStyle w:val="FootnoteReference"/>
        </w:rPr>
        <w:footnoteRef/>
      </w:r>
      <w:r>
        <w:t xml:space="preserve"> Решение </w:t>
      </w:r>
      <w:hyperlink r:id="rId6" w:history="1">
        <w:r>
          <w:rPr>
            <w:rStyle w:val="Hyperlink"/>
          </w:rPr>
          <w:t>15/4</w:t>
        </w:r>
      </w:hyperlink>
      <w:r>
        <w:t>, приложение.</w:t>
      </w:r>
    </w:p>
  </w:footnote>
  <w:footnote w:id="10">
    <w:p w14:paraId="2144B966" w14:textId="6DE451EE" w:rsidR="001F63D2" w:rsidRPr="006656CF" w:rsidRDefault="001F63D2">
      <w:pPr>
        <w:pStyle w:val="FootnoteText"/>
      </w:pPr>
      <w:r>
        <w:rPr>
          <w:rStyle w:val="FootnoteReference"/>
        </w:rPr>
        <w:footnoteRef/>
      </w:r>
      <w:r>
        <w:t xml:space="preserve"> Решение </w:t>
      </w:r>
      <w:hyperlink r:id="rId7" w:history="1">
        <w:r>
          <w:rPr>
            <w:rStyle w:val="Hyperlink"/>
          </w:rPr>
          <w:t>15/12</w:t>
        </w:r>
      </w:hyperlink>
      <w:r>
        <w:t>, приложение.</w:t>
      </w:r>
    </w:p>
  </w:footnote>
  <w:footnote w:id="11">
    <w:p w14:paraId="6DC39AC7" w14:textId="06A65F6F" w:rsidR="00961643" w:rsidRDefault="00961643" w:rsidP="00FD64E1">
      <w:pPr>
        <w:pBdr>
          <w:top w:val="nil"/>
          <w:left w:val="nil"/>
          <w:bottom w:val="nil"/>
          <w:right w:val="nil"/>
          <w:between w:val="nil"/>
        </w:pBdr>
        <w:rPr>
          <w:color w:val="000000"/>
          <w:sz w:val="18"/>
          <w:szCs w:val="18"/>
        </w:rPr>
      </w:pPr>
      <w:r>
        <w:rPr>
          <w:vertAlign w:val="superscript"/>
        </w:rPr>
        <w:footnoteRef/>
      </w:r>
      <w:r>
        <w:rPr>
          <w:color w:val="000000"/>
          <w:sz w:val="18"/>
          <w:szCs w:val="18"/>
        </w:rPr>
        <w:t xml:space="preserve"> Порядок проведения глобального обзора определен в документе </w:t>
      </w:r>
      <w:hyperlink r:id="rId8" w:history="1">
        <w:r>
          <w:rPr>
            <w:rStyle w:val="Hyperlink"/>
            <w:sz w:val="18"/>
            <w:szCs w:val="18"/>
          </w:rPr>
          <w:t>CBD/SBI/4/4/Add.2/Rev.1</w:t>
        </w:r>
      </w:hyperlink>
      <w:r>
        <w:rPr>
          <w:color w:val="000000"/>
          <w:sz w:val="18"/>
          <w:szCs w:val="18"/>
        </w:rPr>
        <w:t xml:space="preserve"> и принят в решении </w:t>
      </w:r>
      <w:hyperlink r:id="rId9" w:history="1">
        <w:r>
          <w:rPr>
            <w:rStyle w:val="Hyperlink"/>
            <w:sz w:val="18"/>
            <w:szCs w:val="18"/>
          </w:rPr>
          <w:t>16/34</w:t>
        </w:r>
      </w:hyperlink>
      <w:r>
        <w:rPr>
          <w:color w:val="000000"/>
          <w:sz w:val="18"/>
          <w:szCs w:val="18"/>
        </w:rPr>
        <w:t>.</w:t>
      </w:r>
    </w:p>
  </w:footnote>
  <w:footnote w:id="12">
    <w:p w14:paraId="0415BE48" w14:textId="71694B09" w:rsidR="00961643" w:rsidRDefault="00961643" w:rsidP="00FD64E1">
      <w:pPr>
        <w:pBdr>
          <w:top w:val="nil"/>
          <w:left w:val="nil"/>
          <w:bottom w:val="nil"/>
          <w:right w:val="nil"/>
          <w:between w:val="nil"/>
        </w:pBdr>
        <w:rPr>
          <w:color w:val="000000"/>
          <w:sz w:val="18"/>
          <w:szCs w:val="18"/>
        </w:rPr>
      </w:pPr>
      <w:r>
        <w:rPr>
          <w:vertAlign w:val="superscript"/>
        </w:rPr>
        <w:footnoteRef/>
      </w:r>
      <w:r>
        <w:rPr>
          <w:color w:val="000000"/>
          <w:sz w:val="18"/>
          <w:szCs w:val="18"/>
        </w:rPr>
        <w:t xml:space="preserve"> По состоянию на апрель 2026 года членами КК СНП являются: Айти, Андхра-Прадеш, Валга, Госсас, Гояс, Калифорния, Кампече, Канвон, Каталония, Квебек, Кордова, Ломбардия, Овернь-Рона-Альпы, Онтарио, Палаван, Парана, Рио-де-Жанейро, Сан-Паулу, Санта-Фе, Северный Рейн-Вестфалия, Страна Басков, Сычуань, Уэльс, Фатик, Халиско и Шотландия.</w:t>
      </w:r>
    </w:p>
  </w:footnote>
  <w:footnote w:id="13">
    <w:p w14:paraId="5131788B" w14:textId="02521D91" w:rsidR="00961643" w:rsidRDefault="00961643" w:rsidP="00FD64E1">
      <w:pPr>
        <w:pBdr>
          <w:top w:val="nil"/>
          <w:left w:val="nil"/>
          <w:bottom w:val="nil"/>
          <w:right w:val="nil"/>
          <w:between w:val="nil"/>
        </w:pBdr>
        <w:rPr>
          <w:color w:val="000000"/>
          <w:sz w:val="20"/>
          <w:szCs w:val="20"/>
        </w:rPr>
      </w:pPr>
      <w:r>
        <w:rPr>
          <w:vertAlign w:val="superscript"/>
        </w:rPr>
        <w:footnoteRef/>
      </w:r>
      <w:r>
        <w:rPr>
          <w:color w:val="000000"/>
          <w:sz w:val="18"/>
          <w:szCs w:val="18"/>
        </w:rPr>
        <w:t xml:space="preserve"> Партнерами КК СНП являются: Ассоциация агентств по рыбе и дичи (AFWA), Консорциум провинциальных правительств Эквадора (CONGOPE), CREAF и Европейский комитет регионов (CoR).</w:t>
      </w:r>
    </w:p>
  </w:footnote>
  <w:footnote w:id="14">
    <w:p w14:paraId="71EA42A9" w14:textId="77777777" w:rsidR="00961643" w:rsidRDefault="00961643" w:rsidP="00FD64E1">
      <w:pPr>
        <w:pBdr>
          <w:top w:val="nil"/>
          <w:left w:val="nil"/>
          <w:bottom w:val="nil"/>
          <w:right w:val="nil"/>
          <w:between w:val="nil"/>
        </w:pBdr>
        <w:rPr>
          <w:color w:val="000000"/>
          <w:sz w:val="18"/>
          <w:szCs w:val="18"/>
        </w:rPr>
      </w:pPr>
      <w:r>
        <w:rPr>
          <w:vertAlign w:val="superscript"/>
        </w:rPr>
        <w:footnoteRef/>
      </w:r>
      <w:r>
        <w:rPr>
          <w:color w:val="000000"/>
          <w:sz w:val="18"/>
          <w:szCs w:val="18"/>
        </w:rPr>
        <w:t xml:space="preserve"> </w:t>
      </w:r>
      <w:r>
        <w:rPr>
          <w:sz w:val="18"/>
          <w:szCs w:val="18"/>
        </w:rPr>
        <w:t>По состоянию на апрель 2026 года в состав Консультативного комитета по городам входят: Бонн, Дурбан (Этеквини), Измир, Кагаян-де-Оро, Кали, Кампинас, Куритиба, Лос-Анджелес, Медельин, Мехико, Монреаль, Нагоя, Сан-Паулу, Тирана и Шефшауэн.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E37DBF7" w14:textId="4B3B3EA9" w:rsidR="00534681" w:rsidRPr="00866063" w:rsidRDefault="00702E45" w:rsidP="007C4951">
        <w:pPr>
          <w:pStyle w:val="Header"/>
          <w:spacing w:after="240"/>
          <w:rPr>
            <w:szCs w:val="20"/>
          </w:rPr>
        </w:pPr>
        <w:r w:rsidRPr="00866063">
          <w:rPr>
            <w:szCs w:val="20"/>
          </w:rPr>
          <w:t>CBD/</w:t>
        </w:r>
        <w:r>
          <w:rPr>
            <w:szCs w:val="20"/>
          </w:rPr>
          <w:t>SBI/7/9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Тема"/>
      <w:tag w:val=""/>
      <w:id w:val="851227268"/>
      <w:dataBinding w:prefixMappings="xmlns:ns0='http://purl.org/dc/elements/1.1/' xmlns:ns1='http://schemas.openxmlformats.org/package/2006/metadata/core-properties' " w:xpath="/ns1:coreProperties[1]/ns0:subject[1]" w:storeItemID="{6C3C8BC8-F283-45AE-878A-BAB7291924A1}"/>
      <w:text/>
    </w:sdtPr>
    <w:sdtContent>
      <w:p w14:paraId="5FC8A100" w14:textId="3ADFBB67" w:rsidR="009505C9" w:rsidRPr="00866063" w:rsidRDefault="00702E45" w:rsidP="007C4951">
        <w:pPr>
          <w:pStyle w:val="Header"/>
          <w:spacing w:after="240"/>
          <w:jc w:val="right"/>
        </w:pPr>
        <w:r>
          <w:t>CBD/SBI/7/9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76AF"/>
    <w:multiLevelType w:val="multilevel"/>
    <w:tmpl w:val="DE8659B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38130199"/>
    <w:multiLevelType w:val="multilevel"/>
    <w:tmpl w:val="C82A908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7435EF"/>
    <w:multiLevelType w:val="multilevel"/>
    <w:tmpl w:val="BB38E0B6"/>
    <w:lvl w:ilvl="0">
      <w:start w:val="1"/>
      <w:numFmt w:val="decimal"/>
      <w:lvlText w:val="%1."/>
      <w:lvlJc w:val="right"/>
      <w:pPr>
        <w:ind w:left="720" w:hanging="360"/>
      </w:pPr>
      <w:rPr>
        <w:u w:val="none"/>
      </w:rPr>
    </w:lvl>
    <w:lvl w:ilvl="1">
      <w:start w:val="1"/>
      <w:numFmt w:val="decimal"/>
      <w:lvlText w:val="%1.%2."/>
      <w:lvlJc w:val="right"/>
      <w:pPr>
        <w:ind w:left="1440" w:hanging="360"/>
      </w:pPr>
      <w:rPr>
        <w:b/>
        <w:bCs/>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EF84156"/>
    <w:multiLevelType w:val="multilevel"/>
    <w:tmpl w:val="825A20A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830828777">
    <w:abstractNumId w:val="5"/>
  </w:num>
  <w:num w:numId="2" w16cid:durableId="1858829">
    <w:abstractNumId w:val="2"/>
  </w:num>
  <w:num w:numId="3" w16cid:durableId="1333221471">
    <w:abstractNumId w:val="8"/>
  </w:num>
  <w:num w:numId="4" w16cid:durableId="1072390599">
    <w:abstractNumId w:val="9"/>
  </w:num>
  <w:num w:numId="5" w16cid:durableId="960385107">
    <w:abstractNumId w:val="4"/>
  </w:num>
  <w:num w:numId="6" w16cid:durableId="893932166">
    <w:abstractNumId w:val="7"/>
  </w:num>
  <w:num w:numId="7" w16cid:durableId="323945383">
    <w:abstractNumId w:val="6"/>
  </w:num>
  <w:num w:numId="8" w16cid:durableId="901671677">
    <w:abstractNumId w:val="0"/>
  </w:num>
  <w:num w:numId="9" w16cid:durableId="807941884">
    <w:abstractNumId w:val="3"/>
  </w:num>
  <w:num w:numId="10" w16cid:durableId="2044479360">
    <w:abstractNumId w:val="10"/>
  </w:num>
  <w:num w:numId="11" w16cid:durableId="1113942988">
    <w:abstractNumId w:val="1"/>
  </w:num>
  <w:num w:numId="12" w16cid:durableId="2075752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2243609">
    <w:abstractNumId w:val="4"/>
  </w:num>
  <w:num w:numId="14" w16cid:durableId="310133456">
    <w:abstractNumId w:val="7"/>
  </w:num>
  <w:num w:numId="15" w16cid:durableId="1905144174">
    <w:abstractNumId w:val="6"/>
  </w:num>
  <w:num w:numId="16" w16cid:durableId="355733255">
    <w:abstractNumId w:val="6"/>
  </w:num>
  <w:num w:numId="17" w16cid:durableId="1115442165">
    <w:abstractNumId w:val="7"/>
  </w:num>
  <w:num w:numId="18" w16cid:durableId="1074625445">
    <w:abstractNumId w:val="7"/>
  </w:num>
  <w:num w:numId="19" w16cid:durableId="1257060385">
    <w:abstractNumId w:val="7"/>
  </w:num>
  <w:num w:numId="20" w16cid:durableId="378170778">
    <w:abstractNumId w:val="7"/>
  </w:num>
  <w:num w:numId="21" w16cid:durableId="152332723">
    <w:abstractNumId w:val="7"/>
  </w:num>
  <w:num w:numId="22" w16cid:durableId="1422220463">
    <w:abstractNumId w:val="9"/>
  </w:num>
  <w:num w:numId="23" w16cid:durableId="1825587824">
    <w:abstractNumId w:val="9"/>
  </w:num>
  <w:num w:numId="24" w16cid:durableId="169952570">
    <w:abstractNumId w:val="9"/>
  </w:num>
  <w:num w:numId="25" w16cid:durableId="2143885199">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C4"/>
    <w:rsid w:val="000071A4"/>
    <w:rsid w:val="00017C80"/>
    <w:rsid w:val="00031D13"/>
    <w:rsid w:val="00042767"/>
    <w:rsid w:val="00045F3B"/>
    <w:rsid w:val="000521D7"/>
    <w:rsid w:val="00057AD9"/>
    <w:rsid w:val="0007171B"/>
    <w:rsid w:val="00074822"/>
    <w:rsid w:val="0007740C"/>
    <w:rsid w:val="00082418"/>
    <w:rsid w:val="000A49F5"/>
    <w:rsid w:val="000B47E8"/>
    <w:rsid w:val="000B722A"/>
    <w:rsid w:val="000C2920"/>
    <w:rsid w:val="000D0F68"/>
    <w:rsid w:val="000E087F"/>
    <w:rsid w:val="000E2081"/>
    <w:rsid w:val="000E673A"/>
    <w:rsid w:val="000F66DD"/>
    <w:rsid w:val="000F6945"/>
    <w:rsid w:val="000F74F5"/>
    <w:rsid w:val="000F78FC"/>
    <w:rsid w:val="001003C4"/>
    <w:rsid w:val="00105372"/>
    <w:rsid w:val="001054A6"/>
    <w:rsid w:val="001078A1"/>
    <w:rsid w:val="00113BD7"/>
    <w:rsid w:val="00116236"/>
    <w:rsid w:val="00125186"/>
    <w:rsid w:val="001312AD"/>
    <w:rsid w:val="00131E7A"/>
    <w:rsid w:val="00134846"/>
    <w:rsid w:val="001432FB"/>
    <w:rsid w:val="00147097"/>
    <w:rsid w:val="0015746F"/>
    <w:rsid w:val="00163EA8"/>
    <w:rsid w:val="00165379"/>
    <w:rsid w:val="001726CE"/>
    <w:rsid w:val="00172AF6"/>
    <w:rsid w:val="00176CEE"/>
    <w:rsid w:val="00177A60"/>
    <w:rsid w:val="00177FD3"/>
    <w:rsid w:val="0018519C"/>
    <w:rsid w:val="00186DD8"/>
    <w:rsid w:val="001A35EC"/>
    <w:rsid w:val="001B13FE"/>
    <w:rsid w:val="001B5097"/>
    <w:rsid w:val="001C1AD2"/>
    <w:rsid w:val="001E0BFE"/>
    <w:rsid w:val="001E0E2A"/>
    <w:rsid w:val="001F63D2"/>
    <w:rsid w:val="001F7A33"/>
    <w:rsid w:val="002164D2"/>
    <w:rsid w:val="00216AAD"/>
    <w:rsid w:val="00233BC5"/>
    <w:rsid w:val="00235F05"/>
    <w:rsid w:val="00236DFC"/>
    <w:rsid w:val="00237769"/>
    <w:rsid w:val="00243737"/>
    <w:rsid w:val="00252909"/>
    <w:rsid w:val="00255F86"/>
    <w:rsid w:val="0026369D"/>
    <w:rsid w:val="00273B1B"/>
    <w:rsid w:val="0029576F"/>
    <w:rsid w:val="002B3B95"/>
    <w:rsid w:val="002C6C31"/>
    <w:rsid w:val="002D0229"/>
    <w:rsid w:val="002D05FF"/>
    <w:rsid w:val="002D1FE4"/>
    <w:rsid w:val="002E10C0"/>
    <w:rsid w:val="002F6ED3"/>
    <w:rsid w:val="003008FE"/>
    <w:rsid w:val="0030169D"/>
    <w:rsid w:val="003039C0"/>
    <w:rsid w:val="003060EB"/>
    <w:rsid w:val="00306147"/>
    <w:rsid w:val="003102E5"/>
    <w:rsid w:val="0031377B"/>
    <w:rsid w:val="003153EB"/>
    <w:rsid w:val="00321985"/>
    <w:rsid w:val="003269DA"/>
    <w:rsid w:val="00327435"/>
    <w:rsid w:val="00334974"/>
    <w:rsid w:val="0034192B"/>
    <w:rsid w:val="00351205"/>
    <w:rsid w:val="003526E4"/>
    <w:rsid w:val="00363E8B"/>
    <w:rsid w:val="00372F74"/>
    <w:rsid w:val="00377B8C"/>
    <w:rsid w:val="00387CD3"/>
    <w:rsid w:val="003A0D33"/>
    <w:rsid w:val="003A1A3C"/>
    <w:rsid w:val="003A3843"/>
    <w:rsid w:val="003B1F3A"/>
    <w:rsid w:val="003B7833"/>
    <w:rsid w:val="003D06EB"/>
    <w:rsid w:val="003F358B"/>
    <w:rsid w:val="003F7224"/>
    <w:rsid w:val="00401079"/>
    <w:rsid w:val="004077DE"/>
    <w:rsid w:val="0042622B"/>
    <w:rsid w:val="00427D21"/>
    <w:rsid w:val="00446929"/>
    <w:rsid w:val="00447F4A"/>
    <w:rsid w:val="00455AF2"/>
    <w:rsid w:val="00455CC6"/>
    <w:rsid w:val="00456F67"/>
    <w:rsid w:val="004644C2"/>
    <w:rsid w:val="00467F9C"/>
    <w:rsid w:val="00477535"/>
    <w:rsid w:val="00486C3E"/>
    <w:rsid w:val="00490F05"/>
    <w:rsid w:val="004B2090"/>
    <w:rsid w:val="004B2919"/>
    <w:rsid w:val="004B3381"/>
    <w:rsid w:val="004B6604"/>
    <w:rsid w:val="004C3EB8"/>
    <w:rsid w:val="004E46DF"/>
    <w:rsid w:val="004E7184"/>
    <w:rsid w:val="004F00A2"/>
    <w:rsid w:val="004F64F6"/>
    <w:rsid w:val="0051006C"/>
    <w:rsid w:val="00512C73"/>
    <w:rsid w:val="005259CE"/>
    <w:rsid w:val="00534681"/>
    <w:rsid w:val="00541B2A"/>
    <w:rsid w:val="00547C37"/>
    <w:rsid w:val="0056068E"/>
    <w:rsid w:val="00563442"/>
    <w:rsid w:val="0056348E"/>
    <w:rsid w:val="00563BB1"/>
    <w:rsid w:val="00565B42"/>
    <w:rsid w:val="00572239"/>
    <w:rsid w:val="00586809"/>
    <w:rsid w:val="005A378B"/>
    <w:rsid w:val="005B00DE"/>
    <w:rsid w:val="005B35E2"/>
    <w:rsid w:val="005B3E0D"/>
    <w:rsid w:val="005B60C0"/>
    <w:rsid w:val="005B6C44"/>
    <w:rsid w:val="005C3736"/>
    <w:rsid w:val="005C4CE6"/>
    <w:rsid w:val="005C7809"/>
    <w:rsid w:val="006122BA"/>
    <w:rsid w:val="006209FF"/>
    <w:rsid w:val="00625E0D"/>
    <w:rsid w:val="006270EA"/>
    <w:rsid w:val="00634D0C"/>
    <w:rsid w:val="006478BF"/>
    <w:rsid w:val="00660B19"/>
    <w:rsid w:val="006656CF"/>
    <w:rsid w:val="00687867"/>
    <w:rsid w:val="00691636"/>
    <w:rsid w:val="00691BAF"/>
    <w:rsid w:val="00691DC4"/>
    <w:rsid w:val="00696E56"/>
    <w:rsid w:val="006A73C1"/>
    <w:rsid w:val="006B2290"/>
    <w:rsid w:val="006B60B2"/>
    <w:rsid w:val="006D6D18"/>
    <w:rsid w:val="006E2E40"/>
    <w:rsid w:val="00702E45"/>
    <w:rsid w:val="00717D88"/>
    <w:rsid w:val="00725620"/>
    <w:rsid w:val="00726A43"/>
    <w:rsid w:val="007451FF"/>
    <w:rsid w:val="00745805"/>
    <w:rsid w:val="00751132"/>
    <w:rsid w:val="00752172"/>
    <w:rsid w:val="00763795"/>
    <w:rsid w:val="00765589"/>
    <w:rsid w:val="007655DE"/>
    <w:rsid w:val="007810E6"/>
    <w:rsid w:val="00782AE7"/>
    <w:rsid w:val="00786056"/>
    <w:rsid w:val="007923B9"/>
    <w:rsid w:val="007942D3"/>
    <w:rsid w:val="007A1D89"/>
    <w:rsid w:val="007A4ED4"/>
    <w:rsid w:val="007A7175"/>
    <w:rsid w:val="007B2099"/>
    <w:rsid w:val="007B44E7"/>
    <w:rsid w:val="007B5E63"/>
    <w:rsid w:val="007B6C09"/>
    <w:rsid w:val="007B7741"/>
    <w:rsid w:val="007C4951"/>
    <w:rsid w:val="007D3315"/>
    <w:rsid w:val="007D45FE"/>
    <w:rsid w:val="007E09DA"/>
    <w:rsid w:val="007E0F8A"/>
    <w:rsid w:val="007F718D"/>
    <w:rsid w:val="00801FAD"/>
    <w:rsid w:val="0081294A"/>
    <w:rsid w:val="008178B6"/>
    <w:rsid w:val="00835D7C"/>
    <w:rsid w:val="00840507"/>
    <w:rsid w:val="00844AEA"/>
    <w:rsid w:val="00847A41"/>
    <w:rsid w:val="00854E38"/>
    <w:rsid w:val="00856E9E"/>
    <w:rsid w:val="00865B74"/>
    <w:rsid w:val="00866063"/>
    <w:rsid w:val="00882CE6"/>
    <w:rsid w:val="0088690B"/>
    <w:rsid w:val="008948E6"/>
    <w:rsid w:val="008974F0"/>
    <w:rsid w:val="008A1499"/>
    <w:rsid w:val="008A3A2E"/>
    <w:rsid w:val="008B012A"/>
    <w:rsid w:val="008B0876"/>
    <w:rsid w:val="008B2F28"/>
    <w:rsid w:val="008C4890"/>
    <w:rsid w:val="008C56C2"/>
    <w:rsid w:val="008F2301"/>
    <w:rsid w:val="00905BC4"/>
    <w:rsid w:val="00906E17"/>
    <w:rsid w:val="009172D5"/>
    <w:rsid w:val="00917678"/>
    <w:rsid w:val="00930BA1"/>
    <w:rsid w:val="0093169E"/>
    <w:rsid w:val="00931E44"/>
    <w:rsid w:val="00944469"/>
    <w:rsid w:val="009504F0"/>
    <w:rsid w:val="009505C9"/>
    <w:rsid w:val="00950752"/>
    <w:rsid w:val="0095444F"/>
    <w:rsid w:val="00954899"/>
    <w:rsid w:val="00961643"/>
    <w:rsid w:val="00966424"/>
    <w:rsid w:val="0096720F"/>
    <w:rsid w:val="00970911"/>
    <w:rsid w:val="009750B7"/>
    <w:rsid w:val="00975497"/>
    <w:rsid w:val="009B3246"/>
    <w:rsid w:val="009C01DA"/>
    <w:rsid w:val="009C1F2B"/>
    <w:rsid w:val="009C2BF7"/>
    <w:rsid w:val="009C2DE6"/>
    <w:rsid w:val="009D069C"/>
    <w:rsid w:val="009D2557"/>
    <w:rsid w:val="009E1EDD"/>
    <w:rsid w:val="009E2D31"/>
    <w:rsid w:val="009E3660"/>
    <w:rsid w:val="009E6F3E"/>
    <w:rsid w:val="009E73E3"/>
    <w:rsid w:val="009F1980"/>
    <w:rsid w:val="009F5204"/>
    <w:rsid w:val="00A01335"/>
    <w:rsid w:val="00A111D1"/>
    <w:rsid w:val="00A223D7"/>
    <w:rsid w:val="00A30BFD"/>
    <w:rsid w:val="00A36D40"/>
    <w:rsid w:val="00A408B4"/>
    <w:rsid w:val="00A43716"/>
    <w:rsid w:val="00A45BC6"/>
    <w:rsid w:val="00A469E2"/>
    <w:rsid w:val="00A5065D"/>
    <w:rsid w:val="00A63EDA"/>
    <w:rsid w:val="00A65101"/>
    <w:rsid w:val="00A83591"/>
    <w:rsid w:val="00A90BA3"/>
    <w:rsid w:val="00AA6F92"/>
    <w:rsid w:val="00AB0BF5"/>
    <w:rsid w:val="00AB6934"/>
    <w:rsid w:val="00AC0A80"/>
    <w:rsid w:val="00AC7CF0"/>
    <w:rsid w:val="00AD114B"/>
    <w:rsid w:val="00AE7825"/>
    <w:rsid w:val="00AF42DE"/>
    <w:rsid w:val="00AF60C5"/>
    <w:rsid w:val="00B04FF6"/>
    <w:rsid w:val="00B13974"/>
    <w:rsid w:val="00B31184"/>
    <w:rsid w:val="00B3369F"/>
    <w:rsid w:val="00B34BDA"/>
    <w:rsid w:val="00B46670"/>
    <w:rsid w:val="00B63EA4"/>
    <w:rsid w:val="00B909F0"/>
    <w:rsid w:val="00B94E6C"/>
    <w:rsid w:val="00B9588C"/>
    <w:rsid w:val="00B97BC5"/>
    <w:rsid w:val="00BA0570"/>
    <w:rsid w:val="00BA153A"/>
    <w:rsid w:val="00BA2E1F"/>
    <w:rsid w:val="00BA5FF6"/>
    <w:rsid w:val="00BB4606"/>
    <w:rsid w:val="00BD1F7A"/>
    <w:rsid w:val="00BD708D"/>
    <w:rsid w:val="00BE1C94"/>
    <w:rsid w:val="00BE5299"/>
    <w:rsid w:val="00BE6118"/>
    <w:rsid w:val="00BE6F8C"/>
    <w:rsid w:val="00BF25AE"/>
    <w:rsid w:val="00C012C5"/>
    <w:rsid w:val="00C01EC7"/>
    <w:rsid w:val="00C04984"/>
    <w:rsid w:val="00C23010"/>
    <w:rsid w:val="00C23D2F"/>
    <w:rsid w:val="00C34654"/>
    <w:rsid w:val="00C355F2"/>
    <w:rsid w:val="00C42EB1"/>
    <w:rsid w:val="00C4348A"/>
    <w:rsid w:val="00C443BD"/>
    <w:rsid w:val="00C451C5"/>
    <w:rsid w:val="00C6676D"/>
    <w:rsid w:val="00C67FCD"/>
    <w:rsid w:val="00C720F9"/>
    <w:rsid w:val="00C85999"/>
    <w:rsid w:val="00C86D91"/>
    <w:rsid w:val="00C9161D"/>
    <w:rsid w:val="00CA0C1D"/>
    <w:rsid w:val="00CB6DA7"/>
    <w:rsid w:val="00CC4340"/>
    <w:rsid w:val="00CD783D"/>
    <w:rsid w:val="00CF1505"/>
    <w:rsid w:val="00CF1848"/>
    <w:rsid w:val="00CF3FB6"/>
    <w:rsid w:val="00D12044"/>
    <w:rsid w:val="00D170D9"/>
    <w:rsid w:val="00D17C8B"/>
    <w:rsid w:val="00D21F54"/>
    <w:rsid w:val="00D22282"/>
    <w:rsid w:val="00D33EFC"/>
    <w:rsid w:val="00D361EC"/>
    <w:rsid w:val="00D36D96"/>
    <w:rsid w:val="00D40DBC"/>
    <w:rsid w:val="00D53D09"/>
    <w:rsid w:val="00D61C85"/>
    <w:rsid w:val="00D6240E"/>
    <w:rsid w:val="00D71A91"/>
    <w:rsid w:val="00D744A5"/>
    <w:rsid w:val="00D75CA6"/>
    <w:rsid w:val="00D76A18"/>
    <w:rsid w:val="00D80849"/>
    <w:rsid w:val="00D82594"/>
    <w:rsid w:val="00D82E8F"/>
    <w:rsid w:val="00D95060"/>
    <w:rsid w:val="00DA20D8"/>
    <w:rsid w:val="00DA2A30"/>
    <w:rsid w:val="00DA774B"/>
    <w:rsid w:val="00DB0121"/>
    <w:rsid w:val="00DB5E0F"/>
    <w:rsid w:val="00DD118C"/>
    <w:rsid w:val="00DD3D53"/>
    <w:rsid w:val="00DD4821"/>
    <w:rsid w:val="00DD4DDB"/>
    <w:rsid w:val="00DD68A7"/>
    <w:rsid w:val="00DE2BC6"/>
    <w:rsid w:val="00DE50B6"/>
    <w:rsid w:val="00DE765C"/>
    <w:rsid w:val="00DF698E"/>
    <w:rsid w:val="00E1381B"/>
    <w:rsid w:val="00E13949"/>
    <w:rsid w:val="00E15125"/>
    <w:rsid w:val="00E17EDB"/>
    <w:rsid w:val="00E235F5"/>
    <w:rsid w:val="00E35A78"/>
    <w:rsid w:val="00E42877"/>
    <w:rsid w:val="00E44339"/>
    <w:rsid w:val="00E66235"/>
    <w:rsid w:val="00E83C24"/>
    <w:rsid w:val="00E911FD"/>
    <w:rsid w:val="00E9318D"/>
    <w:rsid w:val="00E93F3E"/>
    <w:rsid w:val="00EA5150"/>
    <w:rsid w:val="00EB2568"/>
    <w:rsid w:val="00EB5DE1"/>
    <w:rsid w:val="00EC133A"/>
    <w:rsid w:val="00EC2EF8"/>
    <w:rsid w:val="00EE1C5C"/>
    <w:rsid w:val="00EE7131"/>
    <w:rsid w:val="00EF567C"/>
    <w:rsid w:val="00F063C2"/>
    <w:rsid w:val="00F06F13"/>
    <w:rsid w:val="00F25143"/>
    <w:rsid w:val="00F31EC7"/>
    <w:rsid w:val="00F403A2"/>
    <w:rsid w:val="00F44995"/>
    <w:rsid w:val="00F53193"/>
    <w:rsid w:val="00F5357E"/>
    <w:rsid w:val="00F6034A"/>
    <w:rsid w:val="00F60743"/>
    <w:rsid w:val="00F62722"/>
    <w:rsid w:val="00F6586C"/>
    <w:rsid w:val="00F760FF"/>
    <w:rsid w:val="00F9038B"/>
    <w:rsid w:val="00F90887"/>
    <w:rsid w:val="00F94774"/>
    <w:rsid w:val="00F96247"/>
    <w:rsid w:val="00FA663B"/>
    <w:rsid w:val="00FB19B9"/>
    <w:rsid w:val="00FB2C4F"/>
    <w:rsid w:val="00FB6391"/>
    <w:rsid w:val="00FB707D"/>
    <w:rsid w:val="00FB7CFB"/>
    <w:rsid w:val="00FC022C"/>
    <w:rsid w:val="00FC53DB"/>
    <w:rsid w:val="00FD6122"/>
    <w:rsid w:val="00FE373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6B7AE3"/>
  <w15:docId w15:val="{53DD5FF7-0621-4BDF-B34D-3564AEF97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BDA"/>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B34BDA"/>
    <w:pPr>
      <w:keepNext/>
      <w:keepLines/>
      <w:numPr>
        <w:numId w:val="2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34BDA"/>
    <w:pPr>
      <w:keepNext/>
      <w:keepLines/>
      <w:numPr>
        <w:ilvl w:val="1"/>
        <w:numId w:val="2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34BDA"/>
    <w:pPr>
      <w:keepNext/>
      <w:keepLines/>
      <w:numPr>
        <w:ilvl w:val="2"/>
        <w:numId w:val="2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34BDA"/>
    <w:pPr>
      <w:keepNext/>
      <w:numPr>
        <w:ilvl w:val="3"/>
        <w:numId w:val="2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34BDA"/>
    <w:pPr>
      <w:keepNext/>
      <w:numPr>
        <w:ilvl w:val="4"/>
        <w:numId w:val="21"/>
      </w:numPr>
      <w:spacing w:before="120" w:after="120"/>
      <w:jc w:val="left"/>
      <w:outlineLvl w:val="4"/>
    </w:pPr>
    <w:rPr>
      <w:rFonts w:eastAsiaTheme="majorEastAsia"/>
      <w:i/>
      <w:iCs/>
    </w:rPr>
  </w:style>
  <w:style w:type="paragraph" w:styleId="Heading6">
    <w:name w:val="heading 6"/>
    <w:basedOn w:val="Normal"/>
    <w:next w:val="Normal"/>
    <w:link w:val="Heading6Char"/>
    <w:rsid w:val="00B34BDA"/>
    <w:pPr>
      <w:keepNext/>
      <w:keepLines/>
      <w:numPr>
        <w:ilvl w:val="5"/>
        <w:numId w:val="2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B34BDA"/>
    <w:pPr>
      <w:keepNext/>
      <w:keepLines/>
      <w:widowControl w:val="0"/>
      <w:numPr>
        <w:ilvl w:val="6"/>
        <w:numId w:val="2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B34BDA"/>
    <w:pPr>
      <w:keepNext/>
      <w:keepLines/>
      <w:widowControl w:val="0"/>
      <w:numPr>
        <w:ilvl w:val="7"/>
        <w:numId w:val="2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B34BDA"/>
    <w:pPr>
      <w:keepNext/>
      <w:widowControl w:val="0"/>
      <w:numPr>
        <w:ilvl w:val="8"/>
        <w:numId w:val="2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B34BD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34BDA"/>
    <w:rPr>
      <w:rFonts w:ascii="Times New Roman" w:eastAsia="SimSun" w:hAnsi="Times New Roman" w:cs="Times New Roman"/>
      <w:sz w:val="20"/>
      <w:szCs w:val="22"/>
      <w:lang w:val="ru-RU"/>
    </w:rPr>
  </w:style>
  <w:style w:type="paragraph" w:styleId="Footer">
    <w:name w:val="footer"/>
    <w:basedOn w:val="Normal"/>
    <w:link w:val="FooterChar"/>
    <w:uiPriority w:val="99"/>
    <w:rsid w:val="00B34BDA"/>
    <w:pPr>
      <w:tabs>
        <w:tab w:val="center" w:pos="4680"/>
        <w:tab w:val="right" w:pos="9360"/>
      </w:tabs>
    </w:pPr>
    <w:rPr>
      <w:sz w:val="20"/>
    </w:rPr>
  </w:style>
  <w:style w:type="character" w:customStyle="1" w:styleId="FooterChar">
    <w:name w:val="Footer Char"/>
    <w:basedOn w:val="DefaultParagraphFont"/>
    <w:link w:val="Footer"/>
    <w:uiPriority w:val="99"/>
    <w:rsid w:val="00B34BDA"/>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B34BDA"/>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B34BD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B34BDA"/>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B34BDA"/>
    <w:rPr>
      <w:sz w:val="16"/>
      <w:szCs w:val="16"/>
    </w:rPr>
  </w:style>
  <w:style w:type="paragraph" w:styleId="CommentText">
    <w:name w:val="annotation text"/>
    <w:basedOn w:val="Normal"/>
    <w:link w:val="CommentTextChar"/>
    <w:uiPriority w:val="99"/>
    <w:semiHidden/>
    <w:rsid w:val="00B34BDA"/>
    <w:rPr>
      <w:sz w:val="20"/>
      <w:szCs w:val="20"/>
    </w:rPr>
  </w:style>
  <w:style w:type="character" w:customStyle="1" w:styleId="CommentTextChar">
    <w:name w:val="Comment Text Char"/>
    <w:basedOn w:val="DefaultParagraphFont"/>
    <w:link w:val="CommentText"/>
    <w:uiPriority w:val="99"/>
    <w:semiHidden/>
    <w:rsid w:val="00B34BDA"/>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basedOn w:val="DefaultParagraphFont"/>
    <w:uiPriority w:val="99"/>
    <w:semiHidden/>
    <w:unhideWhenUsed/>
    <w:rsid w:val="00B34BDA"/>
    <w:rPr>
      <w:vertAlign w:val="superscript"/>
    </w:rPr>
  </w:style>
  <w:style w:type="paragraph" w:styleId="FootnoteText">
    <w:name w:val="footnote text"/>
    <w:basedOn w:val="Normal"/>
    <w:link w:val="FootnoteTextChar"/>
    <w:uiPriority w:val="99"/>
    <w:semiHidden/>
    <w:unhideWhenUsed/>
    <w:rsid w:val="00B34BDA"/>
    <w:pPr>
      <w:jc w:val="left"/>
    </w:pPr>
    <w:rPr>
      <w:sz w:val="18"/>
      <w:szCs w:val="20"/>
    </w:rPr>
  </w:style>
  <w:style w:type="character" w:customStyle="1" w:styleId="FootnoteTextChar">
    <w:name w:val="Footnote Text Char"/>
    <w:basedOn w:val="DefaultParagraphFont"/>
    <w:link w:val="FootnoteText"/>
    <w:uiPriority w:val="99"/>
    <w:semiHidden/>
    <w:rsid w:val="00B34BDA"/>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34BDA"/>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34BDA"/>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34BDA"/>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34BDA"/>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B34BDA"/>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B34BDA"/>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B34BDA"/>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B34BDA"/>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34BD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34BD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B34BDA"/>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B34BD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B34BDA"/>
    <w:pPr>
      <w:spacing w:after="120"/>
      <w:ind w:left="567"/>
    </w:pPr>
  </w:style>
  <w:style w:type="paragraph" w:customStyle="1" w:styleId="Footnote">
    <w:name w:val="Footnote"/>
    <w:basedOn w:val="FootnoteText"/>
    <w:semiHidden/>
    <w:qFormat/>
    <w:rsid w:val="00B34BDA"/>
    <w:rPr>
      <w:szCs w:val="18"/>
    </w:rPr>
  </w:style>
  <w:style w:type="paragraph" w:customStyle="1" w:styleId="Annex">
    <w:name w:val="Annex"/>
    <w:basedOn w:val="Normal"/>
    <w:semiHidden/>
    <w:qFormat/>
    <w:rsid w:val="00B34BDA"/>
    <w:pPr>
      <w:spacing w:after="240"/>
    </w:pPr>
    <w:rPr>
      <w:b/>
      <w:sz w:val="28"/>
    </w:rPr>
  </w:style>
  <w:style w:type="paragraph" w:customStyle="1" w:styleId="ABSymbol">
    <w:name w:val="AB_Symbol"/>
    <w:basedOn w:val="Normal"/>
    <w:qFormat/>
    <w:rsid w:val="00B34BD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34BDA"/>
    <w:pPr>
      <w:numPr>
        <w:numId w:val="16"/>
      </w:numPr>
      <w:tabs>
        <w:tab w:val="left" w:pos="3969"/>
      </w:tabs>
      <w:spacing w:before="120" w:after="120"/>
    </w:pPr>
  </w:style>
  <w:style w:type="paragraph" w:customStyle="1" w:styleId="AFCorNNormal">
    <w:name w:val="AF_CorNNormal"/>
    <w:basedOn w:val="Normal"/>
    <w:unhideWhenUsed/>
    <w:rsid w:val="00B34BDA"/>
    <w:pPr>
      <w:jc w:val="left"/>
    </w:pPr>
  </w:style>
  <w:style w:type="paragraph" w:customStyle="1" w:styleId="AEDistrNormal">
    <w:name w:val="AE_DistrNormal"/>
    <w:basedOn w:val="Normal"/>
    <w:unhideWhenUsed/>
    <w:rsid w:val="00B34BDA"/>
    <w:pPr>
      <w:jc w:val="left"/>
    </w:pPr>
  </w:style>
  <w:style w:type="paragraph" w:customStyle="1" w:styleId="AASmallLogo">
    <w:name w:val="AA_SmallLogo"/>
    <w:basedOn w:val="AEDistrNormal"/>
    <w:unhideWhenUsed/>
    <w:rsid w:val="00B34BDA"/>
    <w:pPr>
      <w:spacing w:before="40"/>
    </w:pPr>
    <w:rPr>
      <w:sz w:val="4"/>
    </w:rPr>
  </w:style>
  <w:style w:type="paragraph" w:customStyle="1" w:styleId="ACLargeLogo">
    <w:name w:val="AC_LargeLogo"/>
    <w:basedOn w:val="AFCorNNormal"/>
    <w:next w:val="AISpacer"/>
    <w:unhideWhenUsed/>
    <w:rsid w:val="00B34BD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34BDA"/>
    <w:rPr>
      <w:b/>
      <w:bCs/>
    </w:rPr>
  </w:style>
  <w:style w:type="character" w:customStyle="1" w:styleId="CommentSubjectChar">
    <w:name w:val="Comment Subject Char"/>
    <w:basedOn w:val="CommentTextChar"/>
    <w:link w:val="CommentSubject"/>
    <w:uiPriority w:val="99"/>
    <w:semiHidden/>
    <w:rsid w:val="00B34BDA"/>
    <w:rPr>
      <w:rFonts w:ascii="Times New Roman" w:eastAsia="SimSun" w:hAnsi="Times New Roman" w:cs="Times New Roman"/>
      <w:b/>
      <w:bCs/>
      <w:sz w:val="20"/>
      <w:szCs w:val="20"/>
      <w:lang w:val="ru-RU"/>
    </w:rPr>
  </w:style>
  <w:style w:type="paragraph" w:customStyle="1" w:styleId="Item">
    <w:name w:val="Item"/>
    <w:basedOn w:val="Normal"/>
    <w:semiHidden/>
    <w:qFormat/>
    <w:rsid w:val="00B34BD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B34BD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B34BDA"/>
    <w:pPr>
      <w:contextualSpacing/>
    </w:pPr>
  </w:style>
  <w:style w:type="numbering" w:customStyle="1" w:styleId="ListCBD">
    <w:name w:val="ListCBD"/>
    <w:basedOn w:val="NoList"/>
    <w:uiPriority w:val="99"/>
    <w:rsid w:val="00B34BDA"/>
    <w:pPr>
      <w:numPr>
        <w:numId w:val="5"/>
      </w:numPr>
    </w:pPr>
  </w:style>
  <w:style w:type="numbering" w:customStyle="1" w:styleId="CBDHeadings">
    <w:name w:val="CBD_Headings"/>
    <w:basedOn w:val="ListCBD"/>
    <w:uiPriority w:val="99"/>
    <w:rsid w:val="00B34BDA"/>
    <w:pPr>
      <w:numPr>
        <w:numId w:val="6"/>
      </w:numPr>
    </w:pPr>
  </w:style>
  <w:style w:type="paragraph" w:customStyle="1" w:styleId="AISpacer">
    <w:name w:val="AI_Spacer"/>
    <w:next w:val="Normal"/>
    <w:unhideWhenUsed/>
    <w:qFormat/>
    <w:rsid w:val="00B34BDA"/>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B34BDA"/>
    <w:pPr>
      <w:spacing w:before="120"/>
    </w:pPr>
  </w:style>
  <w:style w:type="paragraph" w:customStyle="1" w:styleId="AFCorNBold">
    <w:name w:val="AF_CorNBold"/>
    <w:basedOn w:val="AFCorNNormal"/>
    <w:next w:val="AFCorNNormal"/>
    <w:unhideWhenUsed/>
    <w:qFormat/>
    <w:rsid w:val="00B34BDA"/>
    <w:rPr>
      <w:b/>
    </w:rPr>
  </w:style>
  <w:style w:type="paragraph" w:customStyle="1" w:styleId="AFCorN12Bold">
    <w:name w:val="AF_CorN12Bold"/>
    <w:basedOn w:val="AFCorNNormal"/>
    <w:next w:val="AFCorNNormal"/>
    <w:unhideWhenUsed/>
    <w:qFormat/>
    <w:rsid w:val="00B34BDA"/>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B34BDA"/>
    <w:pPr>
      <w:spacing w:after="120"/>
      <w:ind w:left="1134" w:firstLine="567"/>
    </w:pPr>
  </w:style>
  <w:style w:type="paragraph" w:customStyle="1" w:styleId="CBDDesicionAnnex">
    <w:name w:val="CBD_DesicionAnnex"/>
    <w:basedOn w:val="CBDNormal"/>
    <w:next w:val="CBDDesicionText"/>
    <w:qFormat/>
    <w:rsid w:val="00B34BD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34BDA"/>
    <w:pPr>
      <w:keepNext/>
      <w:keepLines/>
      <w:spacing w:after="240"/>
      <w:jc w:val="left"/>
    </w:pPr>
    <w:rPr>
      <w:b/>
      <w:sz w:val="28"/>
      <w:lang w:bidi="ar-SY"/>
    </w:rPr>
  </w:style>
  <w:style w:type="paragraph" w:customStyle="1" w:styleId="CBDSubTitle">
    <w:name w:val="CBD_SubTitle"/>
    <w:basedOn w:val="CBDNormal"/>
    <w:qFormat/>
    <w:rsid w:val="00B34BDA"/>
    <w:pPr>
      <w:keepNext/>
      <w:keepLines/>
      <w:spacing w:before="240" w:after="240"/>
      <w:ind w:left="567"/>
      <w:jc w:val="left"/>
    </w:pPr>
    <w:rPr>
      <w:b/>
    </w:rPr>
  </w:style>
  <w:style w:type="paragraph" w:customStyle="1" w:styleId="CBDTitle">
    <w:name w:val="CBD_Title"/>
    <w:basedOn w:val="CBDNormal"/>
    <w:next w:val="CBDSubTitle"/>
    <w:qFormat/>
    <w:rsid w:val="00B34BDA"/>
    <w:pPr>
      <w:keepNext/>
      <w:keepLines/>
      <w:spacing w:before="240" w:after="240"/>
      <w:ind w:left="567"/>
      <w:jc w:val="left"/>
    </w:pPr>
    <w:rPr>
      <w:b/>
      <w:sz w:val="28"/>
    </w:rPr>
  </w:style>
  <w:style w:type="paragraph" w:customStyle="1" w:styleId="AENormal">
    <w:name w:val="AE_Normal"/>
    <w:basedOn w:val="Normal"/>
    <w:rsid w:val="00B34BDA"/>
  </w:style>
  <w:style w:type="paragraph" w:customStyle="1" w:styleId="CBDH1">
    <w:name w:val="CBD_H1"/>
    <w:basedOn w:val="CBDNormal"/>
    <w:qFormat/>
    <w:rsid w:val="00B34BDA"/>
    <w:pPr>
      <w:keepNext/>
      <w:keepLines/>
      <w:spacing w:before="240" w:after="120"/>
      <w:ind w:left="567" w:hanging="567"/>
      <w:jc w:val="left"/>
      <w:outlineLvl w:val="0"/>
    </w:pPr>
    <w:rPr>
      <w:b/>
      <w:sz w:val="28"/>
    </w:rPr>
  </w:style>
  <w:style w:type="paragraph" w:customStyle="1" w:styleId="CBDH2">
    <w:name w:val="CBD_H2"/>
    <w:basedOn w:val="CBDNormal"/>
    <w:qFormat/>
    <w:rsid w:val="00B34BDA"/>
    <w:pPr>
      <w:keepNext/>
      <w:keepLines/>
      <w:ind w:left="567" w:hanging="567"/>
    </w:pPr>
    <w:rPr>
      <w:b/>
      <w:sz w:val="24"/>
    </w:rPr>
  </w:style>
  <w:style w:type="paragraph" w:customStyle="1" w:styleId="CBDFootnoteText">
    <w:name w:val="CBD_Footnote_Text"/>
    <w:basedOn w:val="CBDNormal"/>
    <w:qFormat/>
    <w:rsid w:val="00B34BDA"/>
    <w:pPr>
      <w:jc w:val="left"/>
    </w:pPr>
    <w:rPr>
      <w:sz w:val="18"/>
    </w:rPr>
  </w:style>
  <w:style w:type="paragraph" w:customStyle="1" w:styleId="CBDFooter">
    <w:name w:val="CBD_Footer"/>
    <w:basedOn w:val="CBDNormal"/>
    <w:qFormat/>
    <w:rsid w:val="00B34BDA"/>
    <w:rPr>
      <w:sz w:val="20"/>
    </w:rPr>
  </w:style>
  <w:style w:type="paragraph" w:customStyle="1" w:styleId="CBDHeader">
    <w:name w:val="CBD_Header"/>
    <w:basedOn w:val="CBDNormal"/>
    <w:next w:val="CBDFooter"/>
    <w:qFormat/>
    <w:rsid w:val="00B34BD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34BDA"/>
    <w:pPr>
      <w:keepNext/>
      <w:keepLines/>
      <w:spacing w:before="120" w:after="120"/>
      <w:ind w:left="567" w:hanging="567"/>
      <w:jc w:val="left"/>
    </w:pPr>
    <w:rPr>
      <w:b/>
    </w:rPr>
  </w:style>
  <w:style w:type="paragraph" w:customStyle="1" w:styleId="CBDH4">
    <w:name w:val="CBD_H4"/>
    <w:basedOn w:val="CBDNormal"/>
    <w:rsid w:val="00B34BDA"/>
    <w:pPr>
      <w:keepNext/>
      <w:keepLines/>
      <w:spacing w:before="120" w:after="120"/>
      <w:ind w:left="567" w:hanging="567"/>
      <w:jc w:val="left"/>
    </w:pPr>
    <w:rPr>
      <w:b/>
    </w:rPr>
  </w:style>
  <w:style w:type="paragraph" w:customStyle="1" w:styleId="CBDH5">
    <w:name w:val="CBD_H5"/>
    <w:basedOn w:val="CBDNormal"/>
    <w:qFormat/>
    <w:rsid w:val="00B34BDA"/>
    <w:pPr>
      <w:keepNext/>
      <w:keepLines/>
      <w:spacing w:before="120" w:after="120"/>
      <w:ind w:left="567" w:hanging="567"/>
      <w:jc w:val="left"/>
    </w:pPr>
    <w:rPr>
      <w:i/>
    </w:rPr>
  </w:style>
  <w:style w:type="paragraph" w:customStyle="1" w:styleId="CBDTableNormal">
    <w:name w:val="CBD_TableNormal"/>
    <w:basedOn w:val="CBDNormal"/>
    <w:qFormat/>
    <w:rsid w:val="00B34BDA"/>
    <w:pPr>
      <w:spacing w:before="40" w:after="80"/>
      <w:jc w:val="left"/>
    </w:pPr>
    <w:rPr>
      <w:sz w:val="20"/>
    </w:rPr>
  </w:style>
  <w:style w:type="paragraph" w:customStyle="1" w:styleId="CBDTableTitle">
    <w:name w:val="CBD_TableTitle"/>
    <w:basedOn w:val="CBDNormal"/>
    <w:qFormat/>
    <w:rsid w:val="00B34BDA"/>
    <w:pPr>
      <w:keepNext/>
      <w:keepLines/>
      <w:spacing w:before="120" w:after="60"/>
      <w:ind w:left="567"/>
      <w:jc w:val="left"/>
    </w:pPr>
    <w:rPr>
      <w:b/>
    </w:rPr>
  </w:style>
  <w:style w:type="paragraph" w:customStyle="1" w:styleId="CBDFigureTitle">
    <w:name w:val="CBD_FigureTitle"/>
    <w:basedOn w:val="CBDNormal"/>
    <w:next w:val="CBDNormalNoNumber"/>
    <w:qFormat/>
    <w:rsid w:val="00B34BD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DefaultParagraphFont"/>
    <w:uiPriority w:val="99"/>
    <w:semiHidden/>
    <w:unhideWhenUsed/>
    <w:rsid w:val="00A111D1"/>
    <w:rPr>
      <w:u w:val="dotted"/>
      <w:lang w:val="ru-RU"/>
    </w:rPr>
  </w:style>
  <w:style w:type="character"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B34BDA"/>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AgendaItem-1">
    <w:name w:val="CBD_AgendaItem-1"/>
    <w:basedOn w:val="Normal"/>
    <w:qFormat/>
    <w:rsid w:val="00B34BD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34BDA"/>
    <w:pPr>
      <w:ind w:left="567" w:hanging="567"/>
    </w:pPr>
    <w:rPr>
      <w:sz w:val="22"/>
    </w:rPr>
  </w:style>
  <w:style w:type="paragraph" w:customStyle="1" w:styleId="CBDAgendaItem-3">
    <w:name w:val="CBD_AgendaItem-3"/>
    <w:basedOn w:val="CBDAgendaItem-1"/>
    <w:qFormat/>
    <w:rsid w:val="00B34BDA"/>
    <w:pPr>
      <w:ind w:left="567" w:hanging="567"/>
    </w:pPr>
    <w:rPr>
      <w:sz w:val="20"/>
    </w:rPr>
  </w:style>
  <w:style w:type="paragraph" w:customStyle="1" w:styleId="CBDpara-item">
    <w:name w:val="CBD_para-item"/>
    <w:basedOn w:val="Normal"/>
    <w:qFormat/>
    <w:rsid w:val="00B34BDA"/>
    <w:pPr>
      <w:tabs>
        <w:tab w:val="clear" w:pos="567"/>
      </w:tabs>
      <w:spacing w:before="120" w:after="120"/>
      <w:ind w:left="1134" w:hanging="567"/>
      <w:jc w:val="left"/>
    </w:pPr>
  </w:style>
  <w:style w:type="paragraph" w:customStyle="1" w:styleId="CBDprov-agendaItem">
    <w:name w:val="CBD_prov-agenda_Item"/>
    <w:basedOn w:val="CBDNormalNumber"/>
    <w:qFormat/>
    <w:rsid w:val="00B34BDA"/>
  </w:style>
  <w:style w:type="paragraph" w:customStyle="1" w:styleId="CBDRecommendText">
    <w:name w:val="CBD_RecommendText"/>
    <w:basedOn w:val="Normal"/>
    <w:qFormat/>
    <w:rsid w:val="00B34BDA"/>
    <w:pPr>
      <w:spacing w:after="120"/>
      <w:ind w:left="567"/>
    </w:pPr>
  </w:style>
  <w:style w:type="paragraph" w:customStyle="1" w:styleId="CBDsubpara-item">
    <w:name w:val="CBD_subpara-item"/>
    <w:basedOn w:val="CBDpara-item"/>
    <w:qFormat/>
    <w:rsid w:val="00B34BDA"/>
    <w:pPr>
      <w:tabs>
        <w:tab w:val="clear" w:pos="1134"/>
      </w:tabs>
      <w:ind w:left="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regionswithnature.org/actions/" TargetMode="External"/><Relationship Id="rId26" Type="http://schemas.openxmlformats.org/officeDocument/2006/relationships/hyperlink" Target="https://www.ramsar.org/our-work/activities/wetland-city-accreditation" TargetMode="External"/><Relationship Id="rId39" Type="http://schemas.openxmlformats.org/officeDocument/2006/relationships/hyperlink" Target="https://www.iucnurbannatureindexes.org/en" TargetMode="External"/><Relationship Id="rId21" Type="http://schemas.openxmlformats.org/officeDocument/2006/relationships/hyperlink" Target="https://www.californianature.ca.gov/" TargetMode="External"/><Relationship Id="rId34" Type="http://schemas.openxmlformats.org/officeDocument/2006/relationships/hyperlink" Target="https://regions4.org/csd/magepan/" TargetMode="External"/><Relationship Id="rId42" Type="http://schemas.openxmlformats.org/officeDocument/2006/relationships/hyperlink" Target="https://www.gov.scot/publications/environment-strategy-scotland/pages/4/"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5/cop-15-dec-12-ru.pdf" TargetMode="External"/><Relationship Id="rId29" Type="http://schemas.openxmlformats.org/officeDocument/2006/relationships/hyperlink" Target="https://regions4.org/actions/restoring-mangrove-forests-saint-louis-solution-to-coastal-vulnerability-and-resilience/" TargetMode="External"/><Relationship Id="rId11" Type="http://schemas.openxmlformats.org/officeDocument/2006/relationships/endnotes" Target="endnotes.xml"/><Relationship Id="rId24" Type="http://schemas.openxmlformats.org/officeDocument/2006/relationships/hyperlink" Target="https://cbc.iclei.org/project/una-resilience/" TargetMode="External"/><Relationship Id="rId32" Type="http://schemas.openxmlformats.org/officeDocument/2006/relationships/hyperlink" Target="https://www.decadeonrestoration.org/generation-restoration-cities" TargetMode="External"/><Relationship Id="rId37" Type="http://schemas.openxmlformats.org/officeDocument/2006/relationships/hyperlink" Target="https://citieswithnature.org/tools-and-resources/257" TargetMode="External"/><Relationship Id="rId40" Type="http://schemas.openxmlformats.org/officeDocument/2006/relationships/hyperlink" Target="https://www.nbsroadmap.org/roadmap" TargetMode="External"/><Relationship Id="rId45" Type="http://schemas.openxmlformats.org/officeDocument/2006/relationships/hyperlink" Target="https://citieswithnature.org/actions/"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regionswithnature.org/actions/" TargetMode="External"/><Relationship Id="rId31" Type="http://schemas.openxmlformats.org/officeDocument/2006/relationships/hyperlink" Target="https://www.sedest.pr.gov.br/Pagina/Creditos-de-Biodiversidade" TargetMode="External"/><Relationship Id="rId44" Type="http://schemas.openxmlformats.org/officeDocument/2006/relationships/hyperlink" Target="https://regions4.org/csd/community-biodiversity-monitoring-yucatan/"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environnement.gouv.qc.ca/biodiversite/aires_protegees/consultation/appel-projet-territoire-public-meridional-en.htm" TargetMode="External"/><Relationship Id="rId27" Type="http://schemas.openxmlformats.org/officeDocument/2006/relationships/hyperlink" Target="https://wetlandcity.org/" TargetMode="External"/><Relationship Id="rId30" Type="http://schemas.openxmlformats.org/officeDocument/2006/relationships/hyperlink" Target="https://naturachevale.it/wp-content/uploads/2023/10/ese_brochure_BioClima_IT-1.pdf" TargetMode="External"/><Relationship Id="rId35" Type="http://schemas.openxmlformats.org/officeDocument/2006/relationships/hyperlink" Target="https://cbc.iclei.org/project/journeys-for-life/" TargetMode="External"/><Relationship Id="rId43" Type="http://schemas.openxmlformats.org/officeDocument/2006/relationships/hyperlink" Target="https://www.medclimate.org/news-resources/blog-post-title-three-mtl7j" TargetMode="External"/><Relationship Id="rId48"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citieswithnature.org/actions/" TargetMode="External"/><Relationship Id="rId25" Type="http://schemas.openxmlformats.org/officeDocument/2006/relationships/hyperlink" Target="https://cbc.iclei.org/project/urban-natural-assets-for-africa-embedding-and-sharing-for-scaled-impact/" TargetMode="External"/><Relationship Id="rId33" Type="http://schemas.openxmlformats.org/officeDocument/2006/relationships/hyperlink" Target="https://iddpnql.ca/en/financement/indigenous-leadership-fund-for-biodiversity-conservation/" TargetMode="External"/><Relationship Id="rId38" Type="http://schemas.openxmlformats.org/officeDocument/2006/relationships/hyperlink" Target="https://citieswithnature.org/cbi-introduction/" TargetMode="External"/><Relationship Id="rId46" Type="http://schemas.openxmlformats.org/officeDocument/2006/relationships/hyperlink" Target="https://regionswithnature.org/actions/" TargetMode="External"/><Relationship Id="rId20" Type="http://schemas.openxmlformats.org/officeDocument/2006/relationships/hyperlink" Target="https://citieswithnature.org/actions/" TargetMode="External"/><Relationship Id="rId41" Type="http://schemas.openxmlformats.org/officeDocument/2006/relationships/hyperlink" Target="https://citieswithnature.org/berlin-urban-nature-pact/"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5/cop-15-dec-12-ru.pdf" TargetMode="External"/><Relationship Id="rId23" Type="http://schemas.openxmlformats.org/officeDocument/2006/relationships/hyperlink" Target="https://cdn-contenu.quebec.ca/cdn-contenu/environnement/biodiversite/plan-nature-2030-plan-action-en.pdf" TargetMode="External"/><Relationship Id="rId28" Type="http://schemas.openxmlformats.org/officeDocument/2006/relationships/hyperlink" Target="https://prouc.ambiente.rj.gov.br/" TargetMode="External"/><Relationship Id="rId36" Type="http://schemas.openxmlformats.org/officeDocument/2006/relationships/hyperlink" Target="https://regions4.org/actions/restoring-mangrove-forests-saint-louis-solution-to-coastal-vulnerability-and-resilience/" TargetMode="External"/><Relationship Id="rId4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615a/3195/94deaa055b783ab035f074a6/sbi-04-04-add2-rev1-ru.pdf" TargetMode="External"/><Relationship Id="rId3" Type="http://schemas.openxmlformats.org/officeDocument/2006/relationships/hyperlink" Target="https://regions4.org/" TargetMode="External"/><Relationship Id="rId7" Type="http://schemas.openxmlformats.org/officeDocument/2006/relationships/hyperlink" Target="https://www.cbd.int/doc/decisions/cop-15/cop-15-dec-12-ru.pdf" TargetMode="External"/><Relationship Id="rId2" Type="http://schemas.openxmlformats.org/officeDocument/2006/relationships/hyperlink" Target="https://iclei.org/" TargetMode="External"/><Relationship Id="rId1" Type="http://schemas.openxmlformats.org/officeDocument/2006/relationships/hyperlink" Target="https://www.cbd.int/doc/c/8a14/684c/029cf7bc96eb6405bf8252df/sbi-07-01-ru.pdf" TargetMode="External"/><Relationship Id="rId6" Type="http://schemas.openxmlformats.org/officeDocument/2006/relationships/hyperlink" Target="https://www.cbd.int/doc/decisions/cop-15/cop-15-dec-04-ru.pdf" TargetMode="External"/><Relationship Id="rId5" Type="http://schemas.openxmlformats.org/officeDocument/2006/relationships/hyperlink" Target="https://regionswithnature.org/" TargetMode="External"/><Relationship Id="rId4" Type="http://schemas.openxmlformats.org/officeDocument/2006/relationships/hyperlink" Target="https://citieswithnature.org/" TargetMode="External"/><Relationship Id="rId9" Type="http://schemas.openxmlformats.org/officeDocument/2006/relationships/hyperlink" Target="https://www.cbd.int/doc/decisions/cop-16/cop-16-dec-3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BEIROPA\Downloads\sbi-07-template-en(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15887786354C86B04DDAB1B6E72E20"/>
        <w:category>
          <w:name w:val="General"/>
          <w:gallery w:val="placeholder"/>
        </w:category>
        <w:types>
          <w:type w:val="bbPlcHdr"/>
        </w:types>
        <w:behaviors>
          <w:behavior w:val="content"/>
        </w:behaviors>
        <w:guid w:val="{19D01D3C-CC91-40CA-8A04-153F0EE5441F}"/>
      </w:docPartPr>
      <w:docPartBody>
        <w:p w:rsidR="00742A87" w:rsidRDefault="000F23A2">
          <w:pPr>
            <w:pStyle w:val="9415887786354C86B04DDAB1B6E72E2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A15"/>
    <w:rsid w:val="000071A4"/>
    <w:rsid w:val="000336FE"/>
    <w:rsid w:val="000B722A"/>
    <w:rsid w:val="000C2920"/>
    <w:rsid w:val="000F23A2"/>
    <w:rsid w:val="00130779"/>
    <w:rsid w:val="00167A15"/>
    <w:rsid w:val="00196080"/>
    <w:rsid w:val="001B5097"/>
    <w:rsid w:val="001C5E42"/>
    <w:rsid w:val="001E0E2A"/>
    <w:rsid w:val="00273B1B"/>
    <w:rsid w:val="002E12BA"/>
    <w:rsid w:val="003039C0"/>
    <w:rsid w:val="0031377B"/>
    <w:rsid w:val="00350838"/>
    <w:rsid w:val="00446929"/>
    <w:rsid w:val="00486C3E"/>
    <w:rsid w:val="004A4DFB"/>
    <w:rsid w:val="004E7184"/>
    <w:rsid w:val="004F37A6"/>
    <w:rsid w:val="00512C73"/>
    <w:rsid w:val="00563BB1"/>
    <w:rsid w:val="00572239"/>
    <w:rsid w:val="005D6B4B"/>
    <w:rsid w:val="00614E1A"/>
    <w:rsid w:val="006B630C"/>
    <w:rsid w:val="00720990"/>
    <w:rsid w:val="00736E2C"/>
    <w:rsid w:val="00742A87"/>
    <w:rsid w:val="00857CFC"/>
    <w:rsid w:val="008B0876"/>
    <w:rsid w:val="008F606B"/>
    <w:rsid w:val="00965C7A"/>
    <w:rsid w:val="0096720F"/>
    <w:rsid w:val="00972EF6"/>
    <w:rsid w:val="00982627"/>
    <w:rsid w:val="009C1F2B"/>
    <w:rsid w:val="009C3B4E"/>
    <w:rsid w:val="009E73E3"/>
    <w:rsid w:val="00A63EDA"/>
    <w:rsid w:val="00AD2AE6"/>
    <w:rsid w:val="00AE7825"/>
    <w:rsid w:val="00CA5A15"/>
    <w:rsid w:val="00DB0121"/>
    <w:rsid w:val="00E455B0"/>
    <w:rsid w:val="00E60F8B"/>
    <w:rsid w:val="00F0224A"/>
    <w:rsid w:val="00FF54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415887786354C86B04DDAB1B6E72E20">
    <w:name w:val="9415887786354C86B04DDAB1B6E72E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7DCF2946-3D3F-4369-AD38-C31FBB0C2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sbi-07-template-en(1).dotm</Template>
  <TotalTime>326</TotalTime>
  <Pages>17</Pages>
  <Words>8607</Words>
  <Characters>49062</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Review of the role of subnational and local governments in the implementation of the Kunming-Montreal Global Biodiversity Framework</vt:lpstr>
    </vt:vector>
  </TitlesOfParts>
  <Company>SCBD</Company>
  <LinksUpToDate>false</LinksUpToDate>
  <CharactersWithSpaces>57554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Анализ роли субнациональных и местных органов власти в осуществлении Куньминско-Монреальской глобальной рамочной программы в области биоразнообразия</dc:title>
  <dc:subject>CBD/SBI/7/9</dc:subject>
  <dc:creator>Secretariat of the Convention on Biological Diversity</dc:creator>
  <cp:keywords>Convention on Biological Diversity</cp:keywords>
  <cp:lastModifiedBy>Olga K</cp:lastModifiedBy>
  <cp:revision>14</cp:revision>
  <cp:lastPrinted>2020-01-21T16:56:00Z</cp:lastPrinted>
  <dcterms:created xsi:type="dcterms:W3CDTF">2026-06-26T19:25:00Z</dcterms:created>
  <dcterms:modified xsi:type="dcterms:W3CDTF">2026-07-06T00:40:00Z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