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C634B" w:rsidRPr="00ED4D0E" w14:paraId="7FF7EEB8" w14:textId="77777777" w:rsidTr="005E1BF0">
        <w:trPr>
          <w:cantSplit/>
          <w:trHeight w:val="900"/>
        </w:trPr>
        <w:tc>
          <w:tcPr>
            <w:tcW w:w="6588" w:type="dxa"/>
            <w:gridSpan w:val="2"/>
            <w:tcBorders>
              <w:top w:val="nil"/>
              <w:left w:val="nil"/>
              <w:bottom w:val="single" w:sz="12" w:space="0" w:color="auto"/>
              <w:right w:val="nil"/>
            </w:tcBorders>
          </w:tcPr>
          <w:p w14:paraId="045362F4" w14:textId="77777777" w:rsidR="002C634B" w:rsidRPr="00ED4D0E" w:rsidRDefault="002C634B" w:rsidP="008002E6">
            <w:pPr>
              <w:keepNext/>
              <w:tabs>
                <w:tab w:val="clear" w:pos="567"/>
                <w:tab w:val="clear" w:pos="1134"/>
                <w:tab w:val="clear" w:pos="1701"/>
                <w:tab w:val="clear" w:pos="2268"/>
              </w:tabs>
              <w:spacing w:before="240" w:line="216" w:lineRule="auto"/>
              <w:jc w:val="left"/>
              <w:outlineLvl w:val="1"/>
              <w:rPr>
                <w:rFonts w:eastAsia="Times New Roman" w:cs="Times New Roman"/>
                <w:b/>
                <w:kern w:val="2"/>
                <w:sz w:val="32"/>
                <w:szCs w:val="32"/>
                <w:lang w:val="en-US" w:bidi="ar-EG"/>
              </w:rPr>
            </w:pPr>
            <w:r w:rsidRPr="00ED4D0E">
              <w:rPr>
                <w:rFonts w:eastAsia="Times New Roman" w:cs="Times New Roman"/>
                <w:b/>
                <w:bCs/>
                <w:kern w:val="2"/>
                <w:sz w:val="40"/>
                <w:szCs w:val="40"/>
                <w:lang w:val="fr-CA" w:bidi="ar-EG"/>
              </w:rPr>
              <w:t>CBD</w:t>
            </w:r>
            <w:r w:rsidRPr="00ED4D0E">
              <w:rPr>
                <w:rFonts w:eastAsia="Times New Roman" w:cs="Times New Roman"/>
                <w:kern w:val="2"/>
                <w:szCs w:val="22"/>
                <w:lang w:val="fr-CA" w:bidi="ar-EG"/>
              </w:rPr>
              <w:t>/</w:t>
            </w:r>
            <w:r w:rsidRPr="00ED4D0E">
              <w:rPr>
                <w:rFonts w:cs="Times New Roman"/>
                <w:szCs w:val="22"/>
              </w:rPr>
              <w:t>CP/MOP/12/L.1</w:t>
            </w:r>
          </w:p>
        </w:tc>
        <w:tc>
          <w:tcPr>
            <w:tcW w:w="1440" w:type="dxa"/>
            <w:tcBorders>
              <w:top w:val="nil"/>
              <w:left w:val="nil"/>
              <w:bottom w:val="single" w:sz="12" w:space="0" w:color="auto"/>
              <w:right w:val="nil"/>
            </w:tcBorders>
          </w:tcPr>
          <w:p w14:paraId="0E07D6ED" w14:textId="77777777" w:rsidR="002C634B" w:rsidRPr="00ED4D0E" w:rsidRDefault="002C634B" w:rsidP="008002E6">
            <w:pPr>
              <w:tabs>
                <w:tab w:val="clear" w:pos="567"/>
                <w:tab w:val="clear" w:pos="1134"/>
                <w:tab w:val="clear" w:pos="1701"/>
                <w:tab w:val="clear" w:pos="2268"/>
                <w:tab w:val="left" w:pos="-720"/>
                <w:tab w:val="left" w:pos="0"/>
              </w:tabs>
              <w:suppressAutoHyphens/>
              <w:jc w:val="right"/>
              <w:rPr>
                <w:rFonts w:eastAsia="Times New Roman" w:cs="Times New Roman"/>
                <w:b/>
                <w:bCs/>
                <w:sz w:val="24"/>
                <w:rtl/>
                <w:lang w:val="en-US" w:eastAsia="en-CA"/>
              </w:rPr>
            </w:pPr>
            <w:r w:rsidRPr="00ED4D0E">
              <w:rPr>
                <w:rFonts w:ascii="Simplified Arabic" w:eastAsia="Times New Roman" w:hAnsi="Simplified Arabic"/>
                <w:b/>
                <w:bCs/>
                <w:noProof/>
                <w:sz w:val="24"/>
                <w:rtl/>
                <w:lang w:val="en-US"/>
              </w:rPr>
              <w:drawing>
                <wp:anchor distT="0" distB="0" distL="114300" distR="114300" simplePos="0" relativeHeight="251658241" behindDoc="0" locked="0" layoutInCell="1" allowOverlap="1" wp14:anchorId="7EA8C174" wp14:editId="2B12896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DCD02FC" w14:textId="77777777" w:rsidR="002C634B" w:rsidRPr="00ED4D0E" w:rsidRDefault="002C634B" w:rsidP="008002E6">
            <w:pPr>
              <w:tabs>
                <w:tab w:val="clear" w:pos="567"/>
                <w:tab w:val="clear" w:pos="1134"/>
                <w:tab w:val="clear" w:pos="1701"/>
                <w:tab w:val="clear" w:pos="2268"/>
                <w:tab w:val="left" w:pos="-720"/>
              </w:tabs>
              <w:suppressAutoHyphens/>
              <w:spacing w:before="120"/>
              <w:jc w:val="center"/>
              <w:rPr>
                <w:rFonts w:eastAsia="Times New Roman" w:cs="Times New Roman"/>
                <w:sz w:val="24"/>
                <w:lang w:val="en-US" w:eastAsia="en-CA"/>
              </w:rPr>
            </w:pPr>
            <w:r w:rsidRPr="00ED4D0E">
              <w:rPr>
                <w:rFonts w:eastAsia="Times New Roman" w:cs="Times New Roman"/>
                <w:noProof/>
                <w:sz w:val="24"/>
                <w:lang w:val="en-US"/>
              </w:rPr>
              <w:drawing>
                <wp:anchor distT="0" distB="0" distL="114300" distR="114300" simplePos="0" relativeHeight="251658242" behindDoc="0" locked="0" layoutInCell="1" allowOverlap="1" wp14:anchorId="012D5364" wp14:editId="42E4CE3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CF862ED" w14:textId="77777777" w:rsidR="002C634B" w:rsidRPr="00ED4D0E" w:rsidRDefault="002C634B" w:rsidP="008002E6">
            <w:pPr>
              <w:tabs>
                <w:tab w:val="clear" w:pos="567"/>
                <w:tab w:val="clear" w:pos="1134"/>
                <w:tab w:val="clear" w:pos="1701"/>
                <w:tab w:val="clear" w:pos="2268"/>
                <w:tab w:val="left" w:pos="-720"/>
              </w:tabs>
              <w:suppressAutoHyphens/>
              <w:spacing w:line="120" w:lineRule="auto"/>
              <w:jc w:val="left"/>
              <w:rPr>
                <w:rFonts w:eastAsia="Times New Roman" w:cs="Times New Roman"/>
                <w:sz w:val="24"/>
                <w:lang w:val="en-US" w:eastAsia="en-CA"/>
              </w:rPr>
            </w:pPr>
          </w:p>
        </w:tc>
      </w:tr>
      <w:tr w:rsidR="002C634B" w:rsidRPr="00ED4D0E" w14:paraId="17D5C30E" w14:textId="77777777" w:rsidTr="005E1BF0">
        <w:trPr>
          <w:cantSplit/>
          <w:trHeight w:val="1770"/>
        </w:trPr>
        <w:tc>
          <w:tcPr>
            <w:tcW w:w="4428" w:type="dxa"/>
            <w:tcBorders>
              <w:top w:val="single" w:sz="12" w:space="0" w:color="auto"/>
              <w:left w:val="nil"/>
              <w:bottom w:val="single" w:sz="12" w:space="0" w:color="auto"/>
              <w:right w:val="nil"/>
            </w:tcBorders>
          </w:tcPr>
          <w:p w14:paraId="658DF3C4" w14:textId="77777777" w:rsidR="002C634B" w:rsidRPr="00ED4D0E" w:rsidRDefault="002C634B" w:rsidP="008002E6">
            <w:pPr>
              <w:tabs>
                <w:tab w:val="clear" w:pos="567"/>
                <w:tab w:val="clear" w:pos="1134"/>
                <w:tab w:val="clear" w:pos="1701"/>
                <w:tab w:val="clear" w:pos="2268"/>
              </w:tabs>
              <w:spacing w:before="60"/>
              <w:ind w:firstLine="900"/>
              <w:jc w:val="left"/>
              <w:rPr>
                <w:rFonts w:eastAsia="Times New Roman" w:cs="Times New Roman"/>
                <w:szCs w:val="22"/>
                <w:lang w:val="en-CA" w:eastAsia="en-CA"/>
              </w:rPr>
            </w:pPr>
            <w:r w:rsidRPr="00ED4D0E">
              <w:rPr>
                <w:rFonts w:eastAsia="Times New Roman" w:cs="Times New Roman"/>
                <w:szCs w:val="22"/>
                <w:lang w:val="en-CA" w:eastAsia="en-CA"/>
              </w:rPr>
              <w:t>Distr.: Limited</w:t>
            </w:r>
          </w:p>
          <w:p w14:paraId="11CD87D6" w14:textId="7C2475F8" w:rsidR="002C634B" w:rsidRPr="00ED4D0E" w:rsidRDefault="00336201" w:rsidP="008002E6">
            <w:pPr>
              <w:tabs>
                <w:tab w:val="clear" w:pos="567"/>
                <w:tab w:val="clear" w:pos="1134"/>
                <w:tab w:val="clear" w:pos="1701"/>
                <w:tab w:val="clear" w:pos="2268"/>
              </w:tabs>
              <w:ind w:firstLine="900"/>
              <w:jc w:val="left"/>
              <w:rPr>
                <w:rFonts w:eastAsia="MS Mincho" w:cs="Times New Roman"/>
                <w:szCs w:val="22"/>
                <w:lang w:val="en-CA" w:eastAsia="ja-JP"/>
              </w:rPr>
            </w:pPr>
            <w:r w:rsidRPr="00ED4D0E">
              <w:rPr>
                <w:rFonts w:eastAsia="Times New Roman" w:cs="Times New Roman"/>
                <w:szCs w:val="22"/>
                <w:lang w:val="en-CA" w:eastAsia="en-CA"/>
              </w:rPr>
              <w:t>29</w:t>
            </w:r>
            <w:r w:rsidR="002C634B" w:rsidRPr="00ED4D0E">
              <w:rPr>
                <w:rFonts w:eastAsia="Times New Roman" w:cs="Times New Roman"/>
                <w:szCs w:val="22"/>
                <w:lang w:val="en-CA" w:eastAsia="en-CA"/>
              </w:rPr>
              <w:t xml:space="preserve"> October 2026</w:t>
            </w:r>
          </w:p>
          <w:p w14:paraId="14E0EA39" w14:textId="77777777" w:rsidR="002C634B" w:rsidRPr="00ED4D0E" w:rsidRDefault="002C634B" w:rsidP="008002E6">
            <w:pPr>
              <w:keepNext/>
              <w:tabs>
                <w:tab w:val="clear" w:pos="567"/>
                <w:tab w:val="clear" w:pos="1134"/>
                <w:tab w:val="clear" w:pos="1701"/>
                <w:tab w:val="clear" w:pos="2268"/>
                <w:tab w:val="left" w:pos="-720"/>
              </w:tabs>
              <w:suppressAutoHyphens/>
              <w:ind w:left="900"/>
              <w:jc w:val="left"/>
              <w:outlineLvl w:val="4"/>
              <w:rPr>
                <w:rFonts w:eastAsia="PMingLiU"/>
                <w:spacing w:val="-2"/>
                <w:lang w:val="en-US" w:bidi="ar-EG"/>
              </w:rPr>
            </w:pPr>
            <w:r w:rsidRPr="00ED4D0E">
              <w:rPr>
                <w:rFonts w:eastAsia="PMingLiU"/>
                <w:spacing w:val="-2"/>
                <w:lang w:val="en-US" w:bidi="ar-EG"/>
              </w:rPr>
              <w:t>Arabic</w:t>
            </w:r>
          </w:p>
          <w:p w14:paraId="13863924" w14:textId="77777777" w:rsidR="002C634B" w:rsidRPr="00ED4D0E" w:rsidRDefault="002C634B" w:rsidP="008002E6">
            <w:pPr>
              <w:tabs>
                <w:tab w:val="clear" w:pos="567"/>
                <w:tab w:val="clear" w:pos="1134"/>
                <w:tab w:val="clear" w:pos="1701"/>
                <w:tab w:val="clear" w:pos="2268"/>
                <w:tab w:val="left" w:pos="-720"/>
              </w:tabs>
              <w:suppressAutoHyphens/>
              <w:spacing w:after="40"/>
              <w:ind w:firstLine="900"/>
              <w:jc w:val="left"/>
              <w:rPr>
                <w:rFonts w:eastAsia="Times New Roman" w:cs="Times New Roman"/>
                <w:szCs w:val="22"/>
                <w:lang w:val="en-CA" w:eastAsia="en-CA"/>
              </w:rPr>
            </w:pPr>
            <w:r w:rsidRPr="00ED4D0E">
              <w:rPr>
                <w:rFonts w:eastAsia="Times New Roman"/>
                <w:lang w:val="en-CA" w:eastAsia="en-CA"/>
              </w:rPr>
              <w:t>Original: English</w:t>
            </w:r>
          </w:p>
        </w:tc>
        <w:tc>
          <w:tcPr>
            <w:tcW w:w="5220" w:type="dxa"/>
            <w:gridSpan w:val="3"/>
            <w:tcBorders>
              <w:top w:val="single" w:sz="12" w:space="0" w:color="auto"/>
              <w:left w:val="nil"/>
              <w:bottom w:val="single" w:sz="12" w:space="0" w:color="auto"/>
              <w:right w:val="nil"/>
            </w:tcBorders>
          </w:tcPr>
          <w:p w14:paraId="1F4AE8E8" w14:textId="77777777" w:rsidR="002C634B" w:rsidRPr="00ED4D0E" w:rsidRDefault="002C634B" w:rsidP="008002E6">
            <w:pPr>
              <w:tabs>
                <w:tab w:val="clear" w:pos="567"/>
                <w:tab w:val="clear" w:pos="1134"/>
                <w:tab w:val="clear" w:pos="1701"/>
                <w:tab w:val="clear" w:pos="2268"/>
                <w:tab w:val="left" w:pos="-720"/>
              </w:tabs>
              <w:suppressAutoHyphens/>
              <w:spacing w:before="120"/>
              <w:rPr>
                <w:rFonts w:eastAsia="Times New Roman" w:cs="Times New Roman"/>
                <w:sz w:val="24"/>
                <w:rtl/>
                <w:lang w:val="en-CA" w:eastAsia="en-CA"/>
              </w:rPr>
            </w:pPr>
            <w:r w:rsidRPr="00ED4D0E">
              <w:rPr>
                <w:rFonts w:eastAsia="Times New Roman" w:cs="Times New Roman"/>
                <w:b/>
                <w:bCs/>
                <w:noProof/>
                <w:sz w:val="36"/>
                <w:szCs w:val="36"/>
                <w:rtl/>
                <w:lang w:val="en-US"/>
              </w:rPr>
              <w:drawing>
                <wp:anchor distT="0" distB="0" distL="114300" distR="114300" simplePos="0" relativeHeight="251658240" behindDoc="0" locked="0" layoutInCell="1" allowOverlap="1" wp14:anchorId="5EC6DD61" wp14:editId="0E27C4A8">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2C634B" w:rsidRPr="00ED4D0E" w14:paraId="005C7C87" w14:textId="77777777" w:rsidTr="005E1BF0">
        <w:trPr>
          <w:trHeight w:val="1855"/>
        </w:trPr>
        <w:tc>
          <w:tcPr>
            <w:tcW w:w="6094" w:type="dxa"/>
            <w:tcBorders>
              <w:top w:val="nil"/>
              <w:left w:val="nil"/>
              <w:bottom w:val="nil"/>
              <w:right w:val="nil"/>
            </w:tcBorders>
            <w:tcMar>
              <w:top w:w="80" w:type="dxa"/>
              <w:left w:w="80" w:type="dxa"/>
              <w:bottom w:w="80" w:type="dxa"/>
              <w:right w:w="80" w:type="dxa"/>
            </w:tcMar>
          </w:tcPr>
          <w:p w14:paraId="2F4023D2" w14:textId="77777777" w:rsidR="002C634B" w:rsidRPr="00ED4D0E" w:rsidRDefault="002C634B" w:rsidP="008002E6">
            <w:pPr>
              <w:pStyle w:val="AFCorN12Bold"/>
              <w:bidi/>
              <w:ind w:left="-43"/>
            </w:pPr>
            <w:r w:rsidRPr="00ED4D0E">
              <w:rPr>
                <w:rtl/>
              </w:rPr>
              <w:t>مؤتمر الأطراف في الاتفاقية المتعلقة بالتنوع البيولوجي العامل كاجتماع للأطراف في بروتوكول قرطاجنة للسلامة الأحيائية</w:t>
            </w:r>
          </w:p>
          <w:p w14:paraId="4AAAF798" w14:textId="77777777" w:rsidR="002C634B" w:rsidRPr="00ED4D0E" w:rsidRDefault="002C634B" w:rsidP="008002E6">
            <w:pPr>
              <w:pStyle w:val="AFCorNBold"/>
              <w:bidi/>
              <w:ind w:left="-43"/>
            </w:pPr>
            <w:r w:rsidRPr="00ED4D0E">
              <w:rPr>
                <w:rtl/>
              </w:rPr>
              <w:t>الاجتماع الثاني عشر</w:t>
            </w:r>
          </w:p>
          <w:p w14:paraId="1BE966ED" w14:textId="77777777" w:rsidR="002C634B" w:rsidRPr="00ED4D0E" w:rsidRDefault="002C634B" w:rsidP="008002E6">
            <w:pPr>
              <w:pStyle w:val="AFCorNNormal"/>
              <w:bidi/>
              <w:ind w:left="-43"/>
            </w:pPr>
            <w:r w:rsidRPr="00ED4D0E">
              <w:rPr>
                <w:snapToGrid w:val="0"/>
                <w:kern w:val="22"/>
                <w:rtl/>
              </w:rPr>
              <w:t>ييريفان، 19-30 أكتوبر/تشرين الأول 2026</w:t>
            </w:r>
          </w:p>
          <w:p w14:paraId="641E4A5E" w14:textId="77777777" w:rsidR="002C634B" w:rsidRPr="00ED4D0E" w:rsidRDefault="002C634B" w:rsidP="008002E6">
            <w:pPr>
              <w:pStyle w:val="AFCorNNormal"/>
              <w:bidi/>
              <w:ind w:left="-43"/>
            </w:pPr>
            <w:r w:rsidRPr="00ED4D0E">
              <w:rPr>
                <w:rtl/>
              </w:rPr>
              <w:t>البند 19 من جدول الأعمال</w:t>
            </w:r>
          </w:p>
          <w:p w14:paraId="7917E1CB" w14:textId="77777777" w:rsidR="002C634B" w:rsidRPr="00ED4D0E" w:rsidRDefault="002C634B" w:rsidP="008002E6">
            <w:pPr>
              <w:pStyle w:val="AFCorNBold"/>
              <w:bidi/>
              <w:ind w:left="-43"/>
            </w:pPr>
            <w:r w:rsidRPr="00ED4D0E">
              <w:rPr>
                <w:rtl/>
              </w:rPr>
              <w:t>اعتماد التقرير</w:t>
            </w:r>
          </w:p>
        </w:tc>
        <w:tc>
          <w:tcPr>
            <w:tcW w:w="4004" w:type="dxa"/>
            <w:tcBorders>
              <w:top w:val="nil"/>
              <w:left w:val="nil"/>
              <w:bottom w:val="nil"/>
              <w:right w:val="nil"/>
            </w:tcBorders>
            <w:tcMar>
              <w:top w:w="80" w:type="dxa"/>
              <w:left w:w="80" w:type="dxa"/>
              <w:bottom w:w="80" w:type="dxa"/>
              <w:right w:w="80" w:type="dxa"/>
            </w:tcMar>
          </w:tcPr>
          <w:p w14:paraId="243E2D4C" w14:textId="77777777" w:rsidR="002C634B" w:rsidRPr="00ED4D0E" w:rsidRDefault="002C634B" w:rsidP="008002E6"/>
        </w:tc>
      </w:tr>
    </w:tbl>
    <w:p w14:paraId="62873911" w14:textId="5ED0F686" w:rsidR="000C6FBB" w:rsidRPr="00ED4D0E" w:rsidRDefault="00E33AD6" w:rsidP="008002E6">
      <w:pPr>
        <w:keepNext/>
        <w:keepLines/>
        <w:tabs>
          <w:tab w:val="clear" w:pos="567"/>
          <w:tab w:val="clear" w:pos="1134"/>
          <w:tab w:val="clear" w:pos="1701"/>
          <w:tab w:val="clear" w:pos="2268"/>
          <w:tab w:val="right" w:pos="540"/>
        </w:tabs>
        <w:bidi/>
        <w:spacing w:before="240" w:after="120" w:line="276" w:lineRule="auto"/>
        <w:ind w:left="630"/>
        <w:jc w:val="left"/>
        <w:rPr>
          <w:b/>
          <w:bCs/>
          <w:sz w:val="28"/>
          <w:szCs w:val="28"/>
        </w:rPr>
      </w:pPr>
      <w:r w:rsidRPr="00ED4D0E">
        <w:rPr>
          <w:rFonts w:eastAsia="Times New Roman" w:hint="cs"/>
          <w:b/>
          <w:bCs/>
          <w:sz w:val="28"/>
          <w:szCs w:val="28"/>
          <w:rtl/>
          <w:lang w:val="en-CA" w:eastAsia="en-CA"/>
        </w:rPr>
        <w:t>مشر</w:t>
      </w:r>
      <w:r w:rsidR="00AA7D29" w:rsidRPr="00ED4D0E">
        <w:rPr>
          <w:rFonts w:eastAsia="Times New Roman" w:hint="cs"/>
          <w:b/>
          <w:bCs/>
          <w:sz w:val="28"/>
          <w:szCs w:val="28"/>
          <w:rtl/>
          <w:lang w:val="en-CA" w:eastAsia="en-CA"/>
        </w:rPr>
        <w:t>و</w:t>
      </w:r>
      <w:r w:rsidRPr="00ED4D0E">
        <w:rPr>
          <w:rFonts w:eastAsia="Times New Roman" w:hint="cs"/>
          <w:b/>
          <w:bCs/>
          <w:sz w:val="28"/>
          <w:szCs w:val="28"/>
          <w:rtl/>
          <w:lang w:val="en-CA" w:eastAsia="en-CA"/>
        </w:rPr>
        <w:t>ع</w:t>
      </w:r>
      <w:r w:rsidR="00A9465E" w:rsidRPr="00ED4D0E">
        <w:rPr>
          <w:b/>
          <w:bCs/>
          <w:sz w:val="28"/>
          <w:szCs w:val="28"/>
          <w:rtl/>
        </w:rPr>
        <w:t xml:space="preserve"> تقرير الاجتماع</w:t>
      </w:r>
    </w:p>
    <w:p w14:paraId="0DD179DD" w14:textId="1A2041C1" w:rsidR="00C9161D" w:rsidRPr="00ED4D0E" w:rsidRDefault="0035311B" w:rsidP="008002E6">
      <w:pPr>
        <w:pStyle w:val="CBDH1"/>
        <w:bidi/>
        <w:ind w:left="0" w:firstLine="0"/>
        <w:rPr>
          <w:sz w:val="22"/>
          <w:szCs w:val="24"/>
        </w:rPr>
      </w:pPr>
      <w:r w:rsidRPr="00ED4D0E">
        <w:rPr>
          <w:sz w:val="22"/>
          <w:szCs w:val="24"/>
          <w:rtl/>
        </w:rPr>
        <w:t>مقدمة</w:t>
      </w:r>
    </w:p>
    <w:p w14:paraId="4597F424" w14:textId="77777777" w:rsidR="00AF0C14" w:rsidRPr="00ED4D0E" w:rsidRDefault="00AF0C14" w:rsidP="008002E6">
      <w:pPr>
        <w:pStyle w:val="CBDH2"/>
        <w:bidi/>
        <w:rPr>
          <w:sz w:val="22"/>
          <w:szCs w:val="24"/>
        </w:rPr>
      </w:pPr>
      <w:r w:rsidRPr="00ED4D0E">
        <w:rPr>
          <w:sz w:val="22"/>
          <w:szCs w:val="24"/>
          <w:rtl/>
        </w:rPr>
        <w:t>ألف-</w:t>
      </w:r>
      <w:r w:rsidRPr="00ED4D0E">
        <w:rPr>
          <w:sz w:val="22"/>
          <w:szCs w:val="24"/>
        </w:rPr>
        <w:tab/>
      </w:r>
      <w:r w:rsidRPr="00ED4D0E">
        <w:rPr>
          <w:sz w:val="22"/>
          <w:szCs w:val="24"/>
          <w:rtl/>
        </w:rPr>
        <w:t>معلومات أساسية</w:t>
      </w:r>
    </w:p>
    <w:p w14:paraId="717DE90F" w14:textId="35B0AE35" w:rsidR="00AF0C14" w:rsidRPr="00ED4D0E" w:rsidRDefault="00AF0C14"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عُقد الاجتماع الثاني عشر لمؤتمر الأطراف العامل كاجتماع للأطراف في بروتوكول قرطاجنة للسلامة الأحيائية في ييريفان في الفترة من 19 إلى 30 أكتوبر/تشرين الأول 2026، بالتزامن مع الاجتماع السابع عشر لمؤتمر الأطراف في الاتفاقية المتعلقة بالتنوع البيولوجي والاجتماع السادس لمؤتمر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0662D871" w14:textId="1047BD3D" w:rsidR="00AF0C14" w:rsidRPr="00ED4D0E" w:rsidRDefault="00AF0C14"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وسبق الاجتماعَ الثاني عشر حفل افتتاحي، في 18 أكتوبر/تشرين الأول 2026، تضمن عرضا ثقافيا وبيانات</w:t>
      </w:r>
      <w:r w:rsidRPr="00ED4D0E">
        <w:rPr>
          <w:rStyle w:val="FootnoteReference"/>
        </w:rPr>
        <w:footnoteReference w:id="1"/>
      </w:r>
      <w:r w:rsidRPr="00ED4D0E">
        <w:rPr>
          <w:rtl/>
        </w:rPr>
        <w:t xml:space="preserve"> أدلى بها رئيس وزراء أرمينيا، نيكول باشينيان؛ ووزير خارجية أرمينيا، أرارات ميرزويان؛ والأمينة التنفيذية للاتفاقية، أستريد شوماكر؛ ونائب وزير التخطيط البيئي لاستخدام الأراضي في وزارة البيئة والتنمية المستدامة في كولومبيا، دافيد فيليبي أولارتي أمايا، </w:t>
      </w:r>
      <w:r w:rsidR="00933E94" w:rsidRPr="00ED4D0E">
        <w:rPr>
          <w:rFonts w:hint="cs"/>
          <w:rtl/>
        </w:rPr>
        <w:t>نيابة عن</w:t>
      </w:r>
      <w:r w:rsidRPr="00ED4D0E">
        <w:rPr>
          <w:rtl/>
        </w:rPr>
        <w:t xml:space="preserve"> رئيس الاجتماع السادس عشر لمؤتمر الأطراف؛ ووزير </w:t>
      </w:r>
      <w:r w:rsidR="00933E94" w:rsidRPr="00ED4D0E">
        <w:rPr>
          <w:rFonts w:hint="cs"/>
          <w:rtl/>
        </w:rPr>
        <w:t>ال</w:t>
      </w:r>
      <w:r w:rsidRPr="00ED4D0E">
        <w:rPr>
          <w:rtl/>
        </w:rPr>
        <w:t>بيئة</w:t>
      </w:r>
      <w:r w:rsidR="00933E94" w:rsidRPr="00ED4D0E">
        <w:rPr>
          <w:rFonts w:hint="cs"/>
          <w:rtl/>
        </w:rPr>
        <w:t xml:space="preserve"> في</w:t>
      </w:r>
      <w:r w:rsidRPr="00ED4D0E">
        <w:rPr>
          <w:rtl/>
        </w:rPr>
        <w:t xml:space="preserve"> أرمينيا، همبردزوم ماتيفوسيان.</w:t>
      </w:r>
    </w:p>
    <w:p w14:paraId="1916216C" w14:textId="77777777" w:rsidR="00AF0C14" w:rsidRPr="00ED4D0E" w:rsidRDefault="00AF0C14" w:rsidP="008002E6">
      <w:pPr>
        <w:pStyle w:val="CBDH2"/>
        <w:bidi/>
      </w:pPr>
      <w:r w:rsidRPr="00ED4D0E">
        <w:rPr>
          <w:rtl/>
        </w:rPr>
        <w:t>باء-</w:t>
      </w:r>
      <w:r w:rsidRPr="00ED4D0E">
        <w:tab/>
      </w:r>
      <w:r w:rsidRPr="00ED4D0E">
        <w:rPr>
          <w:rtl/>
        </w:rPr>
        <w:t>الحضور</w:t>
      </w:r>
    </w:p>
    <w:p w14:paraId="010CF2D2" w14:textId="1C0FB6FB" w:rsidR="00AF0C14" w:rsidRPr="00ED4D0E" w:rsidRDefault="00AF0C14"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حضر الاجتماع [</w:t>
      </w:r>
      <w:r w:rsidRPr="00ED4D0E">
        <w:rPr>
          <w:i/>
          <w:iCs/>
          <w:rtl/>
        </w:rPr>
        <w:t>يستكمل فيما بعد</w:t>
      </w:r>
      <w:r w:rsidRPr="00ED4D0E">
        <w:rPr>
          <w:rtl/>
        </w:rPr>
        <w:t>] من الأطراف و[</w:t>
      </w:r>
      <w:r w:rsidRPr="00ED4D0E">
        <w:rPr>
          <w:i/>
          <w:iCs/>
          <w:rtl/>
        </w:rPr>
        <w:t>يستكمل فيما بعد</w:t>
      </w:r>
      <w:r w:rsidRPr="00ED4D0E">
        <w:rPr>
          <w:rtl/>
        </w:rPr>
        <w:t>] من غير الأطراف.</w:t>
      </w:r>
    </w:p>
    <w:p w14:paraId="25E251CC" w14:textId="77777777" w:rsidR="0093169E" w:rsidRPr="00ED4D0E" w:rsidRDefault="0035311B" w:rsidP="008002E6">
      <w:pPr>
        <w:pStyle w:val="ListParagraph"/>
        <w:keepNext/>
        <w:keepLines/>
        <w:tabs>
          <w:tab w:val="clear" w:pos="567"/>
          <w:tab w:val="clear" w:pos="1134"/>
          <w:tab w:val="clear" w:pos="1701"/>
          <w:tab w:val="clear" w:pos="2268"/>
        </w:tabs>
        <w:bidi/>
        <w:spacing w:after="120" w:line="216" w:lineRule="auto"/>
        <w:ind w:left="0"/>
        <w:contextualSpacing w:val="0"/>
        <w:jc w:val="left"/>
      </w:pPr>
      <w:r w:rsidRPr="00ED4D0E">
        <w:rPr>
          <w:rFonts w:eastAsia="YouYuan"/>
          <w:b/>
          <w:bCs/>
          <w:kern w:val="2"/>
          <w:rtl/>
          <w:lang w:val="en-US" w:bidi="ar-EG"/>
        </w:rPr>
        <w:t>البند</w:t>
      </w:r>
      <w:r w:rsidRPr="00ED4D0E">
        <w:rPr>
          <w:rtl/>
        </w:rPr>
        <w:t xml:space="preserve"> 1</w:t>
      </w:r>
      <w:r w:rsidRPr="00ED4D0E">
        <w:br/>
      </w:r>
      <w:r w:rsidRPr="00ED4D0E">
        <w:rPr>
          <w:b/>
          <w:bCs/>
          <w:rtl/>
        </w:rPr>
        <w:t xml:space="preserve">افتتاح </w:t>
      </w:r>
      <w:r w:rsidRPr="00ED4D0E">
        <w:rPr>
          <w:rFonts w:eastAsia="YouYuan"/>
          <w:b/>
          <w:bCs/>
          <w:kern w:val="2"/>
          <w:rtl/>
          <w:lang w:val="en-US" w:bidi="ar-EG"/>
        </w:rPr>
        <w:t>الاجتماع</w:t>
      </w:r>
    </w:p>
    <w:p w14:paraId="4CC770F4" w14:textId="40F04698" w:rsidR="00B30C6B" w:rsidRPr="00ED4D0E" w:rsidRDefault="00B30C6B"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عُقدت الجلسة العامة الأولى بالاشتراك مع جلستي مؤتمر الأطراف في الاتفاقية ومؤتمر الأطراف العامل كاجتماع للأطراف في بروتوكول ناغويا، في 19 أكتوبر/تشرين الأول 2026.</w:t>
      </w:r>
    </w:p>
    <w:p w14:paraId="1A451D2E" w14:textId="676FC7F7" w:rsidR="00B30C6B" w:rsidRPr="00ED4D0E" w:rsidRDefault="00B30C6B"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lastRenderedPageBreak/>
        <w:t>وأعلن رئيس الاجتماع الحادي عشر لمؤتمر الأطراف العامل كاجتماع للأطراف في بروتوكول قرطاجنة افتتاح الاجتماع في الساعة 10:25 صباحا وألقى كلمته الافتتاحية.</w:t>
      </w:r>
      <w:r w:rsidR="00012DD6" w:rsidRPr="00ED4D0E">
        <w:rPr>
          <w:rStyle w:val="FootnoteReference"/>
        </w:rPr>
        <w:footnoteReference w:id="2"/>
      </w:r>
    </w:p>
    <w:p w14:paraId="687D2DB3" w14:textId="4B5AC92E" w:rsidR="00B30C6B" w:rsidRPr="00ED4D0E" w:rsidRDefault="00B30C6B"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وألقى كلمة افتتاحية أيضا كل من وزير </w:t>
      </w:r>
      <w:r w:rsidR="00A9619F" w:rsidRPr="00ED4D0E">
        <w:rPr>
          <w:rFonts w:hint="cs"/>
          <w:rtl/>
        </w:rPr>
        <w:t>ال</w:t>
      </w:r>
      <w:r w:rsidRPr="00ED4D0E">
        <w:rPr>
          <w:rtl/>
        </w:rPr>
        <w:t xml:space="preserve">بيئة </w:t>
      </w:r>
      <w:r w:rsidR="00A9619F" w:rsidRPr="00ED4D0E">
        <w:rPr>
          <w:rFonts w:hint="cs"/>
          <w:rtl/>
        </w:rPr>
        <w:t xml:space="preserve">في </w:t>
      </w:r>
      <w:r w:rsidRPr="00ED4D0E">
        <w:rPr>
          <w:rtl/>
        </w:rPr>
        <w:t>أرمينيا، همبردزوم ماتيفوسيان، والأمينة التنفيذية للاتفاقية، أستريد شوماكر.</w:t>
      </w:r>
      <w:r w:rsidRPr="00ED4D0E">
        <w:rPr>
          <w:rStyle w:val="FootnoteReference"/>
          <w:rFonts w:asciiTheme="majorBidi" w:hAnsiTheme="majorBidi" w:cstheme="majorBidi"/>
        </w:rPr>
        <w:footnoteReference w:id="3"/>
      </w:r>
    </w:p>
    <w:p w14:paraId="18A3844B" w14:textId="3B11D57A" w:rsidR="008752A2" w:rsidRPr="00ED4D0E" w:rsidRDefault="008752A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وقدم وزير الإيكولوجيا والبيئة في الصين ورئيس الاجتماع الخامس عشر لمؤتمر الأطراف في الاتفاقية، هوانغ رونتشيو، إحاطة عن نتائج حوار كونمينغ بشأن التقدم الجماعي المحرز في تنفيذ إطار كونمينغ-مونتريال العالمي للتنوع البيولوجي، الذي عُقد قبل بضعة أسابيع.</w:t>
      </w:r>
      <w:r w:rsidRPr="00ED4D0E">
        <w:rPr>
          <w:rStyle w:val="FootnoteReference"/>
        </w:rPr>
        <w:footnoteReference w:id="4"/>
      </w:r>
    </w:p>
    <w:p w14:paraId="5416F61B" w14:textId="1BCEC9DC" w:rsidR="008752A2" w:rsidRPr="00ED4D0E" w:rsidRDefault="008752A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rPr>
          <w:bCs/>
        </w:rPr>
      </w:pPr>
      <w:r w:rsidRPr="00ED4D0E">
        <w:rPr>
          <w:rtl/>
        </w:rPr>
        <w:t xml:space="preserve">وأدلى ببيانات ممثلو الأطراف التالية: </w:t>
      </w:r>
      <w:r w:rsidR="00A9619F" w:rsidRPr="00ED4D0E">
        <w:rPr>
          <w:rtl/>
        </w:rPr>
        <w:t>أنتيغوا وبربودا (باسم الدول الجزرية الصغيرة النامية في منطقة البحر الكاريبي الممثلة في الاجتماعات)</w:t>
      </w:r>
      <w:r w:rsidR="00A9619F" w:rsidRPr="00ED4D0E">
        <w:rPr>
          <w:rFonts w:hint="cs"/>
          <w:rtl/>
        </w:rPr>
        <w:t>،</w:t>
      </w:r>
      <w:r w:rsidR="00A9619F" w:rsidRPr="00ED4D0E">
        <w:rPr>
          <w:rtl/>
        </w:rPr>
        <w:t xml:space="preserve"> وأيرلندا (باسم الاتحاد الأوروبي ودوله الأعضاء)،</w:t>
      </w:r>
      <w:r w:rsidR="00A9619F" w:rsidRPr="00ED4D0E">
        <w:rPr>
          <w:rFonts w:hint="cs"/>
          <w:rtl/>
        </w:rPr>
        <w:t xml:space="preserve"> </w:t>
      </w:r>
      <w:r w:rsidR="00A9619F" w:rsidRPr="00ED4D0E">
        <w:rPr>
          <w:rtl/>
        </w:rPr>
        <w:t>وجامايكا (باسم دول أمريكا اللاتينية ومنطقة البحر الكاريبي)،</w:t>
      </w:r>
      <w:r w:rsidR="00A9619F" w:rsidRPr="00ED4D0E">
        <w:rPr>
          <w:rFonts w:hint="cs"/>
          <w:rtl/>
        </w:rPr>
        <w:t xml:space="preserve"> و</w:t>
      </w:r>
      <w:r w:rsidRPr="00ED4D0E">
        <w:rPr>
          <w:rtl/>
        </w:rPr>
        <w:t xml:space="preserve">الأردن (باسم دول آسيا والمحيط الهادئ)، </w:t>
      </w:r>
      <w:r w:rsidR="00A9619F" w:rsidRPr="00ED4D0E">
        <w:rPr>
          <w:rtl/>
        </w:rPr>
        <w:t>والنرويج (وأيضا باسم أستراليا وأيسلندا وسويسرا وكندا والمملكة المتحدة لبريطانيا العظمى وأيرلندا الشمالية وموناكو ونيوزيلندا)</w:t>
      </w:r>
      <w:r w:rsidRPr="00ED4D0E">
        <w:rPr>
          <w:rtl/>
        </w:rPr>
        <w:t xml:space="preserve">، </w:t>
      </w:r>
      <w:r w:rsidR="00A9619F" w:rsidRPr="00ED4D0E">
        <w:rPr>
          <w:rtl/>
        </w:rPr>
        <w:t>والفلبين (باسم رابطة أمم جنوب شرق آسيا)، والمملكة العربية السعودية (باسم جامعة الدول العربية)،</w:t>
      </w:r>
      <w:r w:rsidR="00A9619F" w:rsidRPr="00ED4D0E">
        <w:rPr>
          <w:rFonts w:hint="cs"/>
          <w:rtl/>
        </w:rPr>
        <w:t xml:space="preserve"> </w:t>
      </w:r>
      <w:r w:rsidR="00A9619F" w:rsidRPr="00ED4D0E">
        <w:rPr>
          <w:rtl/>
        </w:rPr>
        <w:t>والسنغال (باسم الدول الأفريقية)،</w:t>
      </w:r>
      <w:r w:rsidR="00A9619F" w:rsidRPr="00ED4D0E">
        <w:rPr>
          <w:rFonts w:hint="cs"/>
          <w:rtl/>
        </w:rPr>
        <w:t xml:space="preserve"> </w:t>
      </w:r>
      <w:r w:rsidRPr="00ED4D0E">
        <w:rPr>
          <w:rtl/>
        </w:rPr>
        <w:t>وجنوب أفريقيا (باسم مجموعة البلدان ذات التنوع البيولوجي الشديد المتقاربة التفكير).</w:t>
      </w:r>
    </w:p>
    <w:p w14:paraId="0FEC40E1" w14:textId="25ACBB31" w:rsidR="008752A2" w:rsidRPr="00ED4D0E" w:rsidRDefault="008752A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rPr>
          <w:rtl/>
        </w:rPr>
      </w:pPr>
      <w:r w:rsidRPr="00ED4D0E">
        <w:rPr>
          <w:rtl/>
        </w:rPr>
        <w:t xml:space="preserve">وأدلى ببيانات أيضا ممثلو الأعمال التجارية من أجل الطبيعة، وتحالف اتفاقية التنوع البيولوجي، والمجموعة النسائية لاتفاقية التنوع البيولوجي، والشبكة العالمية للشباب من أجل التنوع البيولوجي، والمجلس الدولي للمبادرات البيئية المحلية - الحكومات المحلية من أجل الاستدامة (وأيضا باسم منظمة </w:t>
      </w:r>
      <w:r w:rsidRPr="00ED4D0E">
        <w:t>Regions4</w:t>
      </w:r>
      <w:r w:rsidRPr="00ED4D0E">
        <w:rPr>
          <w:rtl/>
        </w:rPr>
        <w:t>)، والمنتدى الدولي للشعوب الأصلية المعني بالتنوع البيولوجي.</w:t>
      </w:r>
    </w:p>
    <w:p w14:paraId="2C91B3E5" w14:textId="77777777" w:rsidR="0093169E" w:rsidRPr="00ED4D0E" w:rsidRDefault="00785334" w:rsidP="008002E6">
      <w:pPr>
        <w:pStyle w:val="ListParagraph"/>
        <w:keepLines/>
        <w:tabs>
          <w:tab w:val="clear" w:pos="567"/>
          <w:tab w:val="clear" w:pos="1134"/>
          <w:tab w:val="clear" w:pos="1701"/>
          <w:tab w:val="clear" w:pos="2268"/>
        </w:tabs>
        <w:bidi/>
        <w:spacing w:after="120" w:line="216" w:lineRule="auto"/>
        <w:ind w:left="0"/>
        <w:contextualSpacing w:val="0"/>
        <w:jc w:val="left"/>
        <w:rPr>
          <w:b/>
          <w:bCs/>
          <w:rtl/>
        </w:rPr>
      </w:pPr>
      <w:r w:rsidRPr="00ED4D0E">
        <w:rPr>
          <w:rFonts w:eastAsia="YouYuan"/>
          <w:b/>
          <w:bCs/>
          <w:kern w:val="2"/>
          <w:rtl/>
          <w:lang w:val="en-US" w:bidi="ar-EG"/>
        </w:rPr>
        <w:t>البند</w:t>
      </w:r>
      <w:r w:rsidRPr="00ED4D0E">
        <w:rPr>
          <w:b/>
          <w:bCs/>
          <w:rtl/>
        </w:rPr>
        <w:t xml:space="preserve"> 2</w:t>
      </w:r>
      <w:r w:rsidRPr="00ED4D0E">
        <w:rPr>
          <w:b/>
          <w:bCs/>
        </w:rPr>
        <w:br/>
      </w:r>
      <w:r w:rsidRPr="00ED4D0E">
        <w:rPr>
          <w:b/>
          <w:bCs/>
          <w:rtl/>
        </w:rPr>
        <w:t>المسائل التنظيمية</w:t>
      </w:r>
    </w:p>
    <w:p w14:paraId="55FA1695" w14:textId="2E2E435D" w:rsidR="008752A2" w:rsidRPr="00ED4D0E" w:rsidRDefault="008752A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نظر مؤتمر الأطراف العامل كاجتماع للأطراف في بروتوكول قرطاجنة في البند 2 من جدول الأعمال في جلسته العامة الأولى. وكان معروضا عليه جدول الأعمال المؤقت للاجتماع،</w:t>
      </w:r>
      <w:r w:rsidRPr="00ED4D0E">
        <w:rPr>
          <w:rStyle w:val="FootnoteReference"/>
        </w:rPr>
        <w:footnoteReference w:id="5"/>
      </w:r>
      <w:r w:rsidRPr="00ED4D0E">
        <w:rPr>
          <w:rtl/>
        </w:rPr>
        <w:t xml:space="preserve"> وجدول الأعمال المؤقت المشروح،</w:t>
      </w:r>
      <w:r w:rsidRPr="00ED4D0E">
        <w:rPr>
          <w:rStyle w:val="FootnoteReference"/>
        </w:rPr>
        <w:footnoteReference w:id="6"/>
      </w:r>
      <w:r w:rsidRPr="00ED4D0E">
        <w:rPr>
          <w:rtl/>
        </w:rPr>
        <w:t xml:space="preserve"> ومذكرة السيناريوهات.</w:t>
      </w:r>
      <w:r w:rsidRPr="00ED4D0E">
        <w:rPr>
          <w:rStyle w:val="FootnoteReference"/>
        </w:rPr>
        <w:footnoteReference w:id="7"/>
      </w:r>
    </w:p>
    <w:p w14:paraId="3895A21D" w14:textId="40E6491F" w:rsidR="000F305B" w:rsidRPr="00ED4D0E" w:rsidRDefault="000F305B" w:rsidP="008002E6">
      <w:pPr>
        <w:pStyle w:val="CBDAgendaItem"/>
        <w:bidi/>
        <w:rPr>
          <w:rFonts w:ascii="Times New Roman" w:hAnsi="Times New Roman" w:cs="Times New Roman"/>
          <w:b w:val="0"/>
          <w:i/>
          <w:iCs/>
          <w:sz w:val="22"/>
        </w:rPr>
      </w:pPr>
      <w:r w:rsidRPr="00ED4D0E">
        <w:rPr>
          <w:b w:val="0"/>
          <w:bCs w:val="0"/>
          <w:i/>
          <w:iCs/>
          <w:sz w:val="22"/>
          <w:szCs w:val="24"/>
          <w:rtl/>
        </w:rPr>
        <w:t>انتخاب الرئيس</w:t>
      </w:r>
    </w:p>
    <w:p w14:paraId="2CB14DE1" w14:textId="6EB1DF39" w:rsidR="000A1551" w:rsidRPr="00ED4D0E" w:rsidRDefault="000A1551"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عملا بالفقرة 3 من المادة 29 من بروتوكول قرطاجنة، يعمل مكتب مؤتمر الأطراف في الاتفاقية أيضا كمكتب لمؤتمر الأطراف العامل كاجتماع للأطراف في البروتوكول. وبناء على ذلك، تولى وزير </w:t>
      </w:r>
      <w:r w:rsidR="00220BCB" w:rsidRPr="00ED4D0E">
        <w:rPr>
          <w:rFonts w:hint="cs"/>
          <w:rtl/>
        </w:rPr>
        <w:t>ال</w:t>
      </w:r>
      <w:r w:rsidRPr="00ED4D0E">
        <w:rPr>
          <w:rtl/>
        </w:rPr>
        <w:t xml:space="preserve">بيئة </w:t>
      </w:r>
      <w:r w:rsidR="00220BCB" w:rsidRPr="00ED4D0E">
        <w:rPr>
          <w:rFonts w:hint="cs"/>
          <w:rtl/>
        </w:rPr>
        <w:t xml:space="preserve">في </w:t>
      </w:r>
      <w:r w:rsidRPr="00ED4D0E">
        <w:rPr>
          <w:rtl/>
        </w:rPr>
        <w:t xml:space="preserve">أرمينيا، الذي كان قد </w:t>
      </w:r>
      <w:r w:rsidRPr="00ED4D0E">
        <w:rPr>
          <w:rtl/>
        </w:rPr>
        <w:lastRenderedPageBreak/>
        <w:t>انتُخب رئيسا للاجتماع السابع عشر لمؤتمر الأطراف في الاتفاقية، رئاسة الاجتماع الثاني عشر لمؤتمر الأطراف العامل كاجتماع للأطراف في البروتوكول أيضا.</w:t>
      </w:r>
    </w:p>
    <w:p w14:paraId="6CAF1FBF" w14:textId="06A8876F" w:rsidR="000F78FC" w:rsidRPr="00ED4D0E" w:rsidRDefault="00785334" w:rsidP="008002E6">
      <w:pPr>
        <w:pStyle w:val="CBDAgendaItem"/>
        <w:bidi/>
        <w:rPr>
          <w:rFonts w:ascii="Times New Roman" w:hAnsi="Times New Roman" w:cs="Times New Roman"/>
          <w:b w:val="0"/>
          <w:i/>
          <w:sz w:val="22"/>
        </w:rPr>
      </w:pPr>
      <w:r w:rsidRPr="00ED4D0E">
        <w:rPr>
          <w:b w:val="0"/>
          <w:bCs w:val="0"/>
          <w:i/>
          <w:iCs/>
          <w:sz w:val="22"/>
          <w:szCs w:val="24"/>
          <w:rtl/>
        </w:rPr>
        <w:t>انتخاب أعضاء المكتب البدلاء</w:t>
      </w:r>
    </w:p>
    <w:p w14:paraId="005F7A7F" w14:textId="3B05FC81" w:rsidR="00630536" w:rsidRPr="00ED4D0E" w:rsidRDefault="00630536"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وفقا للمادة 21 من النظام الداخلي لاجتماعات مؤتمر الأطراف في الاتفاقية، التي ت</w:t>
      </w:r>
      <w:r w:rsidR="000B4216" w:rsidRPr="00ED4D0E">
        <w:rPr>
          <w:rFonts w:hint="cs"/>
          <w:rtl/>
        </w:rPr>
        <w:t>ُ</w:t>
      </w:r>
      <w:r w:rsidRPr="00ED4D0E">
        <w:rPr>
          <w:rtl/>
        </w:rPr>
        <w:t>طبق</w:t>
      </w:r>
      <w:r w:rsidR="000B4216" w:rsidRPr="00ED4D0E">
        <w:rPr>
          <w:rFonts w:hint="cs"/>
          <w:rtl/>
        </w:rPr>
        <w:t xml:space="preserve"> مع</w:t>
      </w:r>
      <w:r w:rsidRPr="00ED4D0E">
        <w:rPr>
          <w:rtl/>
        </w:rPr>
        <w:t xml:space="preserve"> </w:t>
      </w:r>
      <w:r w:rsidR="000B4216" w:rsidRPr="00ED4D0E">
        <w:rPr>
          <w:rtl/>
        </w:rPr>
        <w:t>إجراء التعديلات اللازمة في سياق بروتوكول قرطاجنة</w:t>
      </w:r>
      <w:r w:rsidRPr="00ED4D0E">
        <w:rPr>
          <w:rtl/>
        </w:rPr>
        <w:t xml:space="preserve">، انتخب مؤتمر الأطراف، في اجتماعه السادس عشر، 10 نواب للرئيس للعمل حتى اختتام الاجتماع السابع عشر. وفي وقت لاحق، </w:t>
      </w:r>
      <w:r w:rsidR="004E2126" w:rsidRPr="00ED4D0E">
        <w:rPr>
          <w:rFonts w:hint="cs"/>
          <w:rtl/>
        </w:rPr>
        <w:t>استبدلت</w:t>
      </w:r>
      <w:r w:rsidRPr="00ED4D0E">
        <w:rPr>
          <w:rtl/>
        </w:rPr>
        <w:t xml:space="preserve"> الأطراف المعنية اثنين من</w:t>
      </w:r>
      <w:r w:rsidR="004E2126" w:rsidRPr="00ED4D0E">
        <w:rPr>
          <w:rFonts w:hint="cs"/>
          <w:rtl/>
        </w:rPr>
        <w:t xml:space="preserve"> هؤلاء</w:t>
      </w:r>
      <w:r w:rsidRPr="00ED4D0E">
        <w:rPr>
          <w:rtl/>
        </w:rPr>
        <w:t xml:space="preserve"> الممثلين. وبالإضافة إلى ذلك، انتخب مؤتمر الأطراف العامل كاجتماع للأطراف في البروتوكول، في اجتماعه الحادي عشر، عضوا بديلا في المكتب عن </w:t>
      </w:r>
      <w:r w:rsidR="004E2126" w:rsidRPr="00ED4D0E">
        <w:rPr>
          <w:rFonts w:hint="cs"/>
          <w:rtl/>
        </w:rPr>
        <w:t>الإقليم الذي كان عضو المكتب فيه بمثل طرفا في الاتفاقية</w:t>
      </w:r>
      <w:r w:rsidRPr="00ED4D0E">
        <w:rPr>
          <w:rtl/>
        </w:rPr>
        <w:t xml:space="preserve"> ليس طرفا في البروتوكول. وعليه، فإن مكتب الاجتماع الثاني عشر لمؤتمر الأطراف العامل كاجتماع للأطراف في البروتوكول يضم الأعضاء التالية أسماؤهم، بالإضافة إلى الرئيس:</w:t>
      </w:r>
    </w:p>
    <w:p w14:paraId="69EAFBA1" w14:textId="4321031A" w:rsidR="00630536" w:rsidRPr="00ED4D0E" w:rsidRDefault="00630536" w:rsidP="008002E6">
      <w:pPr>
        <w:bidi/>
        <w:spacing w:before="40" w:after="40"/>
        <w:ind w:left="1134"/>
        <w:jc w:val="left"/>
        <w:rPr>
          <w:rFonts w:asciiTheme="majorBidi" w:hAnsiTheme="majorBidi" w:cstheme="majorBidi"/>
        </w:rPr>
      </w:pPr>
      <w:r w:rsidRPr="00ED4D0E">
        <w:rPr>
          <w:rtl/>
        </w:rPr>
        <w:t>جوزفين تيريز بابيت بيالا إيبسي إيلوندو (الكاميرون)</w:t>
      </w:r>
    </w:p>
    <w:p w14:paraId="76C430BE" w14:textId="77777777" w:rsidR="00630536" w:rsidRPr="00ED4D0E" w:rsidRDefault="00630536" w:rsidP="008002E6">
      <w:pPr>
        <w:bidi/>
        <w:spacing w:before="40" w:after="40"/>
        <w:ind w:left="1134"/>
        <w:jc w:val="left"/>
        <w:rPr>
          <w:rFonts w:asciiTheme="majorBidi" w:hAnsiTheme="majorBidi" w:cstheme="majorBidi"/>
        </w:rPr>
      </w:pPr>
      <w:r w:rsidRPr="00ED4D0E">
        <w:rPr>
          <w:rtl/>
        </w:rPr>
        <w:t>جوناس كومي أنتي (توغو)</w:t>
      </w:r>
    </w:p>
    <w:p w14:paraId="5F8EEEC5" w14:textId="6480E3B2" w:rsidR="00630536" w:rsidRPr="00ED4D0E" w:rsidRDefault="00630536" w:rsidP="008002E6">
      <w:pPr>
        <w:bidi/>
        <w:spacing w:before="40" w:after="40"/>
        <w:ind w:left="1134"/>
        <w:jc w:val="left"/>
        <w:rPr>
          <w:rFonts w:asciiTheme="majorBidi" w:hAnsiTheme="majorBidi" w:cstheme="majorBidi"/>
        </w:rPr>
      </w:pPr>
      <w:r w:rsidRPr="00ED4D0E">
        <w:rPr>
          <w:rtl/>
        </w:rPr>
        <w:t>بلال قطيشات (الأردن)</w:t>
      </w:r>
    </w:p>
    <w:p w14:paraId="096ADE40" w14:textId="6BD13658" w:rsidR="00630536" w:rsidRPr="00ED4D0E" w:rsidRDefault="00630536" w:rsidP="008002E6">
      <w:pPr>
        <w:bidi/>
        <w:spacing w:before="40" w:after="40"/>
        <w:ind w:left="1134"/>
        <w:jc w:val="left"/>
        <w:rPr>
          <w:rFonts w:asciiTheme="majorBidi" w:hAnsiTheme="majorBidi" w:cstheme="majorBidi"/>
        </w:rPr>
      </w:pPr>
      <w:r w:rsidRPr="00ED4D0E">
        <w:rPr>
          <w:rtl/>
        </w:rPr>
        <w:t>إلهام آتو محمد (ملديف)</w:t>
      </w:r>
    </w:p>
    <w:p w14:paraId="63DCF931" w14:textId="77777777" w:rsidR="00630536" w:rsidRPr="00ED4D0E" w:rsidRDefault="00630536" w:rsidP="008002E6">
      <w:pPr>
        <w:bidi/>
        <w:spacing w:before="40" w:after="40"/>
        <w:ind w:left="1134"/>
        <w:jc w:val="left"/>
        <w:rPr>
          <w:rFonts w:asciiTheme="majorBidi" w:hAnsiTheme="majorBidi" w:cstheme="majorBidi"/>
        </w:rPr>
      </w:pPr>
      <w:r w:rsidRPr="00ED4D0E">
        <w:rPr>
          <w:rtl/>
        </w:rPr>
        <w:t>أدلا كاهريتش (البوسنة والهرسك)</w:t>
      </w:r>
    </w:p>
    <w:p w14:paraId="2F50B2A1" w14:textId="5C6375AB" w:rsidR="00630536" w:rsidRPr="00ED4D0E" w:rsidRDefault="00B44651" w:rsidP="008002E6">
      <w:pPr>
        <w:bidi/>
        <w:spacing w:before="40" w:after="40"/>
        <w:ind w:left="1134"/>
        <w:jc w:val="left"/>
        <w:rPr>
          <w:rFonts w:asciiTheme="majorBidi" w:hAnsiTheme="majorBidi" w:cstheme="majorBidi"/>
        </w:rPr>
      </w:pPr>
      <w:r w:rsidRPr="00ED4D0E">
        <w:rPr>
          <w:rtl/>
        </w:rPr>
        <w:t>بخرومجون خولخوجايف (أوزبكستان)</w:t>
      </w:r>
    </w:p>
    <w:p w14:paraId="7B8CA624" w14:textId="77777777" w:rsidR="00630536" w:rsidRPr="00ED4D0E" w:rsidRDefault="00630536" w:rsidP="008002E6">
      <w:pPr>
        <w:bidi/>
        <w:spacing w:before="40" w:after="40"/>
        <w:ind w:left="1134"/>
        <w:jc w:val="left"/>
        <w:rPr>
          <w:rFonts w:asciiTheme="majorBidi" w:hAnsiTheme="majorBidi" w:cstheme="majorBidi"/>
          <w:lang w:val="en-CA"/>
        </w:rPr>
      </w:pPr>
      <w:r w:rsidRPr="00ED4D0E">
        <w:rPr>
          <w:rtl/>
        </w:rPr>
        <w:t>جيليان غوثري (جامايكا)</w:t>
      </w:r>
    </w:p>
    <w:p w14:paraId="29B0CEAE" w14:textId="77777777" w:rsidR="00944F29" w:rsidRPr="00ED4D0E" w:rsidRDefault="00944F29" w:rsidP="008002E6">
      <w:pPr>
        <w:bidi/>
        <w:spacing w:before="40" w:after="40"/>
        <w:ind w:left="1134"/>
        <w:jc w:val="left"/>
        <w:rPr>
          <w:rFonts w:asciiTheme="majorBidi" w:hAnsiTheme="majorBidi" w:cstheme="majorBidi"/>
          <w:lang w:val="en-CA"/>
        </w:rPr>
      </w:pPr>
      <w:r w:rsidRPr="00ED4D0E">
        <w:rPr>
          <w:rtl/>
        </w:rPr>
        <w:t>فالنتينا سييرا (أوروغواي)</w:t>
      </w:r>
    </w:p>
    <w:p w14:paraId="6E5724CA" w14:textId="77777777" w:rsidR="00944F29" w:rsidRPr="00ED4D0E" w:rsidRDefault="00944F29" w:rsidP="008002E6">
      <w:pPr>
        <w:bidi/>
        <w:spacing w:before="40" w:after="40"/>
        <w:ind w:left="1134"/>
        <w:jc w:val="left"/>
        <w:rPr>
          <w:rFonts w:asciiTheme="majorBidi" w:hAnsiTheme="majorBidi" w:cstheme="majorBidi"/>
          <w:lang w:val="en-CA"/>
        </w:rPr>
      </w:pPr>
      <w:r w:rsidRPr="00ED4D0E">
        <w:rPr>
          <w:rtl/>
        </w:rPr>
        <w:t>إريك شولز (لكسمبرغ)</w:t>
      </w:r>
    </w:p>
    <w:p w14:paraId="5DCEBD3F" w14:textId="77777777" w:rsidR="00630536" w:rsidRPr="00ED4D0E" w:rsidRDefault="00630536" w:rsidP="008002E6">
      <w:pPr>
        <w:bidi/>
        <w:spacing w:before="40" w:after="40"/>
        <w:ind w:left="1134"/>
        <w:jc w:val="left"/>
        <w:rPr>
          <w:rFonts w:asciiTheme="majorBidi" w:hAnsiTheme="majorBidi" w:cstheme="majorBidi"/>
          <w:lang w:val="fr-FR"/>
        </w:rPr>
      </w:pPr>
      <w:r w:rsidRPr="00ED4D0E">
        <w:rPr>
          <w:rtl/>
        </w:rPr>
        <w:t>غوت هانسن (النرويج)</w:t>
      </w:r>
    </w:p>
    <w:p w14:paraId="2E56E79C" w14:textId="37D5147B" w:rsidR="0013280B" w:rsidRPr="00ED4D0E" w:rsidRDefault="002221D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rPr>
          <w:lang w:val="fr-FR"/>
        </w:rPr>
      </w:pPr>
      <w:r w:rsidRPr="00ED4D0E">
        <w:rPr>
          <w:color w:val="000000" w:themeColor="text1"/>
          <w:rtl/>
        </w:rPr>
        <w:t>واتُفق على أن تتولى السيدة إيلوندو مهام مقرِّرة الاجتماع، على النحو الذي اقترحه المكتب.</w:t>
      </w:r>
    </w:p>
    <w:p w14:paraId="1C394DE0" w14:textId="684C0235" w:rsidR="00336201" w:rsidRPr="00ED4D0E" w:rsidRDefault="00336201"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rPr>
          <w:color w:val="000000" w:themeColor="text1"/>
          <w:lang w:val="fr-FR"/>
        </w:rPr>
      </w:pPr>
      <w:r w:rsidRPr="00ED4D0E">
        <w:rPr>
          <w:rFonts w:hint="cs"/>
          <w:color w:val="000000" w:themeColor="text1"/>
          <w:rtl/>
        </w:rPr>
        <w:t>و</w:t>
      </w:r>
      <w:r w:rsidRPr="00ED4D0E">
        <w:rPr>
          <w:color w:val="000000" w:themeColor="text1"/>
          <w:rtl/>
        </w:rPr>
        <w:t xml:space="preserve">في جلسته العامة الرابعة، </w:t>
      </w:r>
      <w:r w:rsidRPr="00ED4D0E">
        <w:rPr>
          <w:rFonts w:hint="cs"/>
          <w:color w:val="000000" w:themeColor="text1"/>
          <w:rtl/>
        </w:rPr>
        <w:t>المعقودة</w:t>
      </w:r>
      <w:r w:rsidRPr="00ED4D0E">
        <w:rPr>
          <w:color w:val="000000" w:themeColor="text1"/>
          <w:rtl/>
        </w:rPr>
        <w:t xml:space="preserve"> في 28 </w:t>
      </w:r>
      <w:r w:rsidRPr="00ED4D0E">
        <w:rPr>
          <w:rFonts w:hint="cs"/>
          <w:color w:val="000000" w:themeColor="text1"/>
          <w:rtl/>
        </w:rPr>
        <w:t>أكتوبر/</w:t>
      </w:r>
      <w:r w:rsidRPr="00ED4D0E">
        <w:rPr>
          <w:color w:val="000000" w:themeColor="text1"/>
          <w:rtl/>
        </w:rPr>
        <w:t>تشرين الأول، ووفقا للمادة 21 من نظامه الداخلي، انتخب مؤتمر الأطراف في الاتفاقية الممثلين التاليين لعضوية مكتبه، لفترة ولاية تبدأ عند اختتام اجتماعه السابع عشر</w:t>
      </w:r>
      <w:r w:rsidRPr="00ED4D0E">
        <w:rPr>
          <w:rFonts w:hint="cs"/>
          <w:color w:val="000000" w:themeColor="text1"/>
          <w:rtl/>
        </w:rPr>
        <w:t>،</w:t>
      </w:r>
      <w:r w:rsidRPr="00ED4D0E">
        <w:rPr>
          <w:color w:val="000000" w:themeColor="text1"/>
          <w:rtl/>
        </w:rPr>
        <w:t xml:space="preserve"> وبذلك يشكل </w:t>
      </w:r>
      <w:r w:rsidRPr="00ED4D0E">
        <w:rPr>
          <w:rFonts w:hint="cs"/>
          <w:color w:val="000000" w:themeColor="text1"/>
          <w:rtl/>
        </w:rPr>
        <w:t>الأشخاص التالية أسماؤهم</w:t>
      </w:r>
      <w:r w:rsidRPr="00ED4D0E">
        <w:rPr>
          <w:color w:val="000000" w:themeColor="text1"/>
          <w:rtl/>
        </w:rPr>
        <w:t xml:space="preserve"> أعضاء مكتب مؤتمر الأطراف العامل </w:t>
      </w:r>
      <w:r w:rsidRPr="00ED4D0E">
        <w:rPr>
          <w:rFonts w:hint="cs"/>
          <w:color w:val="000000" w:themeColor="text1"/>
          <w:rtl/>
        </w:rPr>
        <w:t>ك</w:t>
      </w:r>
      <w:r w:rsidRPr="00ED4D0E">
        <w:rPr>
          <w:color w:val="000000" w:themeColor="text1"/>
          <w:rtl/>
        </w:rPr>
        <w:t xml:space="preserve">اجتماع </w:t>
      </w:r>
      <w:r w:rsidRPr="00ED4D0E">
        <w:rPr>
          <w:rFonts w:hint="cs"/>
          <w:color w:val="000000" w:themeColor="text1"/>
          <w:rtl/>
        </w:rPr>
        <w:t>ل</w:t>
      </w:r>
      <w:r w:rsidRPr="00ED4D0E">
        <w:rPr>
          <w:color w:val="000000" w:themeColor="text1"/>
          <w:rtl/>
        </w:rPr>
        <w:t>لأطراف في البروتوكول، وذلك اعتبارا من اختتام اجتماعه الثاني عشر:</w:t>
      </w:r>
    </w:p>
    <w:p w14:paraId="45BC2568" w14:textId="77777777" w:rsidR="00336201" w:rsidRPr="00ED4D0E" w:rsidRDefault="00336201" w:rsidP="008002E6">
      <w:pPr>
        <w:bidi/>
        <w:spacing w:before="40" w:after="40"/>
        <w:ind w:left="1134"/>
        <w:jc w:val="left"/>
        <w:rPr>
          <w:lang w:val="fr-FR"/>
        </w:rPr>
      </w:pPr>
      <w:r w:rsidRPr="00ED4D0E">
        <w:rPr>
          <w:rtl/>
        </w:rPr>
        <w:t>أسامة عبد القوي (مصر)</w:t>
      </w:r>
    </w:p>
    <w:p w14:paraId="5DF3E198" w14:textId="77777777" w:rsidR="00336201" w:rsidRPr="00ED4D0E" w:rsidRDefault="00336201" w:rsidP="008002E6">
      <w:pPr>
        <w:bidi/>
        <w:spacing w:before="40" w:after="40"/>
        <w:ind w:left="1134"/>
        <w:jc w:val="left"/>
        <w:rPr>
          <w:lang w:val="fr-FR"/>
        </w:rPr>
      </w:pPr>
      <w:r w:rsidRPr="00ED4D0E">
        <w:rPr>
          <w:rtl/>
        </w:rPr>
        <w:t>ماليبو فوشيكو (جنوب أفريقيا)</w:t>
      </w:r>
    </w:p>
    <w:p w14:paraId="7259AD4A" w14:textId="77777777" w:rsidR="00336201" w:rsidRPr="00ED4D0E" w:rsidRDefault="00336201" w:rsidP="008002E6">
      <w:pPr>
        <w:bidi/>
        <w:spacing w:before="40" w:after="40"/>
        <w:ind w:left="1134"/>
        <w:jc w:val="left"/>
        <w:rPr>
          <w:lang w:val="fr-FR"/>
        </w:rPr>
      </w:pPr>
      <w:r w:rsidRPr="00ED4D0E">
        <w:rPr>
          <w:rtl/>
        </w:rPr>
        <w:t>إنجي ريتنواتي (إندونيسيا)</w:t>
      </w:r>
    </w:p>
    <w:p w14:paraId="7559E97D" w14:textId="361E0BB2" w:rsidR="00336201" w:rsidRPr="00ED4D0E" w:rsidRDefault="00336201" w:rsidP="008002E6">
      <w:pPr>
        <w:bidi/>
        <w:spacing w:before="40" w:after="40"/>
        <w:ind w:left="1134"/>
        <w:jc w:val="left"/>
        <w:rPr>
          <w:lang w:val="fr-FR"/>
        </w:rPr>
      </w:pPr>
      <w:r w:rsidRPr="00ED4D0E">
        <w:rPr>
          <w:rtl/>
        </w:rPr>
        <w:t>ميتاتيتي موتي تيرا (كيريبا</w:t>
      </w:r>
      <w:r w:rsidRPr="00ED4D0E">
        <w:rPr>
          <w:rFonts w:hint="cs"/>
          <w:rtl/>
        </w:rPr>
        <w:t>س</w:t>
      </w:r>
      <w:r w:rsidRPr="00ED4D0E">
        <w:rPr>
          <w:rtl/>
        </w:rPr>
        <w:t>)</w:t>
      </w:r>
    </w:p>
    <w:p w14:paraId="155F591F" w14:textId="77777777" w:rsidR="00336201" w:rsidRPr="00ED4D0E" w:rsidRDefault="00336201" w:rsidP="008002E6">
      <w:pPr>
        <w:bidi/>
        <w:spacing w:before="40" w:after="40"/>
        <w:ind w:left="1134"/>
        <w:jc w:val="left"/>
        <w:rPr>
          <w:lang w:val="fr-FR"/>
        </w:rPr>
      </w:pPr>
      <w:r w:rsidRPr="00ED4D0E">
        <w:rPr>
          <w:rtl/>
        </w:rPr>
        <w:t>أدلا كاهريتش (البوسنة والهرسك)</w:t>
      </w:r>
    </w:p>
    <w:p w14:paraId="05EAC5B8" w14:textId="77777777" w:rsidR="00336201" w:rsidRPr="00ED4D0E" w:rsidRDefault="00336201" w:rsidP="008002E6">
      <w:pPr>
        <w:bidi/>
        <w:spacing w:before="40" w:after="40"/>
        <w:ind w:left="1134"/>
        <w:jc w:val="left"/>
        <w:rPr>
          <w:lang w:val="fr-FR"/>
        </w:rPr>
      </w:pPr>
      <w:r w:rsidRPr="00ED4D0E">
        <w:rPr>
          <w:rtl/>
        </w:rPr>
        <w:lastRenderedPageBreak/>
        <w:t>ديتا غريغوس (المجر)</w:t>
      </w:r>
    </w:p>
    <w:p w14:paraId="1AAFD3F3" w14:textId="77777777" w:rsidR="00336201" w:rsidRPr="00ED4D0E" w:rsidRDefault="00336201" w:rsidP="008002E6">
      <w:pPr>
        <w:bidi/>
        <w:spacing w:before="40" w:after="40"/>
        <w:ind w:left="1134"/>
        <w:jc w:val="left"/>
        <w:rPr>
          <w:lang w:val="fr-FR"/>
        </w:rPr>
      </w:pPr>
      <w:r w:rsidRPr="00ED4D0E">
        <w:rPr>
          <w:rtl/>
        </w:rPr>
        <w:t>نيكا نيكولاس (أنتيغوا وبربودا)</w:t>
      </w:r>
    </w:p>
    <w:p w14:paraId="6662DC47" w14:textId="77777777" w:rsidR="00336201" w:rsidRPr="00ED4D0E" w:rsidRDefault="00336201" w:rsidP="008002E6">
      <w:pPr>
        <w:bidi/>
        <w:spacing w:before="40" w:after="40"/>
        <w:ind w:left="1134"/>
        <w:jc w:val="left"/>
        <w:rPr>
          <w:lang w:val="fr-FR"/>
        </w:rPr>
      </w:pPr>
      <w:r w:rsidRPr="00ED4D0E">
        <w:rPr>
          <w:rtl/>
        </w:rPr>
        <w:t>باتريك لونا (البرازيل)</w:t>
      </w:r>
    </w:p>
    <w:p w14:paraId="78006713" w14:textId="77777777" w:rsidR="00336201" w:rsidRPr="00ED4D0E" w:rsidRDefault="00336201" w:rsidP="008002E6">
      <w:pPr>
        <w:bidi/>
        <w:spacing w:before="40" w:after="40"/>
        <w:ind w:left="1134"/>
        <w:jc w:val="left"/>
        <w:rPr>
          <w:lang w:val="fr-FR"/>
        </w:rPr>
      </w:pPr>
      <w:r w:rsidRPr="00ED4D0E">
        <w:rPr>
          <w:rtl/>
        </w:rPr>
        <w:t>شارلوتا سوركفيست (السويد)</w:t>
      </w:r>
    </w:p>
    <w:p w14:paraId="427F3B1D" w14:textId="77777777" w:rsidR="00336201" w:rsidRPr="00ED4D0E" w:rsidRDefault="00336201" w:rsidP="008002E6">
      <w:pPr>
        <w:bidi/>
        <w:spacing w:before="40" w:after="40"/>
        <w:ind w:left="1134"/>
        <w:jc w:val="left"/>
        <w:rPr>
          <w:lang w:val="fr-FR"/>
        </w:rPr>
      </w:pPr>
      <w:r w:rsidRPr="00ED4D0E">
        <w:rPr>
          <w:rtl/>
        </w:rPr>
        <w:t>هولي كيلي-ويل (المملكة المتحدة)</w:t>
      </w:r>
    </w:p>
    <w:p w14:paraId="6848FC61" w14:textId="08F5C3BA" w:rsidR="0013280B" w:rsidRPr="00ED4D0E" w:rsidRDefault="00336201"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rPr>
          <w:color w:val="000000" w:themeColor="text1"/>
          <w:lang w:val="fr-FR"/>
        </w:rPr>
      </w:pPr>
      <w:r w:rsidRPr="00ED4D0E">
        <w:rPr>
          <w:rFonts w:hint="cs"/>
          <w:color w:val="000000" w:themeColor="text1"/>
          <w:rtl/>
        </w:rPr>
        <w:t>و</w:t>
      </w:r>
      <w:r w:rsidRPr="00ED4D0E">
        <w:rPr>
          <w:color w:val="000000" w:themeColor="text1"/>
          <w:rtl/>
        </w:rPr>
        <w:t xml:space="preserve">في جلسته العامة الرابعة، </w:t>
      </w:r>
      <w:r w:rsidRPr="00ED4D0E">
        <w:rPr>
          <w:rFonts w:hint="cs"/>
          <w:color w:val="000000" w:themeColor="text1"/>
          <w:rtl/>
        </w:rPr>
        <w:t>المعقودة</w:t>
      </w:r>
      <w:r w:rsidRPr="00ED4D0E">
        <w:rPr>
          <w:color w:val="000000" w:themeColor="text1"/>
          <w:rtl/>
        </w:rPr>
        <w:t xml:space="preserve"> في 28 </w:t>
      </w:r>
      <w:r w:rsidR="007F13C5" w:rsidRPr="00ED4D0E">
        <w:rPr>
          <w:rFonts w:hint="cs"/>
          <w:color w:val="000000" w:themeColor="text1"/>
          <w:rtl/>
        </w:rPr>
        <w:t>أكتوبر/</w:t>
      </w:r>
      <w:r w:rsidRPr="00ED4D0E">
        <w:rPr>
          <w:color w:val="000000" w:themeColor="text1"/>
          <w:rtl/>
        </w:rPr>
        <w:t xml:space="preserve">تشرين الأول، أحيط مؤتمر الأطراف العامل </w:t>
      </w:r>
      <w:r w:rsidR="007F13C5" w:rsidRPr="00ED4D0E">
        <w:rPr>
          <w:rFonts w:hint="cs"/>
          <w:color w:val="000000" w:themeColor="text1"/>
          <w:rtl/>
        </w:rPr>
        <w:t>ك</w:t>
      </w:r>
      <w:r w:rsidRPr="00ED4D0E">
        <w:rPr>
          <w:color w:val="000000" w:themeColor="text1"/>
          <w:rtl/>
        </w:rPr>
        <w:t xml:space="preserve">اجتماع </w:t>
      </w:r>
      <w:r w:rsidR="007F13C5" w:rsidRPr="00ED4D0E">
        <w:rPr>
          <w:rFonts w:hint="cs"/>
          <w:color w:val="000000" w:themeColor="text1"/>
          <w:rtl/>
        </w:rPr>
        <w:t>ل</w:t>
      </w:r>
      <w:r w:rsidRPr="00ED4D0E">
        <w:rPr>
          <w:color w:val="000000" w:themeColor="text1"/>
          <w:rtl/>
        </w:rPr>
        <w:t>لأطراف علما بأن جميع المنتخبين يمثلون أطرافا في الاتفاقية وهي في الوقت ذاته أطراف في بروتوكول قرطاجنة؛</w:t>
      </w:r>
      <w:r w:rsidR="007F13C5" w:rsidRPr="00ED4D0E">
        <w:rPr>
          <w:rFonts w:hint="cs"/>
          <w:color w:val="000000" w:themeColor="text1"/>
          <w:rtl/>
        </w:rPr>
        <w:t>،</w:t>
      </w:r>
      <w:r w:rsidRPr="00ED4D0E">
        <w:rPr>
          <w:color w:val="000000" w:themeColor="text1"/>
          <w:rtl/>
        </w:rPr>
        <w:t xml:space="preserve"> </w:t>
      </w:r>
      <w:r w:rsidR="007F13C5" w:rsidRPr="00ED4D0E">
        <w:rPr>
          <w:rFonts w:hint="cs"/>
          <w:color w:val="000000" w:themeColor="text1"/>
          <w:rtl/>
        </w:rPr>
        <w:t>وبالتالي</w:t>
      </w:r>
      <w:r w:rsidRPr="00ED4D0E">
        <w:rPr>
          <w:color w:val="000000" w:themeColor="text1"/>
          <w:rtl/>
        </w:rPr>
        <w:t xml:space="preserve">، لم تكن هناك حاجة </w:t>
      </w:r>
      <w:r w:rsidR="007F13C5" w:rsidRPr="00ED4D0E">
        <w:rPr>
          <w:rFonts w:hint="cs"/>
          <w:color w:val="000000" w:themeColor="text1"/>
          <w:rtl/>
        </w:rPr>
        <w:t xml:space="preserve">إلى </w:t>
      </w:r>
      <w:r w:rsidRPr="00ED4D0E">
        <w:rPr>
          <w:color w:val="000000" w:themeColor="text1"/>
          <w:rtl/>
        </w:rPr>
        <w:t xml:space="preserve">انتخاب أعضاء بدلاء لمكتب مؤتمر الأطراف العامل </w:t>
      </w:r>
      <w:r w:rsidR="007F13C5" w:rsidRPr="00ED4D0E">
        <w:rPr>
          <w:rFonts w:hint="cs"/>
          <w:color w:val="000000" w:themeColor="text1"/>
          <w:rtl/>
        </w:rPr>
        <w:t>ك</w:t>
      </w:r>
      <w:r w:rsidRPr="00ED4D0E">
        <w:rPr>
          <w:color w:val="000000" w:themeColor="text1"/>
          <w:rtl/>
        </w:rPr>
        <w:t xml:space="preserve">اجتماع </w:t>
      </w:r>
      <w:r w:rsidR="007F13C5" w:rsidRPr="00ED4D0E">
        <w:rPr>
          <w:rFonts w:hint="cs"/>
          <w:color w:val="000000" w:themeColor="text1"/>
          <w:rtl/>
        </w:rPr>
        <w:t>ل</w:t>
      </w:r>
      <w:r w:rsidRPr="00ED4D0E">
        <w:rPr>
          <w:color w:val="000000" w:themeColor="text1"/>
          <w:rtl/>
        </w:rPr>
        <w:t>لأطراف في البروتوكول.</w:t>
      </w:r>
    </w:p>
    <w:p w14:paraId="642DCFFB" w14:textId="51345BB5" w:rsidR="00785334" w:rsidRPr="00ED4D0E" w:rsidRDefault="00785334" w:rsidP="008002E6">
      <w:pPr>
        <w:pStyle w:val="CBDAgendaItem"/>
        <w:bidi/>
        <w:rPr>
          <w:rFonts w:ascii="Times New Roman" w:hAnsi="Times New Roman" w:cs="Times New Roman"/>
          <w:b w:val="0"/>
          <w:i/>
          <w:sz w:val="22"/>
        </w:rPr>
      </w:pPr>
      <w:r w:rsidRPr="00ED4D0E">
        <w:rPr>
          <w:b w:val="0"/>
          <w:bCs w:val="0"/>
          <w:i/>
          <w:iCs/>
          <w:sz w:val="22"/>
          <w:szCs w:val="24"/>
          <w:rtl/>
        </w:rPr>
        <w:t>إقرار جدول الأعمال وتنظيم العمل</w:t>
      </w:r>
    </w:p>
    <w:p w14:paraId="09F3863B" w14:textId="7219C02F" w:rsidR="00177AF2" w:rsidRPr="00ED4D0E" w:rsidRDefault="00177AF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rPr>
          <w:rFonts w:eastAsia="Calibri"/>
        </w:rPr>
      </w:pPr>
      <w:r w:rsidRPr="00ED4D0E">
        <w:rPr>
          <w:rtl/>
        </w:rPr>
        <w:t xml:space="preserve">أقر </w:t>
      </w:r>
      <w:r w:rsidRPr="00ED4D0E">
        <w:rPr>
          <w:color w:val="000000" w:themeColor="text1"/>
          <w:rtl/>
        </w:rPr>
        <w:t>مؤتمر</w:t>
      </w:r>
      <w:r w:rsidRPr="00ED4D0E">
        <w:rPr>
          <w:rtl/>
        </w:rPr>
        <w:t xml:space="preserve"> الأطراف العامل كاجتماع </w:t>
      </w:r>
      <w:r w:rsidRPr="00ED4D0E">
        <w:rPr>
          <w:color w:val="000000" w:themeColor="text1"/>
          <w:rtl/>
        </w:rPr>
        <w:t>للأطراف</w:t>
      </w:r>
      <w:r w:rsidRPr="00ED4D0E">
        <w:rPr>
          <w:rtl/>
        </w:rPr>
        <w:t xml:space="preserve"> في بروتوكول قرطاجنة جدول الأعمال التالي على أساس جدول الأعمال المؤقت الذي أعدته الأمانة بالتشاور مع المكتب:</w:t>
      </w:r>
    </w:p>
    <w:p w14:paraId="77111B14"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w:t>
      </w:r>
      <w:r w:rsidRPr="00ED4D0E">
        <w:tab/>
      </w:r>
      <w:r w:rsidRPr="00ED4D0E">
        <w:rPr>
          <w:rtl/>
        </w:rPr>
        <w:t>افتتاح الاجتماع.</w:t>
      </w:r>
    </w:p>
    <w:p w14:paraId="6648B2E4"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2-</w:t>
      </w:r>
      <w:r w:rsidRPr="00ED4D0E">
        <w:tab/>
      </w:r>
      <w:r w:rsidRPr="00ED4D0E">
        <w:rPr>
          <w:rtl/>
        </w:rPr>
        <w:t>المسائل التنظيمية.</w:t>
      </w:r>
    </w:p>
    <w:p w14:paraId="0E03D2F0" w14:textId="74B73BA8"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3-</w:t>
      </w:r>
      <w:r w:rsidR="00D54FC4" w:rsidRPr="00ED4D0E">
        <w:rPr>
          <w:rtl/>
        </w:rPr>
        <w:tab/>
      </w:r>
      <w:r w:rsidRPr="00ED4D0E">
        <w:rPr>
          <w:rtl/>
        </w:rPr>
        <w:t>تقرير عن وثائق تفويض الممثلين إلى الاجتماع الثاني عشر لمؤتمر الأطراف العامل كاجتماع للأطراف في بروتوكول قرطاجنة.</w:t>
      </w:r>
    </w:p>
    <w:p w14:paraId="43BFE933"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4-</w:t>
      </w:r>
      <w:r w:rsidRPr="00ED4D0E">
        <w:tab/>
      </w:r>
      <w:r w:rsidRPr="00ED4D0E">
        <w:rPr>
          <w:rtl/>
        </w:rPr>
        <w:t>تقريرا الهيئتين الفرعيتين.</w:t>
      </w:r>
    </w:p>
    <w:p w14:paraId="34622338"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5-</w:t>
      </w:r>
      <w:r w:rsidRPr="00ED4D0E">
        <w:tab/>
      </w:r>
      <w:r w:rsidRPr="00ED4D0E">
        <w:rPr>
          <w:rtl/>
        </w:rPr>
        <w:t>تقرير لجنة الامتثال.</w:t>
      </w:r>
    </w:p>
    <w:p w14:paraId="33EDDF14"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6-</w:t>
      </w:r>
      <w:r w:rsidRPr="00ED4D0E">
        <w:tab/>
      </w:r>
      <w:r w:rsidRPr="00ED4D0E">
        <w:rPr>
          <w:rtl/>
        </w:rPr>
        <w:t>إدارة شؤون بروتوكول قرطاجنة وميزانية الصناديق الاستئمانية.</w:t>
      </w:r>
    </w:p>
    <w:p w14:paraId="4793E3E6"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7-</w:t>
      </w:r>
      <w:r w:rsidRPr="00ED4D0E">
        <w:tab/>
      </w:r>
      <w:r w:rsidRPr="00ED4D0E">
        <w:rPr>
          <w:rtl/>
        </w:rPr>
        <w:t>الرصد والإبلاغ.</w:t>
      </w:r>
    </w:p>
    <w:p w14:paraId="0F9ABC09"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8-</w:t>
      </w:r>
      <w:r w:rsidRPr="00ED4D0E">
        <w:tab/>
      </w:r>
      <w:r w:rsidRPr="00ED4D0E">
        <w:rPr>
          <w:rtl/>
        </w:rPr>
        <w:t>تقييم واستعراض فعالية بروتوكول قرطاجنة وتقييم منتصف المدة لخطة التنفيذ وخطة عمل بناء القدرات الخاصتين بالبروتوكول.</w:t>
      </w:r>
    </w:p>
    <w:p w14:paraId="3E2C51B4"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9-</w:t>
      </w:r>
      <w:r w:rsidRPr="00ED4D0E">
        <w:tab/>
      </w:r>
      <w:r w:rsidRPr="00ED4D0E">
        <w:rPr>
          <w:rtl/>
        </w:rPr>
        <w:t>المسائل المتعلقة بالآلية المالية والموارد المالية.</w:t>
      </w:r>
    </w:p>
    <w:p w14:paraId="45473537"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10-</w:t>
      </w:r>
      <w:r w:rsidRPr="00ED4D0E">
        <w:tab/>
      </w:r>
      <w:r w:rsidRPr="00ED4D0E">
        <w:rPr>
          <w:rtl/>
        </w:rPr>
        <w:t>تشغيل غرفة تبادل معلومات السلامة الأحيائية وأنشطتها.</w:t>
      </w:r>
    </w:p>
    <w:p w14:paraId="57D15C1D"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11-</w:t>
      </w:r>
      <w:r w:rsidRPr="00ED4D0E">
        <w:tab/>
      </w:r>
      <w:r w:rsidRPr="00ED4D0E">
        <w:rPr>
          <w:rtl/>
        </w:rPr>
        <w:t>التعاون مع المنظمات الدولية والهيئات المنشأة بموجب الاتفاقيات الأخرى، والمبادرات.</w:t>
      </w:r>
    </w:p>
    <w:p w14:paraId="15C7BC46"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12-</w:t>
      </w:r>
      <w:r w:rsidRPr="00ED4D0E">
        <w:tab/>
      </w:r>
      <w:r w:rsidRPr="00ED4D0E">
        <w:rPr>
          <w:rtl/>
        </w:rPr>
        <w:t>استعراض فعالية العمليات بموجب اتفاقية التنوع البيولوجي وبروتوكوليها.</w:t>
      </w:r>
    </w:p>
    <w:p w14:paraId="2A8E86F3"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13-</w:t>
      </w:r>
      <w:r w:rsidRPr="00ED4D0E">
        <w:tab/>
      </w:r>
      <w:r w:rsidRPr="00ED4D0E">
        <w:rPr>
          <w:rtl/>
        </w:rPr>
        <w:t>تقييم وإدارة مخاطر الكائنات الحية المحورة.</w:t>
      </w:r>
    </w:p>
    <w:p w14:paraId="38DBD0A0"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14-</w:t>
      </w:r>
      <w:r w:rsidRPr="00ED4D0E">
        <w:tab/>
      </w:r>
      <w:r w:rsidRPr="00ED4D0E">
        <w:rPr>
          <w:rtl/>
        </w:rPr>
        <w:t>الكشف عن الكائنات الحية المحورة وتحديد هويتها.</w:t>
      </w:r>
    </w:p>
    <w:p w14:paraId="63DF5461"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15-</w:t>
      </w:r>
      <w:r w:rsidRPr="00ED4D0E">
        <w:tab/>
      </w:r>
      <w:r w:rsidRPr="00ED4D0E">
        <w:rPr>
          <w:rtl/>
        </w:rPr>
        <w:t>الاعتبارات الاجتماعية الاقتصادية.</w:t>
      </w:r>
    </w:p>
    <w:p w14:paraId="09B4E74E"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lastRenderedPageBreak/>
        <w:t>16-</w:t>
      </w:r>
      <w:r w:rsidRPr="00ED4D0E">
        <w:tab/>
      </w:r>
      <w:r w:rsidRPr="00ED4D0E">
        <w:rPr>
          <w:rtl/>
        </w:rPr>
        <w:t>التشريعات واللوائح والمبادئ التوجيهية الوطنية بشأن التطورات الجديدة في مجال التكنولوجيا الحيوية الحديثة.</w:t>
      </w:r>
    </w:p>
    <w:p w14:paraId="7C1A5B8C"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17-</w:t>
      </w:r>
      <w:r w:rsidRPr="00ED4D0E">
        <w:tab/>
      </w:r>
      <w:r w:rsidRPr="00ED4D0E">
        <w:rPr>
          <w:rtl/>
        </w:rPr>
        <w:t>بروتوكول ناغويا-كوالالمبور التكميلي بشأن المسؤولية والجبر التعويضي.</w:t>
      </w:r>
    </w:p>
    <w:p w14:paraId="1A36FD40"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18-</w:t>
      </w:r>
      <w:r w:rsidRPr="00ED4D0E">
        <w:tab/>
      </w:r>
      <w:r w:rsidRPr="00ED4D0E">
        <w:rPr>
          <w:rtl/>
        </w:rPr>
        <w:t>مسائل أخرى.</w:t>
      </w:r>
    </w:p>
    <w:p w14:paraId="4A9E4F99" w14:textId="77777777"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19-</w:t>
      </w:r>
      <w:r w:rsidRPr="00ED4D0E">
        <w:tab/>
      </w:r>
      <w:r w:rsidRPr="00ED4D0E">
        <w:rPr>
          <w:rtl/>
        </w:rPr>
        <w:t>اعتماد التقرير.</w:t>
      </w:r>
    </w:p>
    <w:p w14:paraId="5E712C05" w14:textId="0639B2BE" w:rsidR="00177AF2" w:rsidRPr="00ED4D0E" w:rsidRDefault="00177AF2" w:rsidP="008002E6">
      <w:pPr>
        <w:pStyle w:val="CBDagendaItem0"/>
        <w:numPr>
          <w:ilvl w:val="0"/>
          <w:numId w:val="0"/>
        </w:numPr>
        <w:tabs>
          <w:tab w:val="clear" w:pos="567"/>
          <w:tab w:val="clear" w:pos="1701"/>
          <w:tab w:val="clear" w:pos="2268"/>
          <w:tab w:val="right" w:pos="1890"/>
          <w:tab w:val="left" w:pos="2610"/>
          <w:tab w:val="right" w:pos="2700"/>
        </w:tabs>
        <w:bidi/>
        <w:ind w:left="2340" w:hanging="630"/>
        <w:jc w:val="left"/>
      </w:pPr>
      <w:r w:rsidRPr="00ED4D0E">
        <w:rPr>
          <w:rtl/>
        </w:rPr>
        <w:t>20-</w:t>
      </w:r>
      <w:r w:rsidRPr="00ED4D0E">
        <w:tab/>
      </w:r>
      <w:r w:rsidRPr="00ED4D0E">
        <w:rPr>
          <w:rtl/>
        </w:rPr>
        <w:t>اختتام الاجتماع.</w:t>
      </w:r>
    </w:p>
    <w:p w14:paraId="768E5FBB" w14:textId="77777777" w:rsidR="00D1790C" w:rsidRPr="00ED4D0E" w:rsidRDefault="00D1790C" w:rsidP="008002E6">
      <w:pPr>
        <w:pStyle w:val="CBDNormalNoNumber"/>
        <w:keepNext/>
        <w:bidi/>
        <w:rPr>
          <w:i/>
          <w:iCs/>
          <w:snapToGrid w:val="0"/>
        </w:rPr>
      </w:pPr>
      <w:r w:rsidRPr="00ED4D0E">
        <w:rPr>
          <w:i/>
          <w:iCs/>
          <w:snapToGrid w:val="0"/>
          <w:rtl/>
        </w:rPr>
        <w:t>تنظيم العمل</w:t>
      </w:r>
    </w:p>
    <w:p w14:paraId="4EFB84F0" w14:textId="27C5EFA7" w:rsidR="00D1790C" w:rsidRPr="00ED4D0E" w:rsidRDefault="000E1A6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rPr>
          <w:rFonts w:eastAsia="Batang"/>
          <w:lang w:eastAsia="ja-JP"/>
        </w:rPr>
      </w:pPr>
      <w:r w:rsidRPr="00ED4D0E">
        <w:rPr>
          <w:color w:val="000000" w:themeColor="text1"/>
          <w:rtl/>
        </w:rPr>
        <w:t xml:space="preserve">اتفق مؤتمر الأطراف </w:t>
      </w:r>
      <w:r w:rsidRPr="00ED4D0E">
        <w:rPr>
          <w:rtl/>
        </w:rPr>
        <w:t>العامل</w:t>
      </w:r>
      <w:r w:rsidRPr="00ED4D0E">
        <w:rPr>
          <w:color w:val="000000" w:themeColor="text1"/>
          <w:rtl/>
        </w:rPr>
        <w:t xml:space="preserve"> كاجتماع للأطراف في بروتوكول قرطاجنة على تنظيم أعماله على النحو المبين في المرفق الثالث لمذكرة السيناريوهات وعلى إنشاء فريقين عاملين. وتقرر أن يرأس الفريق العامل الأول غوت هانسن (النرويج) وأن يرأس الفريق العامل الثاني إسيكيو بينيتيس دياس (المكسيك).</w:t>
      </w:r>
    </w:p>
    <w:p w14:paraId="4766FBFD" w14:textId="563F54D6" w:rsidR="009133DA" w:rsidRPr="00ED4D0E" w:rsidRDefault="00090291" w:rsidP="008002E6">
      <w:pPr>
        <w:pStyle w:val="CBDNormalNoNumber"/>
        <w:keepNext/>
        <w:bidi/>
        <w:ind w:left="562"/>
        <w:rPr>
          <w:i/>
          <w:iCs/>
          <w:snapToGrid w:val="0"/>
        </w:rPr>
      </w:pPr>
      <w:r w:rsidRPr="00ED4D0E">
        <w:rPr>
          <w:rFonts w:hint="cs"/>
          <w:i/>
          <w:iCs/>
          <w:snapToGrid w:val="0"/>
          <w:rtl/>
        </w:rPr>
        <w:t>أ</w:t>
      </w:r>
      <w:r w:rsidR="009133DA" w:rsidRPr="00ED4D0E">
        <w:rPr>
          <w:i/>
          <w:iCs/>
          <w:snapToGrid w:val="0"/>
          <w:rtl/>
        </w:rPr>
        <w:t>عم</w:t>
      </w:r>
      <w:r w:rsidRPr="00ED4D0E">
        <w:rPr>
          <w:rFonts w:hint="cs"/>
          <w:i/>
          <w:iCs/>
          <w:snapToGrid w:val="0"/>
          <w:rtl/>
        </w:rPr>
        <w:t>ا</w:t>
      </w:r>
      <w:r w:rsidR="009133DA" w:rsidRPr="00ED4D0E">
        <w:rPr>
          <w:i/>
          <w:iCs/>
          <w:snapToGrid w:val="0"/>
          <w:rtl/>
        </w:rPr>
        <w:t>ل الفريقين العاملين أثناء الدورة</w:t>
      </w:r>
    </w:p>
    <w:p w14:paraId="54DDE230" w14:textId="1CA8F034" w:rsidR="009133DA" w:rsidRPr="00ED4D0E" w:rsidRDefault="009133DA"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w:t>
      </w:r>
      <w:r w:rsidRPr="00ED4D0E">
        <w:rPr>
          <w:color w:val="000000" w:themeColor="text1"/>
          <w:rtl/>
        </w:rPr>
        <w:t>يستكمل</w:t>
      </w:r>
      <w:r w:rsidRPr="00ED4D0E">
        <w:rPr>
          <w:rtl/>
        </w:rPr>
        <w:t xml:space="preserve"> </w:t>
      </w:r>
      <w:r w:rsidRPr="00ED4D0E">
        <w:rPr>
          <w:color w:val="000000" w:themeColor="text1"/>
          <w:rtl/>
        </w:rPr>
        <w:t>فيما</w:t>
      </w:r>
      <w:r w:rsidRPr="00ED4D0E">
        <w:rPr>
          <w:rtl/>
        </w:rPr>
        <w:t xml:space="preserve"> بعد]</w:t>
      </w:r>
    </w:p>
    <w:p w14:paraId="5F3B3E00" w14:textId="114225FD" w:rsidR="009133DA" w:rsidRPr="00ED4D0E" w:rsidRDefault="00090291" w:rsidP="008002E6">
      <w:pPr>
        <w:pStyle w:val="CBDNormalNumber"/>
        <w:keepNext/>
        <w:numPr>
          <w:ilvl w:val="0"/>
          <w:numId w:val="0"/>
        </w:numPr>
        <w:bidi/>
        <w:ind w:left="567"/>
        <w:rPr>
          <w:rFonts w:eastAsia="Batang"/>
          <w:i/>
          <w:iCs/>
          <w:lang w:eastAsia="ja-JP"/>
        </w:rPr>
      </w:pPr>
      <w:r w:rsidRPr="00ED4D0E">
        <w:rPr>
          <w:i/>
          <w:iCs/>
          <w:rtl/>
        </w:rPr>
        <w:t>الجلسة الأولى لتقييم التقدم المحرز</w:t>
      </w:r>
    </w:p>
    <w:p w14:paraId="7EC67BC9" w14:textId="6635CD6C" w:rsidR="009133DA" w:rsidRPr="00ED4D0E" w:rsidRDefault="00336201"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Fonts w:hint="cs"/>
          <w:rtl/>
        </w:rPr>
        <w:t xml:space="preserve">عملت </w:t>
      </w:r>
      <w:r w:rsidRPr="00ED4D0E">
        <w:rPr>
          <w:rtl/>
        </w:rPr>
        <w:t xml:space="preserve">الجلسة العامة الثالثة لمؤتمر الأطراف العامل </w:t>
      </w:r>
      <w:r w:rsidRPr="00ED4D0E">
        <w:rPr>
          <w:rFonts w:hint="cs"/>
          <w:rtl/>
        </w:rPr>
        <w:t>ك</w:t>
      </w:r>
      <w:r w:rsidRPr="00ED4D0E">
        <w:rPr>
          <w:rtl/>
        </w:rPr>
        <w:t xml:space="preserve">اجتماع للأطراف في بروتوكول قرطاجنة، </w:t>
      </w:r>
      <w:r w:rsidRPr="00ED4D0E">
        <w:rPr>
          <w:rFonts w:hint="cs"/>
          <w:rtl/>
        </w:rPr>
        <w:t>المعقودة</w:t>
      </w:r>
      <w:r w:rsidRPr="00ED4D0E">
        <w:rPr>
          <w:rtl/>
        </w:rPr>
        <w:t xml:space="preserve"> في 23 </w:t>
      </w:r>
      <w:r w:rsidRPr="00ED4D0E">
        <w:rPr>
          <w:rFonts w:hint="cs"/>
          <w:rtl/>
        </w:rPr>
        <w:t>أكتوبر/</w:t>
      </w:r>
      <w:r w:rsidRPr="00ED4D0E">
        <w:rPr>
          <w:rtl/>
        </w:rPr>
        <w:t xml:space="preserve">تشرين الأول، </w:t>
      </w:r>
      <w:r w:rsidR="00C93B78" w:rsidRPr="00ED4D0E">
        <w:rPr>
          <w:rFonts w:hint="cs"/>
          <w:rtl/>
        </w:rPr>
        <w:t>في جزء منها كجلسة تقييم عُقدت بالاشتراك</w:t>
      </w:r>
      <w:r w:rsidRPr="00ED4D0E">
        <w:rPr>
          <w:rtl/>
        </w:rPr>
        <w:t xml:space="preserve"> مع مؤتمر الأطراف في الاتفاقية، ومؤتمر الأطراف العامل </w:t>
      </w:r>
      <w:r w:rsidR="00C93B78" w:rsidRPr="00ED4D0E">
        <w:rPr>
          <w:rFonts w:hint="cs"/>
          <w:rtl/>
        </w:rPr>
        <w:t>ك</w:t>
      </w:r>
      <w:r w:rsidRPr="00ED4D0E">
        <w:rPr>
          <w:rtl/>
        </w:rPr>
        <w:t xml:space="preserve">اجتماع للأطراف في بروتوكول ناغويا. وخلال جلسة </w:t>
      </w:r>
      <w:r w:rsidR="00C93B78" w:rsidRPr="00ED4D0E">
        <w:rPr>
          <w:rFonts w:hint="cs"/>
          <w:rtl/>
        </w:rPr>
        <w:t>التقييم</w:t>
      </w:r>
      <w:r w:rsidRPr="00ED4D0E">
        <w:rPr>
          <w:rtl/>
        </w:rPr>
        <w:t xml:space="preserve">، قدم رؤساء الفريق العامل الأول والفريق العامل الثاني وفريق الاتصال المعني بمسائل الميزانية، تقارير </w:t>
      </w:r>
      <w:r w:rsidR="00C93B78" w:rsidRPr="00ED4D0E">
        <w:rPr>
          <w:rFonts w:hint="cs"/>
          <w:rtl/>
        </w:rPr>
        <w:t>عن</w:t>
      </w:r>
      <w:r w:rsidRPr="00ED4D0E">
        <w:rPr>
          <w:rtl/>
        </w:rPr>
        <w:t xml:space="preserve"> التقدم </w:t>
      </w:r>
      <w:r w:rsidR="00C93B78" w:rsidRPr="00ED4D0E">
        <w:rPr>
          <w:rFonts w:hint="cs"/>
          <w:rtl/>
        </w:rPr>
        <w:t>المحرز</w:t>
      </w:r>
      <w:r w:rsidRPr="00ED4D0E">
        <w:rPr>
          <w:rtl/>
        </w:rPr>
        <w:t xml:space="preserve"> حتى ذلك التاريخ.</w:t>
      </w:r>
    </w:p>
    <w:p w14:paraId="1F87BC8B" w14:textId="6664B370" w:rsidR="009133DA" w:rsidRPr="00ED4D0E" w:rsidRDefault="00090291" w:rsidP="008002E6">
      <w:pPr>
        <w:pStyle w:val="CBDNormalNumber"/>
        <w:keepNext/>
        <w:numPr>
          <w:ilvl w:val="0"/>
          <w:numId w:val="0"/>
        </w:numPr>
        <w:bidi/>
        <w:ind w:left="567"/>
        <w:rPr>
          <w:rFonts w:eastAsia="Batang"/>
          <w:i/>
          <w:iCs/>
          <w:lang w:eastAsia="ja-JP"/>
        </w:rPr>
      </w:pPr>
      <w:r w:rsidRPr="00ED4D0E">
        <w:rPr>
          <w:i/>
          <w:iCs/>
          <w:rtl/>
        </w:rPr>
        <w:t xml:space="preserve">الجلسة </w:t>
      </w:r>
      <w:r w:rsidRPr="00ED4D0E">
        <w:rPr>
          <w:rFonts w:hint="cs"/>
          <w:i/>
          <w:iCs/>
          <w:rtl/>
        </w:rPr>
        <w:t>الثانية</w:t>
      </w:r>
      <w:r w:rsidRPr="00ED4D0E">
        <w:rPr>
          <w:i/>
          <w:iCs/>
          <w:rtl/>
        </w:rPr>
        <w:t xml:space="preserve"> لتقييم التقدم المحرز</w:t>
      </w:r>
    </w:p>
    <w:p w14:paraId="5FE04C81" w14:textId="5963F945" w:rsidR="00C93B78" w:rsidRPr="00ED4D0E" w:rsidRDefault="00C93B7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Fonts w:hint="cs"/>
          <w:rtl/>
        </w:rPr>
        <w:t xml:space="preserve">عملت </w:t>
      </w:r>
      <w:r w:rsidRPr="00ED4D0E">
        <w:rPr>
          <w:rtl/>
        </w:rPr>
        <w:t xml:space="preserve">الجلسة العامة </w:t>
      </w:r>
      <w:r w:rsidRPr="00ED4D0E">
        <w:rPr>
          <w:rFonts w:hint="cs"/>
          <w:rtl/>
        </w:rPr>
        <w:t>الرابعة</w:t>
      </w:r>
      <w:r w:rsidRPr="00ED4D0E">
        <w:rPr>
          <w:rtl/>
        </w:rPr>
        <w:t xml:space="preserve"> لمؤتمر الأطراف العامل </w:t>
      </w:r>
      <w:r w:rsidRPr="00ED4D0E">
        <w:rPr>
          <w:rFonts w:hint="cs"/>
          <w:rtl/>
        </w:rPr>
        <w:t>ك</w:t>
      </w:r>
      <w:r w:rsidRPr="00ED4D0E">
        <w:rPr>
          <w:rtl/>
        </w:rPr>
        <w:t xml:space="preserve">اجتماع للأطراف في بروتوكول قرطاجنة، </w:t>
      </w:r>
      <w:r w:rsidRPr="00ED4D0E">
        <w:rPr>
          <w:rFonts w:hint="cs"/>
          <w:rtl/>
        </w:rPr>
        <w:t>المعقودة</w:t>
      </w:r>
      <w:r w:rsidRPr="00ED4D0E">
        <w:rPr>
          <w:rtl/>
        </w:rPr>
        <w:t xml:space="preserve"> في 23 </w:t>
      </w:r>
      <w:r w:rsidRPr="00ED4D0E">
        <w:rPr>
          <w:rFonts w:hint="cs"/>
          <w:rtl/>
        </w:rPr>
        <w:t>أكتوبر/</w:t>
      </w:r>
      <w:r w:rsidRPr="00ED4D0E">
        <w:rPr>
          <w:rtl/>
        </w:rPr>
        <w:t xml:space="preserve">تشرين الأول، </w:t>
      </w:r>
      <w:r w:rsidRPr="00ED4D0E">
        <w:rPr>
          <w:rFonts w:hint="cs"/>
          <w:rtl/>
        </w:rPr>
        <w:t>في جزء منها كجلسة تقييم عُقدت بالاشتراك</w:t>
      </w:r>
      <w:r w:rsidRPr="00ED4D0E">
        <w:rPr>
          <w:rtl/>
        </w:rPr>
        <w:t xml:space="preserve"> مع مؤتمر الأطراف في الاتفاقية، ومؤتمر الأطراف العامل </w:t>
      </w:r>
      <w:r w:rsidRPr="00ED4D0E">
        <w:rPr>
          <w:rFonts w:hint="cs"/>
          <w:rtl/>
        </w:rPr>
        <w:t>ك</w:t>
      </w:r>
      <w:r w:rsidRPr="00ED4D0E">
        <w:rPr>
          <w:rtl/>
        </w:rPr>
        <w:t>اجتماع للأطراف في بروتوكول ناغويا.</w:t>
      </w:r>
    </w:p>
    <w:p w14:paraId="3AE3DC63" w14:textId="733B5B4F" w:rsidR="00C93B78" w:rsidRPr="00ED4D0E" w:rsidRDefault="00C93B7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Fonts w:hint="cs"/>
          <w:rtl/>
        </w:rPr>
        <w:t>و</w:t>
      </w:r>
      <w:r w:rsidRPr="00ED4D0E">
        <w:rPr>
          <w:rtl/>
        </w:rPr>
        <w:t>استُهلت الجلسة بالوقوف دقيقة صمت حدادا على وفاة مارثا كنداوا-شولز (ناميبيا) في 23 أكتوبر/تشرين الأول في يريفان.</w:t>
      </w:r>
    </w:p>
    <w:p w14:paraId="3558D0FA" w14:textId="44641E2C" w:rsidR="009133DA" w:rsidRPr="00ED4D0E" w:rsidRDefault="00C93B7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وعقب عرض ثقافي قدمه </w:t>
      </w:r>
      <w:r w:rsidRPr="00ED4D0E">
        <w:rPr>
          <w:rFonts w:hint="cs"/>
          <w:rtl/>
        </w:rPr>
        <w:t>فريق</w:t>
      </w:r>
      <w:r w:rsidRPr="00ED4D0E">
        <w:rPr>
          <w:rtl/>
        </w:rPr>
        <w:t xml:space="preserve"> من سفراء التنوع البيولوجي الشباب من جنوب أفريقيا، استمع الممثلون إلى تقرير من الرئيس حول نتائج </w:t>
      </w:r>
      <w:r w:rsidRPr="00ED4D0E">
        <w:rPr>
          <w:rFonts w:hint="cs"/>
          <w:rtl/>
        </w:rPr>
        <w:t>الجزء ال</w:t>
      </w:r>
      <w:r w:rsidRPr="00ED4D0E">
        <w:rPr>
          <w:rtl/>
        </w:rPr>
        <w:t xml:space="preserve">رفيع المستوى، </w:t>
      </w:r>
      <w:r w:rsidRPr="00ED4D0E">
        <w:rPr>
          <w:rFonts w:hint="cs"/>
          <w:rtl/>
        </w:rPr>
        <w:t>فضلا عن</w:t>
      </w:r>
      <w:r w:rsidRPr="00ED4D0E">
        <w:rPr>
          <w:rtl/>
        </w:rPr>
        <w:t xml:space="preserve"> تقارير من رؤساء الفريق العامل الأول والفريق العامل الثاني وفريق الاتصال المعني بمسائل الميزانية، حول التقدم المحرز حتى الآن.</w:t>
      </w:r>
    </w:p>
    <w:p w14:paraId="68BCECF9" w14:textId="3FA583C9" w:rsidR="007C4951" w:rsidRPr="00ED4D0E" w:rsidRDefault="00A111D1" w:rsidP="008002E6">
      <w:pPr>
        <w:pStyle w:val="ListParagraph"/>
        <w:keepNext/>
        <w:keepLines/>
        <w:tabs>
          <w:tab w:val="clear" w:pos="567"/>
          <w:tab w:val="clear" w:pos="1134"/>
          <w:tab w:val="clear" w:pos="1701"/>
          <w:tab w:val="clear" w:pos="2268"/>
        </w:tabs>
        <w:bidi/>
        <w:spacing w:after="120" w:line="216" w:lineRule="auto"/>
        <w:ind w:left="0"/>
        <w:contextualSpacing w:val="0"/>
        <w:jc w:val="left"/>
        <w:rPr>
          <w:b/>
          <w:bCs/>
        </w:rPr>
      </w:pPr>
      <w:r w:rsidRPr="00ED4D0E">
        <w:rPr>
          <w:b/>
          <w:bCs/>
          <w:rtl/>
        </w:rPr>
        <w:lastRenderedPageBreak/>
        <w:t>البند 3</w:t>
      </w:r>
      <w:r w:rsidRPr="00ED4D0E">
        <w:rPr>
          <w:b/>
          <w:bCs/>
        </w:rPr>
        <w:br/>
      </w:r>
      <w:r w:rsidRPr="00ED4D0E">
        <w:rPr>
          <w:b/>
          <w:bCs/>
          <w:rtl/>
        </w:rPr>
        <w:t>تقرير عن وثائق تفويض الممثلين إلى الاجتماع الثاني عشر لمؤتمر الأطراف العامل كاجتماع للأطراف في بروتوكول قرطاجنة</w:t>
      </w:r>
    </w:p>
    <w:p w14:paraId="70C0629A" w14:textId="37489C6B" w:rsidR="007834B9" w:rsidRPr="00ED4D0E" w:rsidRDefault="007834B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نظر مؤتمر الأطراف العامل كاجتماع للأطراف في بروتوكول قرطاجنة في البند 3 من جدول الأعمال في جلسته العامة الأولى. وقد صدرت في إطار البند 3 وثيقة إعلامية عن قبول الهيئات والوكالات المؤهلة في الاجتماع السابع عشر لمؤتمر الأطراف والاجتماعات المتزامنة للأطراف في البروتوكولين.</w:t>
      </w:r>
      <w:r w:rsidRPr="00ED4D0E">
        <w:footnoteReference w:id="8"/>
      </w:r>
    </w:p>
    <w:p w14:paraId="4CA184E7" w14:textId="078D884A" w:rsidR="006E0F34" w:rsidRPr="00ED4D0E" w:rsidRDefault="00AA0FAA"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ولاحظ مؤتمر الأطراف العامل كاجتماع للأطراف في بروتوكول قرطاجنة أن المكتب قد استعرض، وفقا للمواد ذات الصلة من نظامه الداخلي، قائمة المراقبين المقبولين </w:t>
      </w:r>
      <w:r w:rsidR="0035462F" w:rsidRPr="00ED4D0E">
        <w:rPr>
          <w:rFonts w:hint="cs"/>
          <w:rtl/>
        </w:rPr>
        <w:t xml:space="preserve">للمشاركة </w:t>
      </w:r>
      <w:r w:rsidRPr="00ED4D0E">
        <w:rPr>
          <w:rtl/>
        </w:rPr>
        <w:t xml:space="preserve">في الاجتماع وأنه سيفحص وثائق تفويض الوفود ويقدم تقريرا عن ذلك في جلسة لاحقة. ولاحظ أيضا أن المكتب قد عيّن إلهام آتو محمد (ملديف) </w:t>
      </w:r>
      <w:r w:rsidR="0035462F" w:rsidRPr="00ED4D0E">
        <w:rPr>
          <w:rFonts w:hint="cs"/>
          <w:rtl/>
        </w:rPr>
        <w:t>ممثلة له</w:t>
      </w:r>
      <w:r w:rsidRPr="00ED4D0E">
        <w:rPr>
          <w:rtl/>
        </w:rPr>
        <w:t xml:space="preserve"> </w:t>
      </w:r>
      <w:r w:rsidR="0035462F" w:rsidRPr="00ED4D0E">
        <w:rPr>
          <w:rFonts w:hint="cs"/>
          <w:rtl/>
        </w:rPr>
        <w:t>لا</w:t>
      </w:r>
      <w:r w:rsidRPr="00ED4D0E">
        <w:rPr>
          <w:rtl/>
        </w:rPr>
        <w:t>ستعراض وثائق التفويض.</w:t>
      </w:r>
    </w:p>
    <w:p w14:paraId="7A49D6FD" w14:textId="77777777" w:rsidR="00C93B78"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وفي الجلسة العامة الثالثة، المعقودة في 23 أكتوبر/تشرين الأول، أفادت السيدة محمد بأن</w:t>
      </w:r>
      <w:r w:rsidR="00E33AD6" w:rsidRPr="00ED4D0E">
        <w:rPr>
          <w:rFonts w:hint="cs"/>
          <w:rtl/>
        </w:rPr>
        <w:t>ه قد جرى تسجيل</w:t>
      </w:r>
      <w:r w:rsidRPr="00ED4D0E">
        <w:rPr>
          <w:rtl/>
        </w:rPr>
        <w:t xml:space="preserve"> 154 طرفا في البروتوكول </w:t>
      </w:r>
      <w:r w:rsidR="00E33AD6" w:rsidRPr="00ED4D0E">
        <w:rPr>
          <w:rFonts w:hint="cs"/>
          <w:rtl/>
        </w:rPr>
        <w:t xml:space="preserve">لحضور </w:t>
      </w:r>
      <w:r w:rsidRPr="00ED4D0E">
        <w:rPr>
          <w:rtl/>
        </w:rPr>
        <w:t>الاجتماع. وقدم ممثلو 102 طرف</w:t>
      </w:r>
      <w:r w:rsidR="00E33AD6" w:rsidRPr="00ED4D0E">
        <w:rPr>
          <w:rFonts w:hint="cs"/>
          <w:rtl/>
        </w:rPr>
        <w:t>ا</w:t>
      </w:r>
      <w:r w:rsidRPr="00ED4D0E">
        <w:rPr>
          <w:rtl/>
        </w:rPr>
        <w:t xml:space="preserve"> مسجل</w:t>
      </w:r>
      <w:r w:rsidR="00E33AD6" w:rsidRPr="00ED4D0E">
        <w:rPr>
          <w:rFonts w:hint="cs"/>
          <w:rtl/>
        </w:rPr>
        <w:t>ا</w:t>
      </w:r>
      <w:r w:rsidRPr="00ED4D0E">
        <w:rPr>
          <w:rtl/>
        </w:rPr>
        <w:t xml:space="preserve"> وثائق تفويض تمتثل بشكل كامل للمادة 18 من النظام الداخلي، في حين قدم ممثلو 28 طرفا مسجلا وثائق تفويض لا تمتثل بشكل كامل</w:t>
      </w:r>
      <w:r w:rsidR="00E33AD6" w:rsidRPr="00ED4D0E">
        <w:rPr>
          <w:rFonts w:hint="cs"/>
          <w:rtl/>
        </w:rPr>
        <w:t xml:space="preserve"> لها</w:t>
      </w:r>
      <w:r w:rsidRPr="00ED4D0E">
        <w:rPr>
          <w:rtl/>
        </w:rPr>
        <w:t>. ولم يقدم</w:t>
      </w:r>
      <w:r w:rsidR="00E33AD6" w:rsidRPr="00ED4D0E">
        <w:rPr>
          <w:rFonts w:hint="cs"/>
          <w:rtl/>
        </w:rPr>
        <w:t xml:space="preserve"> بعد</w:t>
      </w:r>
      <w:r w:rsidRPr="00ED4D0E">
        <w:rPr>
          <w:rtl/>
        </w:rPr>
        <w:t xml:space="preserve"> ممثلو 24 طرفا مسجلا وثائق </w:t>
      </w:r>
      <w:r w:rsidR="00E33AD6" w:rsidRPr="00ED4D0E">
        <w:rPr>
          <w:rFonts w:hint="cs"/>
          <w:rtl/>
        </w:rPr>
        <w:t>ال</w:t>
      </w:r>
      <w:r w:rsidRPr="00ED4D0E">
        <w:rPr>
          <w:rtl/>
        </w:rPr>
        <w:t>تفويض</w:t>
      </w:r>
      <w:r w:rsidR="00E33AD6" w:rsidRPr="00ED4D0E">
        <w:rPr>
          <w:rFonts w:hint="cs"/>
          <w:rtl/>
        </w:rPr>
        <w:t xml:space="preserve"> الخاصة بهم</w:t>
      </w:r>
      <w:r w:rsidR="00C93B78" w:rsidRPr="00ED4D0E">
        <w:rPr>
          <w:rFonts w:hint="cs"/>
          <w:rtl/>
        </w:rPr>
        <w:t>.</w:t>
      </w:r>
    </w:p>
    <w:p w14:paraId="0B110010" w14:textId="3B75E03D" w:rsidR="006E0F34" w:rsidRPr="00ED4D0E" w:rsidRDefault="00C93B7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Fonts w:hint="cs"/>
          <w:rtl/>
        </w:rPr>
        <w:t>و</w:t>
      </w:r>
      <w:r w:rsidRPr="00ED4D0E">
        <w:rPr>
          <w:rtl/>
        </w:rPr>
        <w:t xml:space="preserve">في الجلسة العامة الرابعة، أفادت السيدة محمد بأن 161 طرفا في البروتوكول قد سُجّلت أسماؤهم كحاضرين في الاجتماع. وقدم ممثلو 115 طرفا مسجلا </w:t>
      </w:r>
      <w:r w:rsidRPr="00ED4D0E">
        <w:rPr>
          <w:rFonts w:hint="cs"/>
          <w:rtl/>
        </w:rPr>
        <w:t>وثائق تفويضهم</w:t>
      </w:r>
      <w:r w:rsidRPr="00ED4D0E">
        <w:rPr>
          <w:rtl/>
        </w:rPr>
        <w:t xml:space="preserve"> </w:t>
      </w:r>
      <w:r w:rsidRPr="00ED4D0E">
        <w:rPr>
          <w:rFonts w:hint="cs"/>
          <w:rtl/>
        </w:rPr>
        <w:t xml:space="preserve">في </w:t>
      </w:r>
      <w:r w:rsidRPr="00ED4D0E">
        <w:rPr>
          <w:rtl/>
        </w:rPr>
        <w:t xml:space="preserve">امتثال تام للمادة 18 من النظام الداخلي، في حين قدم ممثلو 26 طرفا مسجلا </w:t>
      </w:r>
      <w:r w:rsidRPr="00ED4D0E">
        <w:rPr>
          <w:rFonts w:hint="cs"/>
          <w:rtl/>
        </w:rPr>
        <w:t>وثائق تفويض غير ممتثلة امتثالا تاما</w:t>
      </w:r>
      <w:r w:rsidRPr="00ED4D0E">
        <w:rPr>
          <w:rtl/>
        </w:rPr>
        <w:t xml:space="preserve">. </w:t>
      </w:r>
      <w:r w:rsidRPr="00ED4D0E">
        <w:rPr>
          <w:rFonts w:hint="cs"/>
          <w:rtl/>
        </w:rPr>
        <w:t xml:space="preserve">ولم يقدم </w:t>
      </w:r>
      <w:r w:rsidRPr="00ED4D0E">
        <w:rPr>
          <w:rtl/>
        </w:rPr>
        <w:t>ممثلو 20 طرفا مسجلا</w:t>
      </w:r>
      <w:r w:rsidRPr="00ED4D0E">
        <w:rPr>
          <w:rFonts w:hint="cs"/>
          <w:rtl/>
        </w:rPr>
        <w:t xml:space="preserve"> </w:t>
      </w:r>
      <w:r w:rsidRPr="00ED4D0E">
        <w:rPr>
          <w:rtl/>
        </w:rPr>
        <w:t xml:space="preserve">، فلم يقدّموا </w:t>
      </w:r>
      <w:r w:rsidRPr="00ED4D0E">
        <w:rPr>
          <w:rFonts w:hint="cs"/>
          <w:rtl/>
        </w:rPr>
        <w:t>وثائق تفويض</w:t>
      </w:r>
      <w:r w:rsidRPr="00ED4D0E">
        <w:rPr>
          <w:rtl/>
        </w:rPr>
        <w:t xml:space="preserve">هم </w:t>
      </w:r>
      <w:r w:rsidRPr="00ED4D0E">
        <w:rPr>
          <w:rFonts w:hint="cs"/>
          <w:rtl/>
        </w:rPr>
        <w:t>حتى الآن</w:t>
      </w:r>
      <w:r w:rsidRPr="00ED4D0E">
        <w:rPr>
          <w:rtl/>
        </w:rPr>
        <w:t>.</w:t>
      </w:r>
    </w:p>
    <w:p w14:paraId="32DC01A5" w14:textId="6889F976" w:rsidR="00447F4A"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ab/>
      </w:r>
      <w:r w:rsidR="0050342F" w:rsidRPr="00ED4D0E">
        <w:rPr>
          <w:rtl/>
        </w:rPr>
        <w:t>[يستكمل فيما بعد]</w:t>
      </w:r>
    </w:p>
    <w:p w14:paraId="333FD460" w14:textId="77777777" w:rsidR="00E612A5" w:rsidRPr="00ED4D0E" w:rsidRDefault="00E612A5" w:rsidP="008002E6">
      <w:pPr>
        <w:pStyle w:val="ListParagraph"/>
        <w:keepNext/>
        <w:keepLines/>
        <w:tabs>
          <w:tab w:val="clear" w:pos="567"/>
          <w:tab w:val="clear" w:pos="1134"/>
          <w:tab w:val="clear" w:pos="1701"/>
          <w:tab w:val="clear" w:pos="2268"/>
        </w:tabs>
        <w:bidi/>
        <w:spacing w:after="120" w:line="216" w:lineRule="auto"/>
        <w:ind w:left="0"/>
        <w:contextualSpacing w:val="0"/>
        <w:jc w:val="left"/>
        <w:rPr>
          <w:b/>
          <w:bCs/>
        </w:rPr>
      </w:pPr>
      <w:r w:rsidRPr="00ED4D0E">
        <w:rPr>
          <w:b/>
          <w:bCs/>
          <w:rtl/>
        </w:rPr>
        <w:t>البند</w:t>
      </w:r>
      <w:r w:rsidRPr="00ED4D0E">
        <w:rPr>
          <w:rtl/>
        </w:rPr>
        <w:t xml:space="preserve"> 4</w:t>
      </w:r>
      <w:r w:rsidRPr="00ED4D0E">
        <w:br/>
      </w:r>
      <w:r w:rsidRPr="00ED4D0E">
        <w:rPr>
          <w:b/>
          <w:bCs/>
          <w:rtl/>
        </w:rPr>
        <w:t>تقريرا الهيئتين الفرعيتين</w:t>
      </w:r>
    </w:p>
    <w:p w14:paraId="4B93D323" w14:textId="494156DF" w:rsidR="00702238" w:rsidRPr="00ED4D0E" w:rsidRDefault="0070223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نظر مؤتمر الأطراف العامل كاجتماع للأطراف في بروتوكول قرطاجنة في البند 4 من جدول الأعمال في جلسته العامة الأولى. </w:t>
      </w:r>
      <w:r w:rsidR="0035462F" w:rsidRPr="00ED4D0E">
        <w:rPr>
          <w:rtl/>
        </w:rPr>
        <w:t>وقد عُرضت</w:t>
      </w:r>
      <w:r w:rsidR="0035462F" w:rsidRPr="00ED4D0E">
        <w:rPr>
          <w:rFonts w:hint="cs"/>
          <w:rtl/>
        </w:rPr>
        <w:t xml:space="preserve"> عليه </w:t>
      </w:r>
      <w:r w:rsidRPr="00ED4D0E">
        <w:rPr>
          <w:rtl/>
        </w:rPr>
        <w:t xml:space="preserve">التقارير </w:t>
      </w:r>
      <w:r w:rsidRPr="00ED4D0E">
        <w:rPr>
          <w:color w:val="000000" w:themeColor="text1"/>
          <w:rtl/>
        </w:rPr>
        <w:t>التالية</w:t>
      </w:r>
      <w:r w:rsidRPr="00ED4D0E">
        <w:rPr>
          <w:rtl/>
        </w:rPr>
        <w:t xml:space="preserve"> عن الأعمال المضطلع بها فيما بين الدورات من جانب هيئات شتى منذ اجتماعه الخامس: تقرير الهيئة الفرعية للمشورة العلمية والتقنية والتكنولوجية عن اجتماعها السابع والعشرين</w:t>
      </w:r>
      <w:r w:rsidRPr="00ED4D0E">
        <w:rPr>
          <w:rStyle w:val="FootnoteReference"/>
          <w:rFonts w:asciiTheme="majorBidi" w:eastAsia="MS Mincho" w:hAnsiTheme="majorBidi" w:cstheme="majorBidi"/>
          <w:color w:val="000000"/>
          <w:kern w:val="22"/>
        </w:rPr>
        <w:footnoteReference w:id="9"/>
      </w:r>
      <w:r w:rsidRPr="00ED4D0E">
        <w:rPr>
          <w:rtl/>
        </w:rPr>
        <w:t xml:space="preserve"> وتقريرا الهيئة الفرعية للتنفيذ عن اجتماعيها السادس والسابع.</w:t>
      </w:r>
      <w:r w:rsidRPr="00ED4D0E">
        <w:rPr>
          <w:iCs/>
          <w:vertAlign w:val="superscript"/>
        </w:rPr>
        <w:footnoteReference w:id="10"/>
      </w:r>
    </w:p>
    <w:p w14:paraId="0117C5ED" w14:textId="7E896527" w:rsidR="00702238" w:rsidRPr="00ED4D0E" w:rsidRDefault="0070223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واستمع مؤتمر الأطراف العامل كاجتماع للأطراف في بروتوكول قرطاجنة إلى تقارير شفوية قدمها رئيس الهيئة الفرعية للمشورة العلمية والتقنية والتكنولوجية، ومقرر الهيئة الفرعية للتنفيذ، وممثل عن رئيس الهيئة الفرعية المعنية بالمادة 8 (ي) وغيرها من أحكام اتفاقية التنوع البيولوجي ذات الصلة بالشعوب الأصلية والمجتمعات المحلية.</w:t>
      </w:r>
    </w:p>
    <w:p w14:paraId="0810D145" w14:textId="161C9FDD" w:rsidR="00702238" w:rsidRPr="00ED4D0E" w:rsidRDefault="0070223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lastRenderedPageBreak/>
        <w:t>وأحاط مؤتمر الأطراف العامل كاجتماع للأطراف في بروتوكول قرطاجنة علما بالمعلومات المقدمة واتفق على النظر في توصيات الهيئتين الفرعيتين في الفريقين العاملين، في إطار بنود جدول الأعمال ذات الصلة.</w:t>
      </w:r>
    </w:p>
    <w:p w14:paraId="3A92A30B" w14:textId="19C97B45" w:rsidR="00E612A5" w:rsidRPr="00ED4D0E" w:rsidRDefault="00E612A5" w:rsidP="008002E6">
      <w:pPr>
        <w:pStyle w:val="ListParagraph"/>
        <w:keepNext/>
        <w:keepLines/>
        <w:tabs>
          <w:tab w:val="clear" w:pos="567"/>
          <w:tab w:val="clear" w:pos="1134"/>
          <w:tab w:val="clear" w:pos="1701"/>
          <w:tab w:val="clear" w:pos="2268"/>
        </w:tabs>
        <w:bidi/>
        <w:spacing w:after="120" w:line="216" w:lineRule="auto"/>
        <w:ind w:left="0"/>
        <w:contextualSpacing w:val="0"/>
        <w:jc w:val="left"/>
        <w:rPr>
          <w:b/>
          <w:bCs/>
        </w:rPr>
      </w:pPr>
      <w:r w:rsidRPr="00ED4D0E">
        <w:rPr>
          <w:b/>
          <w:bCs/>
          <w:rtl/>
        </w:rPr>
        <w:t>البند 5</w:t>
      </w:r>
      <w:r w:rsidRPr="00ED4D0E">
        <w:rPr>
          <w:b/>
          <w:bCs/>
        </w:rPr>
        <w:br/>
      </w:r>
      <w:r w:rsidRPr="00ED4D0E">
        <w:rPr>
          <w:b/>
          <w:bCs/>
          <w:rtl/>
        </w:rPr>
        <w:t>تقرير لجنة الامتثال</w:t>
      </w:r>
    </w:p>
    <w:p w14:paraId="6DC65020" w14:textId="0C9C891E" w:rsidR="00F22085" w:rsidRPr="00ED4D0E" w:rsidRDefault="00F22085"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snapToGrid w:val="0"/>
          <w:rtl/>
        </w:rPr>
        <w:t>نظر مؤتمر الأطراف العامل كاجتماع للأطراف في بروتوكول قرطاجنة في البند 5 من جدول الأعمال في جلسته العامة الأولى. وكان معروضا عليه مشروع مقرر</w:t>
      </w:r>
      <w:r w:rsidRPr="00ED4D0E">
        <w:rPr>
          <w:rStyle w:val="FootnoteReference"/>
          <w:snapToGrid w:val="0"/>
        </w:rPr>
        <w:footnoteReference w:id="11"/>
      </w:r>
      <w:r w:rsidRPr="00ED4D0E">
        <w:rPr>
          <w:snapToGrid w:val="0"/>
          <w:rtl/>
        </w:rPr>
        <w:t xml:space="preserve"> وتقرير لجنة الامتثال بموجب بروتوكول قرطاجنة عن أعمال اجتماعيها العشرين والحادي والعشرين.</w:t>
      </w:r>
      <w:r w:rsidRPr="00ED4D0E">
        <w:rPr>
          <w:rStyle w:val="FootnoteReference"/>
          <w:snapToGrid w:val="0"/>
        </w:rPr>
        <w:footnoteReference w:id="12"/>
      </w:r>
    </w:p>
    <w:p w14:paraId="6BFCC93E" w14:textId="0CE516DE" w:rsidR="00F22085" w:rsidRPr="00ED4D0E" w:rsidRDefault="00F22085"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rPr>
          <w:snapToGrid w:val="0"/>
        </w:rPr>
      </w:pPr>
      <w:r w:rsidRPr="00ED4D0E">
        <w:rPr>
          <w:rtl/>
        </w:rPr>
        <w:t xml:space="preserve">وعرض رئيس لجنة الامتثال بموجب بروتوكول قرطاجنة تقرير لجنة الامتثال عن أعمال اجتماعيها العشرين والحادي </w:t>
      </w:r>
      <w:r w:rsidRPr="00ED4D0E">
        <w:rPr>
          <w:snapToGrid w:val="0"/>
          <w:rtl/>
        </w:rPr>
        <w:t>والعشرين.</w:t>
      </w:r>
    </w:p>
    <w:p w14:paraId="4EBC6D72" w14:textId="07083797" w:rsidR="00F22085" w:rsidRPr="00ED4D0E" w:rsidRDefault="00F22085"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snapToGrid w:val="0"/>
          <w:rtl/>
        </w:rPr>
        <w:t>ووفقا لتنظيم</w:t>
      </w:r>
      <w:r w:rsidRPr="00ED4D0E">
        <w:rPr>
          <w:rtl/>
        </w:rPr>
        <w:t xml:space="preserve"> العمل، أحيلت المسائل الموضوعية الناشئة عن التقرير إلى الفريق العامل الثاني للنظر فيها.</w:t>
      </w:r>
    </w:p>
    <w:p w14:paraId="52C05535" w14:textId="1679F4A1" w:rsidR="00C93B78" w:rsidRPr="00ED4D0E" w:rsidRDefault="0022778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Fonts w:hint="cs"/>
          <w:rtl/>
        </w:rPr>
        <w:t>[نص يدرج لاحقا]</w:t>
      </w:r>
    </w:p>
    <w:p w14:paraId="118A685A" w14:textId="3F9DA93C" w:rsidR="0074494B"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وفي جلسته العامة الثالثة، نظر مؤتمر الأطراف العامل كاجتماع للأطراف في بروتوكول قرطاجنة في مشروع المقرر </w:t>
      </w:r>
      <w:hyperlink r:id="rId15" w:history="1">
        <w:r w:rsidRPr="00ED4D0E">
          <w:rPr>
            <w:rStyle w:val="Hyperlink"/>
          </w:rPr>
          <w:t>CBD/CP/MOP/12/L.2</w:t>
        </w:r>
      </w:hyperlink>
      <w:r w:rsidRPr="00ED4D0E">
        <w:rPr>
          <w:rtl/>
        </w:rPr>
        <w:t xml:space="preserve">، المقدم من رئيس الفريق العامل الثاني، واعتمده بوصفه المقرر </w:t>
      </w:r>
      <w:r w:rsidRPr="00ED4D0E">
        <w:t>CP-12/</w:t>
      </w:r>
      <w:r w:rsidRPr="00ED4D0E">
        <w:rPr>
          <w:shd w:val="clear" w:color="auto" w:fill="FFFF00"/>
        </w:rPr>
        <w:t>X</w:t>
      </w:r>
      <w:r w:rsidRPr="00ED4D0E">
        <w:rPr>
          <w:rtl/>
        </w:rPr>
        <w:t>.</w:t>
      </w:r>
    </w:p>
    <w:p w14:paraId="0B7E5EC7" w14:textId="2617A2A4" w:rsidR="00C93B78" w:rsidRPr="00ED4D0E" w:rsidRDefault="00C93B7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Fonts w:hint="cs"/>
          <w:rtl/>
        </w:rPr>
        <w:t>و</w:t>
      </w:r>
      <w:r w:rsidRPr="00ED4D0E">
        <w:rPr>
          <w:rtl/>
        </w:rPr>
        <w:t xml:space="preserve">في جلسته العامة الرابعة، انتخب مؤتمر الأطراف العامل </w:t>
      </w:r>
      <w:r w:rsidRPr="00ED4D0E">
        <w:rPr>
          <w:rFonts w:hint="cs"/>
          <w:rtl/>
        </w:rPr>
        <w:t>ك</w:t>
      </w:r>
      <w:r w:rsidRPr="00ED4D0E">
        <w:rPr>
          <w:rtl/>
        </w:rPr>
        <w:t xml:space="preserve">اجتماع </w:t>
      </w:r>
      <w:r w:rsidRPr="00ED4D0E">
        <w:rPr>
          <w:rFonts w:hint="cs"/>
          <w:rtl/>
        </w:rPr>
        <w:t>ل</w:t>
      </w:r>
      <w:r w:rsidRPr="00ED4D0E">
        <w:rPr>
          <w:rtl/>
        </w:rPr>
        <w:t xml:space="preserve">لأطراف في البروتوكول، الأعضاء التالية أسماؤهم لعضوية لجنة الامتثال، وذلك لفترة ولاية مدتها أربع سنوات تبدأ في 1 </w:t>
      </w:r>
      <w:r w:rsidR="002B63D5" w:rsidRPr="00ED4D0E">
        <w:rPr>
          <w:rFonts w:hint="cs"/>
          <w:rtl/>
        </w:rPr>
        <w:t>يناير/</w:t>
      </w:r>
      <w:r w:rsidRPr="00ED4D0E">
        <w:rPr>
          <w:rtl/>
        </w:rPr>
        <w:t>كانون الثاني 2027:</w:t>
      </w:r>
    </w:p>
    <w:p w14:paraId="0A06C267" w14:textId="77777777" w:rsidR="00C93B78" w:rsidRPr="00ED4D0E" w:rsidRDefault="00C93B78" w:rsidP="008002E6">
      <w:pPr>
        <w:bidi/>
        <w:spacing w:before="40" w:after="40"/>
        <w:ind w:left="1134"/>
        <w:jc w:val="left"/>
      </w:pPr>
      <w:r w:rsidRPr="00ED4D0E">
        <w:rPr>
          <w:rtl/>
        </w:rPr>
        <w:t>هالة مصباحي (تونس)</w:t>
      </w:r>
    </w:p>
    <w:p w14:paraId="405C8F2F" w14:textId="77777777" w:rsidR="00C93B78" w:rsidRPr="00ED4D0E" w:rsidRDefault="00C93B78" w:rsidP="008002E6">
      <w:pPr>
        <w:bidi/>
        <w:spacing w:before="40" w:after="40"/>
        <w:ind w:left="1134"/>
        <w:jc w:val="left"/>
      </w:pPr>
      <w:r w:rsidRPr="00ED4D0E">
        <w:rPr>
          <w:rtl/>
        </w:rPr>
        <w:t>أحمد غوسمان سيسواندي (إندونيسيا)</w:t>
      </w:r>
    </w:p>
    <w:p w14:paraId="39EDC688" w14:textId="77777777" w:rsidR="00C93B78" w:rsidRPr="00ED4D0E" w:rsidRDefault="00C93B78" w:rsidP="008002E6">
      <w:pPr>
        <w:bidi/>
        <w:spacing w:before="40" w:after="40"/>
        <w:ind w:left="1134"/>
        <w:jc w:val="left"/>
      </w:pPr>
      <w:r w:rsidRPr="00ED4D0E">
        <w:rPr>
          <w:rtl/>
        </w:rPr>
        <w:t>تيلي جايروس-باهنو (إستونيا)</w:t>
      </w:r>
    </w:p>
    <w:p w14:paraId="71E61BAE" w14:textId="1D737529" w:rsidR="00C93B78" w:rsidRPr="00ED4D0E" w:rsidRDefault="00C93B78" w:rsidP="008002E6">
      <w:pPr>
        <w:bidi/>
        <w:spacing w:before="40" w:after="40"/>
        <w:ind w:left="1134"/>
        <w:jc w:val="left"/>
      </w:pPr>
      <w:r w:rsidRPr="00ED4D0E">
        <w:rPr>
          <w:rtl/>
        </w:rPr>
        <w:t>لو</w:t>
      </w:r>
      <w:r w:rsidR="002B63D5" w:rsidRPr="00ED4D0E">
        <w:rPr>
          <w:rFonts w:hint="cs"/>
          <w:rtl/>
        </w:rPr>
        <w:t>تش</w:t>
      </w:r>
      <w:r w:rsidRPr="00ED4D0E">
        <w:rPr>
          <w:rtl/>
        </w:rPr>
        <w:t>يانا بيمينتا أمبروزيفيسيوس (البرازيل)</w:t>
      </w:r>
    </w:p>
    <w:p w14:paraId="5C144F96" w14:textId="23C0DEF8" w:rsidR="00C93B78" w:rsidRPr="00ED4D0E" w:rsidRDefault="00C93B78" w:rsidP="008002E6">
      <w:pPr>
        <w:bidi/>
        <w:spacing w:before="40" w:after="40"/>
        <w:ind w:left="1134"/>
        <w:jc w:val="left"/>
      </w:pPr>
      <w:r w:rsidRPr="00ED4D0E">
        <w:rPr>
          <w:rtl/>
        </w:rPr>
        <w:t>مايكل أنجيلو لومباردو (إيطاليا).</w:t>
      </w:r>
    </w:p>
    <w:p w14:paraId="0595AA32" w14:textId="627F3169" w:rsidR="00E612A5" w:rsidRPr="00ED4D0E" w:rsidRDefault="00E612A5" w:rsidP="008002E6">
      <w:pPr>
        <w:pStyle w:val="CBDAgendaItem"/>
        <w:bidi/>
        <w:rPr>
          <w:rFonts w:hint="eastAsia"/>
          <w:sz w:val="22"/>
          <w:szCs w:val="24"/>
        </w:rPr>
      </w:pPr>
      <w:r w:rsidRPr="00ED4D0E">
        <w:rPr>
          <w:sz w:val="22"/>
          <w:szCs w:val="24"/>
          <w:rtl/>
        </w:rPr>
        <w:t>البند 6</w:t>
      </w:r>
      <w:r w:rsidRPr="00ED4D0E">
        <w:rPr>
          <w:sz w:val="22"/>
          <w:szCs w:val="24"/>
        </w:rPr>
        <w:br/>
      </w:r>
      <w:r w:rsidRPr="00ED4D0E">
        <w:rPr>
          <w:sz w:val="22"/>
          <w:szCs w:val="24"/>
          <w:rtl/>
        </w:rPr>
        <w:t>إدارة شؤون بروتوكول قرطاجنة وميزانية الصناديق الاستئمانية</w:t>
      </w:r>
    </w:p>
    <w:p w14:paraId="2E6AB24E" w14:textId="4B9387AE" w:rsidR="003E634A" w:rsidRPr="00ED4D0E" w:rsidRDefault="003E634A"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نظر مؤتمر الأطراف العامل كاجتماع للأطراف في بروتوكول قرطاجنة في البند 6 من جدول الأعمال في جلسته العامة الثانية، المعقودة في 19 أكتوبر/تشرين الأول. وكان معروضا عليه مشروع مقرر</w:t>
      </w:r>
      <w:r w:rsidRPr="00ED4D0E">
        <w:rPr>
          <w:rStyle w:val="FootnoteReference"/>
          <w:rFonts w:asciiTheme="majorBidi" w:eastAsia="MS Mincho" w:hAnsiTheme="majorBidi" w:cstheme="majorBidi"/>
          <w:color w:val="000000"/>
          <w:kern w:val="22"/>
        </w:rPr>
        <w:footnoteReference w:id="13"/>
      </w:r>
      <w:r w:rsidRPr="00ED4D0E">
        <w:rPr>
          <w:rtl/>
        </w:rPr>
        <w:t xml:space="preserve"> ومذكرات من الأمانة عن إدارة شؤون الاتفاقية وبروتوكوليها لفترة السنتين 2025-2026،</w:t>
      </w:r>
      <w:r w:rsidRPr="00ED4D0E">
        <w:rPr>
          <w:rStyle w:val="FootnoteReference"/>
          <w:snapToGrid w:val="0"/>
        </w:rPr>
        <w:footnoteReference w:id="14"/>
      </w:r>
      <w:r w:rsidRPr="00ED4D0E">
        <w:rPr>
          <w:rtl/>
        </w:rPr>
        <w:t xml:space="preserve"> والميزانية المقترحة لبرامج عمل الاتفاقية وبروتوكوليها لفترة السنتين 2027-2028،</w:t>
      </w:r>
      <w:r w:rsidRPr="00ED4D0E">
        <w:rPr>
          <w:rStyle w:val="FootnoteReference"/>
          <w:snapToGrid w:val="0"/>
        </w:rPr>
        <w:footnoteReference w:id="15"/>
      </w:r>
      <w:r w:rsidRPr="00ED4D0E">
        <w:rPr>
          <w:rtl/>
        </w:rPr>
        <w:t xml:space="preserve"> و</w:t>
      </w:r>
      <w:r w:rsidR="00791EE5" w:rsidRPr="00ED4D0E">
        <w:rPr>
          <w:rFonts w:hint="cs"/>
          <w:rtl/>
        </w:rPr>
        <w:t>متطلبات</w:t>
      </w:r>
      <w:r w:rsidRPr="00ED4D0E">
        <w:rPr>
          <w:rtl/>
        </w:rPr>
        <w:t xml:space="preserve"> الصندوق الاستئماني لل</w:t>
      </w:r>
      <w:r w:rsidR="00791EE5" w:rsidRPr="00ED4D0E">
        <w:rPr>
          <w:rFonts w:hint="cs"/>
          <w:rtl/>
        </w:rPr>
        <w:t>مساهمات الطوعية</w:t>
      </w:r>
      <w:r w:rsidRPr="00ED4D0E">
        <w:rPr>
          <w:rtl/>
        </w:rPr>
        <w:t xml:space="preserve"> الإضافية لدعم </w:t>
      </w:r>
      <w:r w:rsidRPr="00ED4D0E">
        <w:rPr>
          <w:rtl/>
        </w:rPr>
        <w:lastRenderedPageBreak/>
        <w:t>الأنشطة المعتمدة</w:t>
      </w:r>
      <w:r w:rsidRPr="00ED4D0E">
        <w:rPr>
          <w:rStyle w:val="FootnoteReference"/>
          <w:snapToGrid w:val="0"/>
        </w:rPr>
        <w:footnoteReference w:id="16"/>
      </w:r>
      <w:r w:rsidRPr="00ED4D0E">
        <w:rPr>
          <w:rtl/>
        </w:rPr>
        <w:t xml:space="preserve"> </w:t>
      </w:r>
      <w:r w:rsidR="00791EE5" w:rsidRPr="00ED4D0E">
        <w:rPr>
          <w:rFonts w:hint="cs"/>
          <w:rtl/>
        </w:rPr>
        <w:t xml:space="preserve">بالإضافة إلى </w:t>
      </w:r>
      <w:r w:rsidRPr="00ED4D0E">
        <w:rPr>
          <w:rtl/>
        </w:rPr>
        <w:t>معلومات إضافية عن المسائل الإدارية والمتعلقة بالميزانية.</w:t>
      </w:r>
      <w:r w:rsidRPr="00ED4D0E">
        <w:rPr>
          <w:rStyle w:val="FootnoteReference"/>
          <w:rFonts w:asciiTheme="majorBidi" w:eastAsia="MS Mincho" w:hAnsiTheme="majorBidi" w:cstheme="majorBidi"/>
          <w:color w:val="000000"/>
          <w:kern w:val="22"/>
        </w:rPr>
        <w:footnoteReference w:id="17"/>
      </w:r>
      <w:r w:rsidRPr="00ED4D0E">
        <w:rPr>
          <w:rtl/>
        </w:rPr>
        <w:t xml:space="preserve"> وقد صدرت أيضا في إطار البند 6 وثيقة إعلامية عن مشاركة الأطراف المؤهلة وت</w:t>
      </w:r>
      <w:r w:rsidR="00791EE5" w:rsidRPr="00ED4D0E">
        <w:rPr>
          <w:rFonts w:hint="cs"/>
          <w:rtl/>
        </w:rPr>
        <w:t>شكيل</w:t>
      </w:r>
      <w:r w:rsidRPr="00ED4D0E">
        <w:rPr>
          <w:rtl/>
        </w:rPr>
        <w:t xml:space="preserve"> الوفود الممولة.</w:t>
      </w:r>
      <w:r w:rsidR="00241536" w:rsidRPr="00ED4D0E">
        <w:rPr>
          <w:rStyle w:val="FootnoteReference"/>
        </w:rPr>
        <w:footnoteReference w:id="18"/>
      </w:r>
    </w:p>
    <w:p w14:paraId="4E472770" w14:textId="01B57613" w:rsidR="003E634A" w:rsidRPr="00ED4D0E" w:rsidRDefault="003E634A"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وقدمت الأمينة التنفيذية تقريرا عن أنشطة الأمانة وعرضت الميزانية المقترحة لبرامج عمل الاتفاقية وبروتوكوليها لفترة السنتين 2027-2028.</w:t>
      </w:r>
    </w:p>
    <w:p w14:paraId="1AC0D582" w14:textId="3A31FD1F" w:rsidR="003E634A" w:rsidRPr="00ED4D0E" w:rsidRDefault="003E634A"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وأنشأ</w:t>
      </w:r>
      <w:r w:rsidRPr="00ED4D0E">
        <w:rPr>
          <w:color w:val="000000"/>
          <w:kern w:val="22"/>
          <w:rtl/>
        </w:rPr>
        <w:t xml:space="preserve"> مؤتمر </w:t>
      </w:r>
      <w:r w:rsidRPr="00ED4D0E">
        <w:rPr>
          <w:rtl/>
        </w:rPr>
        <w:t>الأطراف</w:t>
      </w:r>
      <w:r w:rsidRPr="00ED4D0E">
        <w:rPr>
          <w:color w:val="000000"/>
          <w:kern w:val="22"/>
          <w:rtl/>
        </w:rPr>
        <w:t xml:space="preserve"> في الاتفاقية، العامل أيضا كاجتماعين للأطراف في البروتوكولين، فريق اتصال معنيا بمسائل الميزانية، برئاسة جيليان غوثري (جامايكا)، تتمثل ولايته في النظر بالتفصيل في الميزانية المقترحة لفترة السنتين 2027-2028.</w:t>
      </w:r>
    </w:p>
    <w:p w14:paraId="72CBA7E7" w14:textId="34054749" w:rsidR="003E634A" w:rsidRPr="00ED4D0E" w:rsidRDefault="003E634A"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[يستكمل </w:t>
      </w:r>
      <w:r w:rsidRPr="00ED4D0E">
        <w:rPr>
          <w:color w:val="000000"/>
          <w:kern w:val="22"/>
          <w:rtl/>
        </w:rPr>
        <w:t>فيما</w:t>
      </w:r>
      <w:r w:rsidRPr="00ED4D0E">
        <w:rPr>
          <w:rtl/>
        </w:rPr>
        <w:t xml:space="preserve"> بعد]</w:t>
      </w:r>
    </w:p>
    <w:p w14:paraId="66440CEE" w14:textId="114BC635" w:rsidR="00E612A5" w:rsidRPr="00ED4D0E" w:rsidRDefault="00E612A5" w:rsidP="008002E6">
      <w:pPr>
        <w:pStyle w:val="CBDAgendaItem"/>
        <w:bidi/>
        <w:rPr>
          <w:rFonts w:hint="eastAsia"/>
          <w:sz w:val="22"/>
          <w:szCs w:val="24"/>
        </w:rPr>
      </w:pPr>
      <w:r w:rsidRPr="00ED4D0E">
        <w:rPr>
          <w:sz w:val="22"/>
          <w:szCs w:val="24"/>
          <w:rtl/>
        </w:rPr>
        <w:t>البند 7</w:t>
      </w:r>
      <w:r w:rsidRPr="00ED4D0E">
        <w:rPr>
          <w:sz w:val="22"/>
          <w:szCs w:val="24"/>
        </w:rPr>
        <w:br/>
      </w:r>
      <w:r w:rsidRPr="00ED4D0E">
        <w:rPr>
          <w:sz w:val="22"/>
          <w:szCs w:val="24"/>
          <w:rtl/>
        </w:rPr>
        <w:t>الرصد والإبلاغ</w:t>
      </w:r>
    </w:p>
    <w:p w14:paraId="78E92364" w14:textId="7989F981" w:rsidR="009D0CD3" w:rsidRPr="00ED4D0E" w:rsidRDefault="009D0CD3"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7154C064" w14:textId="4B5437AF" w:rsidR="00E10477"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في جلسته العامة الثالثة، نظر مؤتمر الأطراف العامل كاجتماع للأطراف في بروتوكول قرطاجنة في مشروع المقرر </w:t>
      </w:r>
      <w:hyperlink r:id="rId16" w:history="1">
        <w:r w:rsidRPr="00ED4D0E">
          <w:rPr>
            <w:rStyle w:val="Hyperlink"/>
          </w:rPr>
          <w:t>CBD/CP/MOP/12/L.6</w:t>
        </w:r>
      </w:hyperlink>
      <w:r w:rsidRPr="00ED4D0E">
        <w:rPr>
          <w:rtl/>
        </w:rPr>
        <w:t xml:space="preserve">، المقدم من رئيس الفريق العامل الثاني، واعتمده بوصفه المقرر </w:t>
      </w:r>
      <w:r w:rsidRPr="00ED4D0E">
        <w:t>CP-12/X</w:t>
      </w:r>
      <w:r w:rsidRPr="00ED4D0E">
        <w:rPr>
          <w:rtl/>
        </w:rPr>
        <w:t>.</w:t>
      </w:r>
    </w:p>
    <w:p w14:paraId="062837E9" w14:textId="4C97DA16" w:rsidR="00E612A5" w:rsidRPr="00ED4D0E" w:rsidRDefault="00E612A5" w:rsidP="008002E6">
      <w:pPr>
        <w:pStyle w:val="CBDAgendaItem"/>
        <w:bidi/>
        <w:rPr>
          <w:rFonts w:hint="eastAsia"/>
          <w:sz w:val="22"/>
          <w:szCs w:val="24"/>
        </w:rPr>
      </w:pPr>
      <w:r w:rsidRPr="00ED4D0E">
        <w:rPr>
          <w:sz w:val="22"/>
          <w:szCs w:val="24"/>
          <w:rtl/>
        </w:rPr>
        <w:t>البند 8</w:t>
      </w:r>
      <w:r w:rsidRPr="00ED4D0E">
        <w:rPr>
          <w:sz w:val="22"/>
          <w:szCs w:val="24"/>
        </w:rPr>
        <w:br/>
      </w:r>
      <w:r w:rsidRPr="00ED4D0E">
        <w:rPr>
          <w:sz w:val="22"/>
          <w:szCs w:val="24"/>
          <w:rtl/>
        </w:rPr>
        <w:t>تقييم واستعراض فعالية بروتوكول قرطاجنة وتقييم منتصف المدة لخطة التنفيذ وخطة عمل بناء القدرات الخاصتين بالبروتوكول</w:t>
      </w:r>
    </w:p>
    <w:p w14:paraId="511A7C94" w14:textId="7ED548BB" w:rsidR="009D0CD3" w:rsidRPr="00ED4D0E" w:rsidRDefault="009D0CD3"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58CEFCAB" w14:textId="3D35B982" w:rsidR="00F0731B" w:rsidRPr="00ED4D0E" w:rsidRDefault="0022778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في جلسته العامة الرابعة، نظر مؤتمر الأطراف العامل </w:t>
      </w:r>
      <w:r w:rsidRPr="00ED4D0E">
        <w:rPr>
          <w:rFonts w:hint="cs"/>
          <w:rtl/>
        </w:rPr>
        <w:t>ك</w:t>
      </w:r>
      <w:r w:rsidRPr="00ED4D0E">
        <w:rPr>
          <w:rtl/>
        </w:rPr>
        <w:t xml:space="preserve">اجتماع </w:t>
      </w:r>
      <w:r w:rsidRPr="00ED4D0E">
        <w:rPr>
          <w:rFonts w:hint="cs"/>
          <w:rtl/>
        </w:rPr>
        <w:t>ل</w:t>
      </w:r>
      <w:r w:rsidRPr="00ED4D0E">
        <w:rPr>
          <w:rtl/>
        </w:rPr>
        <w:t xml:space="preserve">لأطراف في بروتوكول قرطاجنة في مشروع </w:t>
      </w:r>
      <w:r w:rsidRPr="00ED4D0E">
        <w:rPr>
          <w:rFonts w:hint="cs"/>
          <w:rtl/>
        </w:rPr>
        <w:t>المقرر</w:t>
      </w:r>
      <w:r w:rsidRPr="00ED4D0E">
        <w:rPr>
          <w:rtl/>
        </w:rPr>
        <w:t xml:space="preserve"> </w:t>
      </w:r>
      <w:hyperlink r:id="rId17" w:history="1">
        <w:r w:rsidRPr="00ED4D0E">
          <w:rPr>
            <w:rStyle w:val="Hyperlink"/>
          </w:rPr>
          <w:t>CBD/CP/MOP/12/L.10</w:t>
        </w:r>
      </w:hyperlink>
      <w:r w:rsidRPr="00ED4D0E">
        <w:rPr>
          <w:rtl/>
        </w:rPr>
        <w:t xml:space="preserve"> الذي قدمه رئيس الفريق العامل الثاني، واعتمدَه بوصفه </w:t>
      </w:r>
      <w:r w:rsidRPr="00ED4D0E">
        <w:rPr>
          <w:rFonts w:hint="cs"/>
          <w:rtl/>
        </w:rPr>
        <w:t>المقرر</w:t>
      </w:r>
      <w:r w:rsidRPr="00ED4D0E">
        <w:rPr>
          <w:rtl/>
        </w:rPr>
        <w:t xml:space="preserve"> </w:t>
      </w:r>
      <w:r w:rsidRPr="00ED4D0E">
        <w:t>CP-12/X</w:t>
      </w:r>
      <w:r w:rsidRPr="00ED4D0E">
        <w:rPr>
          <w:rtl/>
        </w:rPr>
        <w:t>.</w:t>
      </w:r>
    </w:p>
    <w:p w14:paraId="4E288C98" w14:textId="35C5235C" w:rsidR="00E612A5" w:rsidRPr="00ED4D0E" w:rsidRDefault="00E612A5" w:rsidP="008002E6">
      <w:pPr>
        <w:pStyle w:val="CBDAgendaItem"/>
        <w:bidi/>
        <w:rPr>
          <w:rFonts w:hint="eastAsia"/>
          <w:sz w:val="22"/>
          <w:szCs w:val="24"/>
        </w:rPr>
      </w:pPr>
      <w:r w:rsidRPr="00ED4D0E">
        <w:rPr>
          <w:sz w:val="22"/>
          <w:szCs w:val="24"/>
          <w:rtl/>
        </w:rPr>
        <w:t>البند 9</w:t>
      </w:r>
      <w:r w:rsidRPr="00ED4D0E">
        <w:rPr>
          <w:sz w:val="22"/>
          <w:szCs w:val="24"/>
        </w:rPr>
        <w:br/>
      </w:r>
      <w:r w:rsidRPr="00ED4D0E">
        <w:rPr>
          <w:sz w:val="22"/>
          <w:szCs w:val="24"/>
          <w:rtl/>
        </w:rPr>
        <w:t>المسائل المتعلقة بالآلية المالية والموارد المالية</w:t>
      </w:r>
    </w:p>
    <w:p w14:paraId="552FB2CE" w14:textId="1BB75AC5" w:rsidR="009D0CD3" w:rsidRPr="00ED4D0E" w:rsidRDefault="009D0CD3"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30AECE40" w14:textId="57543986" w:rsidR="00F0731B"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في جلسته العامة الثالثة، نظر مؤتمر الأطراف العامل كاجتماع للأطراف في بروتوكول قرطاجنة في مشروع المقرر </w:t>
      </w:r>
      <w:hyperlink r:id="rId18" w:history="1">
        <w:r w:rsidRPr="00ED4D0E">
          <w:rPr>
            <w:rStyle w:val="Hyperlink"/>
          </w:rPr>
          <w:t>CBD/CP/MOP/12/L.9</w:t>
        </w:r>
      </w:hyperlink>
      <w:r w:rsidRPr="00ED4D0E">
        <w:rPr>
          <w:rtl/>
        </w:rPr>
        <w:t>، المقدم من رئيس الفريق العامل الثاني.</w:t>
      </w:r>
    </w:p>
    <w:p w14:paraId="0B11000C" w14:textId="139DB715" w:rsidR="00F0731B"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وأدل</w:t>
      </w:r>
      <w:r w:rsidR="00C947E8" w:rsidRPr="00ED4D0E">
        <w:rPr>
          <w:rFonts w:hint="cs"/>
          <w:rtl/>
        </w:rPr>
        <w:t>ت</w:t>
      </w:r>
      <w:r w:rsidRPr="00ED4D0E">
        <w:rPr>
          <w:rtl/>
        </w:rPr>
        <w:t xml:space="preserve"> ممثل</w:t>
      </w:r>
      <w:r w:rsidR="00C947E8" w:rsidRPr="00ED4D0E">
        <w:rPr>
          <w:rFonts w:hint="cs"/>
          <w:rtl/>
        </w:rPr>
        <w:t>ة</w:t>
      </w:r>
      <w:r w:rsidRPr="00ED4D0E">
        <w:rPr>
          <w:rtl/>
        </w:rPr>
        <w:t xml:space="preserve"> لجمهورية تنزانيا المتحدة ببيان.</w:t>
      </w:r>
    </w:p>
    <w:p w14:paraId="0B11000E" w14:textId="434E06C4" w:rsidR="00F0731B"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lastRenderedPageBreak/>
        <w:t xml:space="preserve">واعتمد مؤتمر الأطراف العامل كاجتماع للأطراف في بروتوكول قرطاجنة مشروع المقرر، بصيغته المعدلة شفويا، بوصفه المقرر </w:t>
      </w:r>
      <w:r w:rsidRPr="00ED4D0E">
        <w:t>CP-12/X</w:t>
      </w:r>
      <w:r w:rsidRPr="00ED4D0E">
        <w:rPr>
          <w:rtl/>
        </w:rPr>
        <w:t>.</w:t>
      </w:r>
    </w:p>
    <w:p w14:paraId="6B608CE2" w14:textId="7F9C6F39" w:rsidR="00E612A5" w:rsidRPr="00ED4D0E" w:rsidRDefault="00E612A5" w:rsidP="008002E6">
      <w:pPr>
        <w:pStyle w:val="CBDAgendaItem"/>
        <w:bidi/>
        <w:rPr>
          <w:rFonts w:hint="eastAsia"/>
          <w:sz w:val="22"/>
          <w:szCs w:val="24"/>
        </w:rPr>
      </w:pPr>
      <w:r w:rsidRPr="00ED4D0E">
        <w:rPr>
          <w:sz w:val="22"/>
          <w:szCs w:val="24"/>
          <w:rtl/>
        </w:rPr>
        <w:t>البند 10</w:t>
      </w:r>
      <w:r w:rsidRPr="00ED4D0E">
        <w:rPr>
          <w:sz w:val="22"/>
          <w:szCs w:val="24"/>
        </w:rPr>
        <w:br/>
      </w:r>
      <w:r w:rsidRPr="00ED4D0E">
        <w:rPr>
          <w:sz w:val="22"/>
          <w:szCs w:val="24"/>
          <w:rtl/>
        </w:rPr>
        <w:t>تشغيل غرفة تبادل معلومات السلامة الأحيائية وأنشطتها</w:t>
      </w:r>
    </w:p>
    <w:p w14:paraId="04B2F1A1" w14:textId="61B33EE8" w:rsidR="009D0CD3" w:rsidRPr="00ED4D0E" w:rsidRDefault="009D0CD3"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5F9C3CE6" w14:textId="6421EDF6"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في جلسته العامة الثالثة، نظر مؤتمر الأطراف العامل كاجتماع للأطراف في بروتوكول قرطاجنة في مشروع المقرر </w:t>
      </w:r>
      <w:hyperlink r:id="rId19" w:history="1">
        <w:r w:rsidRPr="00ED4D0E">
          <w:rPr>
            <w:rStyle w:val="Hyperlink"/>
          </w:rPr>
          <w:t>CBD/CP/MOP/12/L.5</w:t>
        </w:r>
      </w:hyperlink>
      <w:r w:rsidRPr="00ED4D0E">
        <w:rPr>
          <w:rtl/>
        </w:rPr>
        <w:t>، المقدم من رئيس الفريق العامل الثاني.</w:t>
      </w:r>
    </w:p>
    <w:p w14:paraId="0B110008" w14:textId="0E5CD52D"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وقدم الرئيس تصويبا شفويا لمشروع المقرر.</w:t>
      </w:r>
    </w:p>
    <w:p w14:paraId="0B11000A" w14:textId="0B1FD493"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واعتمد مؤتمر الأطراف العامل كاجتماع للأطراف في بروتوكول قرطاجنة مشروع المقرر، بصيغته المعدلة شفويا، بوصفه المقرر </w:t>
      </w:r>
      <w:r w:rsidRPr="00ED4D0E">
        <w:t>CP-12/X</w:t>
      </w:r>
      <w:r w:rsidRPr="00ED4D0E">
        <w:rPr>
          <w:rtl/>
        </w:rPr>
        <w:t>.</w:t>
      </w:r>
    </w:p>
    <w:p w14:paraId="5DC1DB13" w14:textId="30E876EB" w:rsidR="00E612A5" w:rsidRPr="00ED4D0E" w:rsidRDefault="00E612A5" w:rsidP="008002E6">
      <w:pPr>
        <w:pStyle w:val="CBDAgendaItem"/>
        <w:bidi/>
        <w:rPr>
          <w:rFonts w:hint="eastAsia"/>
          <w:sz w:val="22"/>
          <w:szCs w:val="24"/>
        </w:rPr>
      </w:pPr>
      <w:r w:rsidRPr="00ED4D0E">
        <w:rPr>
          <w:sz w:val="22"/>
          <w:szCs w:val="24"/>
          <w:rtl/>
        </w:rPr>
        <w:t>البند 11</w:t>
      </w:r>
      <w:r w:rsidRPr="00ED4D0E">
        <w:rPr>
          <w:sz w:val="22"/>
          <w:szCs w:val="24"/>
        </w:rPr>
        <w:br/>
      </w:r>
      <w:r w:rsidRPr="00ED4D0E">
        <w:rPr>
          <w:sz w:val="22"/>
          <w:szCs w:val="24"/>
          <w:rtl/>
        </w:rPr>
        <w:t>التعاون مع المنظمات الدولية</w:t>
      </w:r>
      <w:r w:rsidR="00D9323B" w:rsidRPr="00ED4D0E">
        <w:rPr>
          <w:rFonts w:hint="cs"/>
          <w:sz w:val="22"/>
          <w:szCs w:val="24"/>
          <w:rtl/>
        </w:rPr>
        <w:t xml:space="preserve"> </w:t>
      </w:r>
      <w:r w:rsidRPr="00ED4D0E">
        <w:rPr>
          <w:sz w:val="22"/>
          <w:szCs w:val="24"/>
          <w:rtl/>
        </w:rPr>
        <w:t>والهيئات المنشأة بموجب الاتفاقيات الأخرى، والمبادرات</w:t>
      </w:r>
    </w:p>
    <w:p w14:paraId="779B2C6A" w14:textId="4C82F013" w:rsidR="00211E5C" w:rsidRPr="00ED4D0E" w:rsidRDefault="0022778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Fonts w:hint="cs"/>
          <w:rtl/>
        </w:rPr>
        <w:t>[</w:t>
      </w:r>
      <w:r w:rsidR="003C7AF8" w:rsidRPr="00ED4D0E">
        <w:rPr>
          <w:rFonts w:hint="cs"/>
          <w:rtl/>
        </w:rPr>
        <w:t xml:space="preserve">يُستكمل </w:t>
      </w:r>
      <w:r w:rsidR="003C7AF8" w:rsidRPr="00ED4D0E">
        <w:rPr>
          <w:rtl/>
        </w:rPr>
        <w:t>فيما بعد</w:t>
      </w:r>
      <w:r w:rsidRPr="00ED4D0E">
        <w:rPr>
          <w:rFonts w:hint="cs"/>
          <w:rtl/>
        </w:rPr>
        <w:t>]</w:t>
      </w:r>
    </w:p>
    <w:p w14:paraId="1839DC1E" w14:textId="29303048" w:rsidR="00E612A5" w:rsidRPr="00ED4D0E" w:rsidRDefault="00E612A5" w:rsidP="008002E6">
      <w:pPr>
        <w:pStyle w:val="CBDAgendaItem"/>
        <w:bidi/>
        <w:rPr>
          <w:rFonts w:hint="eastAsia"/>
          <w:sz w:val="22"/>
          <w:szCs w:val="24"/>
        </w:rPr>
      </w:pPr>
      <w:r w:rsidRPr="00ED4D0E">
        <w:rPr>
          <w:sz w:val="22"/>
          <w:szCs w:val="24"/>
          <w:rtl/>
        </w:rPr>
        <w:t>البند 12</w:t>
      </w:r>
      <w:r w:rsidRPr="00ED4D0E">
        <w:rPr>
          <w:sz w:val="22"/>
          <w:szCs w:val="24"/>
        </w:rPr>
        <w:br/>
      </w:r>
      <w:r w:rsidRPr="00ED4D0E">
        <w:rPr>
          <w:sz w:val="22"/>
          <w:szCs w:val="24"/>
          <w:rtl/>
        </w:rPr>
        <w:t>استعراض فعالية العمليات بموجب</w:t>
      </w:r>
      <w:r w:rsidR="00D9323B" w:rsidRPr="00ED4D0E">
        <w:rPr>
          <w:rFonts w:hint="cs"/>
          <w:sz w:val="22"/>
          <w:szCs w:val="24"/>
          <w:rtl/>
        </w:rPr>
        <w:t xml:space="preserve"> </w:t>
      </w:r>
      <w:r w:rsidRPr="00ED4D0E">
        <w:rPr>
          <w:sz w:val="22"/>
          <w:szCs w:val="24"/>
          <w:rtl/>
        </w:rPr>
        <w:t>اتفاقية التنوع البيولوجي وبروتوكوليها</w:t>
      </w:r>
    </w:p>
    <w:p w14:paraId="7667396C" w14:textId="3299D56D" w:rsidR="00E612A5" w:rsidRPr="00ED4D0E" w:rsidRDefault="00211E5C"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w:t>
      </w:r>
      <w:r w:rsidR="003C7AF8" w:rsidRPr="00ED4D0E">
        <w:rPr>
          <w:rFonts w:hint="cs"/>
          <w:rtl/>
        </w:rPr>
        <w:t>يُستكمل</w:t>
      </w:r>
      <w:r w:rsidRPr="00ED4D0E">
        <w:rPr>
          <w:rtl/>
        </w:rPr>
        <w:t xml:space="preserve"> </w:t>
      </w:r>
      <w:r w:rsidR="003C7AF8" w:rsidRPr="00ED4D0E">
        <w:rPr>
          <w:rtl/>
        </w:rPr>
        <w:t>فيما بعد</w:t>
      </w:r>
      <w:r w:rsidRPr="00ED4D0E">
        <w:rPr>
          <w:rtl/>
        </w:rPr>
        <w:t>]</w:t>
      </w:r>
    </w:p>
    <w:p w14:paraId="0CA08631" w14:textId="156E6EC5" w:rsidR="00E612A5" w:rsidRPr="00ED4D0E" w:rsidRDefault="00E612A5" w:rsidP="008002E6">
      <w:pPr>
        <w:pStyle w:val="CBDAgendaItem"/>
        <w:bidi/>
        <w:rPr>
          <w:rFonts w:hint="eastAsia"/>
          <w:sz w:val="22"/>
          <w:szCs w:val="24"/>
        </w:rPr>
      </w:pPr>
      <w:r w:rsidRPr="00ED4D0E">
        <w:rPr>
          <w:sz w:val="22"/>
          <w:szCs w:val="24"/>
          <w:rtl/>
        </w:rPr>
        <w:t>البند 13</w:t>
      </w:r>
      <w:r w:rsidRPr="00ED4D0E">
        <w:rPr>
          <w:sz w:val="22"/>
          <w:szCs w:val="24"/>
        </w:rPr>
        <w:br/>
      </w:r>
      <w:r w:rsidRPr="00ED4D0E">
        <w:rPr>
          <w:sz w:val="22"/>
          <w:szCs w:val="24"/>
          <w:rtl/>
        </w:rPr>
        <w:t>تقييم وإدارة مخاطر الكائنات الحية المحورة</w:t>
      </w:r>
    </w:p>
    <w:p w14:paraId="22559AF9" w14:textId="034CDB05" w:rsidR="003C7AF8" w:rsidRPr="00ED4D0E" w:rsidRDefault="003C7AF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73CE4410" w14:textId="0D196573" w:rsidR="00227782" w:rsidRPr="00ED4D0E" w:rsidRDefault="0022778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في جلسته العامة الرابعة، نظر مؤتمر الأطراف العامل كاجتماع للأطراف في بروتوكول قرطاجنة، في مشروع </w:t>
      </w:r>
      <w:r w:rsidRPr="00ED4D0E">
        <w:rPr>
          <w:rFonts w:hint="cs"/>
          <w:rtl/>
        </w:rPr>
        <w:t>المقرر</w:t>
      </w:r>
      <w:r w:rsidRPr="00ED4D0E">
        <w:rPr>
          <w:rtl/>
        </w:rPr>
        <w:t xml:space="preserve"> </w:t>
      </w:r>
      <w:hyperlink r:id="rId20" w:history="1">
        <w:r w:rsidRPr="00ED4D0E">
          <w:rPr>
            <w:rStyle w:val="Hyperlink"/>
          </w:rPr>
          <w:t>CBD/CP/MOP/12/L.11</w:t>
        </w:r>
      </w:hyperlink>
      <w:r w:rsidRPr="00ED4D0E">
        <w:rPr>
          <w:rtl/>
        </w:rPr>
        <w:t>، الذي قدمه رئيس الفريق العامل الثاني.</w:t>
      </w:r>
    </w:p>
    <w:p w14:paraId="4B16118C" w14:textId="2599CA55" w:rsidR="00227782" w:rsidRPr="00ED4D0E" w:rsidRDefault="0022778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وأدلى </w:t>
      </w:r>
      <w:r w:rsidR="007F13C5" w:rsidRPr="00ED4D0E">
        <w:rPr>
          <w:rtl/>
        </w:rPr>
        <w:t>ببيان</w:t>
      </w:r>
      <w:r w:rsidR="007F13C5" w:rsidRPr="00ED4D0E">
        <w:rPr>
          <w:rFonts w:hint="cs"/>
          <w:rtl/>
        </w:rPr>
        <w:t>ين</w:t>
      </w:r>
      <w:r w:rsidR="007F13C5" w:rsidRPr="00ED4D0E">
        <w:rPr>
          <w:rtl/>
        </w:rPr>
        <w:t xml:space="preserve"> </w:t>
      </w:r>
      <w:r w:rsidRPr="00ED4D0E">
        <w:rPr>
          <w:rtl/>
        </w:rPr>
        <w:t>ممثل</w:t>
      </w:r>
      <w:r w:rsidR="007F13C5" w:rsidRPr="00ED4D0E">
        <w:rPr>
          <w:rFonts w:hint="cs"/>
          <w:rtl/>
        </w:rPr>
        <w:t>ا</w:t>
      </w:r>
      <w:r w:rsidRPr="00ED4D0E">
        <w:rPr>
          <w:rtl/>
        </w:rPr>
        <w:t xml:space="preserve"> المكسيك وبنما.</w:t>
      </w:r>
    </w:p>
    <w:p w14:paraId="5A86DC51" w14:textId="34285E3A" w:rsidR="00211E5C" w:rsidRPr="00ED4D0E" w:rsidRDefault="00227782"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واعتمد مؤتمر الأطراف العامل كاجتماع للأطراف في بروتوكول قرطاجنة مشروع المقرر، بصيغته المعدلة شفهيا، بوصفه المقرر </w:t>
      </w:r>
      <w:r w:rsidRPr="00ED4D0E">
        <w:t>CP-12/X</w:t>
      </w:r>
      <w:r w:rsidRPr="00ED4D0E">
        <w:rPr>
          <w:rtl/>
        </w:rPr>
        <w:t>.</w:t>
      </w:r>
    </w:p>
    <w:p w14:paraId="6B3EB744" w14:textId="41FF9B29" w:rsidR="00E612A5" w:rsidRPr="00ED4D0E" w:rsidRDefault="00E612A5" w:rsidP="008002E6">
      <w:pPr>
        <w:pStyle w:val="CBDAgendaItem"/>
        <w:bidi/>
        <w:rPr>
          <w:rFonts w:hint="eastAsia"/>
          <w:sz w:val="22"/>
          <w:szCs w:val="24"/>
        </w:rPr>
      </w:pPr>
      <w:r w:rsidRPr="00ED4D0E">
        <w:rPr>
          <w:sz w:val="22"/>
          <w:szCs w:val="24"/>
          <w:rtl/>
        </w:rPr>
        <w:t>البند 14</w:t>
      </w:r>
      <w:r w:rsidRPr="00ED4D0E">
        <w:rPr>
          <w:sz w:val="22"/>
          <w:szCs w:val="24"/>
        </w:rPr>
        <w:br/>
      </w:r>
      <w:r w:rsidRPr="00ED4D0E">
        <w:rPr>
          <w:sz w:val="22"/>
          <w:szCs w:val="24"/>
          <w:rtl/>
        </w:rPr>
        <w:t>الكشف عن الكائنات الحية المحورة وتحديد هويتها</w:t>
      </w:r>
    </w:p>
    <w:p w14:paraId="0AD03A83" w14:textId="35EFD4A0" w:rsidR="003C7AF8" w:rsidRPr="00ED4D0E" w:rsidRDefault="003C7AF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4C38104A" w14:textId="5BF96CCF"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lastRenderedPageBreak/>
        <w:t xml:space="preserve">في جلسته العامة الثالثة، نظر مؤتمر الأطراف العامل كاجتماع للأطراف في بروتوكول قرطاجنة في مشروع المقرر </w:t>
      </w:r>
      <w:hyperlink r:id="rId21" w:history="1">
        <w:r w:rsidRPr="00ED4D0E">
          <w:rPr>
            <w:rStyle w:val="Hyperlink"/>
          </w:rPr>
          <w:t>CBD/CP/MOP/12/L.7</w:t>
        </w:r>
      </w:hyperlink>
      <w:r w:rsidRPr="00ED4D0E">
        <w:rPr>
          <w:rtl/>
        </w:rPr>
        <w:t xml:space="preserve">، المقدم من رئيس الفريق العامل الثاني، واعتمده بوصفه المقرر </w:t>
      </w:r>
      <w:r w:rsidRPr="00ED4D0E">
        <w:t>CP-12/X</w:t>
      </w:r>
      <w:r w:rsidRPr="00ED4D0E">
        <w:rPr>
          <w:rtl/>
        </w:rPr>
        <w:t>.</w:t>
      </w:r>
    </w:p>
    <w:p w14:paraId="116FE1CD" w14:textId="6879E428" w:rsidR="00E612A5" w:rsidRPr="00ED4D0E" w:rsidRDefault="00E612A5" w:rsidP="008002E6">
      <w:pPr>
        <w:pStyle w:val="CBDAgendaItem"/>
        <w:bidi/>
        <w:rPr>
          <w:rFonts w:hint="eastAsia"/>
          <w:sz w:val="22"/>
          <w:szCs w:val="24"/>
        </w:rPr>
      </w:pPr>
      <w:r w:rsidRPr="00ED4D0E">
        <w:rPr>
          <w:sz w:val="22"/>
          <w:szCs w:val="24"/>
          <w:rtl/>
        </w:rPr>
        <w:t>البند 15</w:t>
      </w:r>
      <w:r w:rsidRPr="00ED4D0E">
        <w:rPr>
          <w:sz w:val="22"/>
          <w:szCs w:val="24"/>
        </w:rPr>
        <w:br/>
      </w:r>
      <w:r w:rsidRPr="00ED4D0E">
        <w:rPr>
          <w:sz w:val="22"/>
          <w:szCs w:val="24"/>
          <w:rtl/>
        </w:rPr>
        <w:t>الاعتبارات الاجتماعية الاقتصادية</w:t>
      </w:r>
    </w:p>
    <w:p w14:paraId="3CEBD2A8" w14:textId="4655CFF8" w:rsidR="003C7AF8" w:rsidRPr="00ED4D0E" w:rsidRDefault="003C7AF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638A6CE9" w14:textId="6859179D"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في جلسته العامة الثالثة، نظر مؤتمر الأطراف العامل كاجتماع للأطراف في بروتوكول قرطاجنة في مشروع المقرر </w:t>
      </w:r>
      <w:hyperlink r:id="rId22" w:history="1">
        <w:r w:rsidRPr="00ED4D0E">
          <w:rPr>
            <w:rStyle w:val="Hyperlink"/>
          </w:rPr>
          <w:t>CBD/CP/MOP/12/L.4</w:t>
        </w:r>
      </w:hyperlink>
      <w:r w:rsidRPr="00ED4D0E">
        <w:rPr>
          <w:rtl/>
        </w:rPr>
        <w:t xml:space="preserve">، المقدم من رئيس الفريق العامل الثاني، واعتمده بوصفه المقرر </w:t>
      </w:r>
      <w:r w:rsidRPr="00ED4D0E">
        <w:t>CP-12/X</w:t>
      </w:r>
      <w:r w:rsidRPr="00ED4D0E">
        <w:rPr>
          <w:rtl/>
        </w:rPr>
        <w:t>.</w:t>
      </w:r>
    </w:p>
    <w:p w14:paraId="2F02E5A9" w14:textId="2A7E2625" w:rsidR="00E612A5" w:rsidRPr="00ED4D0E" w:rsidRDefault="00E612A5" w:rsidP="008002E6">
      <w:pPr>
        <w:pStyle w:val="CBDAgendaItem"/>
        <w:bidi/>
        <w:rPr>
          <w:rFonts w:hint="eastAsia"/>
          <w:sz w:val="22"/>
          <w:szCs w:val="24"/>
        </w:rPr>
      </w:pPr>
      <w:r w:rsidRPr="00ED4D0E">
        <w:rPr>
          <w:sz w:val="22"/>
          <w:szCs w:val="24"/>
          <w:rtl/>
        </w:rPr>
        <w:t>البند 16</w:t>
      </w:r>
      <w:r w:rsidRPr="00ED4D0E">
        <w:rPr>
          <w:sz w:val="22"/>
          <w:szCs w:val="24"/>
        </w:rPr>
        <w:br/>
      </w:r>
      <w:r w:rsidRPr="00ED4D0E">
        <w:rPr>
          <w:sz w:val="22"/>
          <w:szCs w:val="24"/>
          <w:rtl/>
        </w:rPr>
        <w:t>التشريعات واللوائح والمبادئ التوجيهية الوطنية</w:t>
      </w:r>
      <w:r w:rsidR="00D9323B" w:rsidRPr="00ED4D0E">
        <w:rPr>
          <w:rFonts w:hint="cs"/>
          <w:sz w:val="22"/>
          <w:szCs w:val="24"/>
          <w:rtl/>
        </w:rPr>
        <w:t xml:space="preserve"> </w:t>
      </w:r>
      <w:r w:rsidRPr="00ED4D0E">
        <w:rPr>
          <w:sz w:val="22"/>
          <w:szCs w:val="24"/>
          <w:rtl/>
        </w:rPr>
        <w:t>بشأن التطورات الجديدة في مجال التكنولوجيا الحيوية الحديثة</w:t>
      </w:r>
    </w:p>
    <w:p w14:paraId="6A7F3D55" w14:textId="6BC40A44" w:rsidR="003C7AF8" w:rsidRPr="00ED4D0E" w:rsidRDefault="003C7AF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150F7212" w14:textId="65182639"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في جلسته العامة الثالثة، نظر مؤتمر الأطراف العامل كاجتماع للأطراف في بروتوكول قرطاجنة في مشروع المقرر </w:t>
      </w:r>
      <w:hyperlink r:id="rId23" w:history="1">
        <w:r w:rsidRPr="00ED4D0E">
          <w:rPr>
            <w:rStyle w:val="Hyperlink"/>
          </w:rPr>
          <w:t>CBD/CP/MOP/12/L.8</w:t>
        </w:r>
      </w:hyperlink>
      <w:r w:rsidRPr="00ED4D0E">
        <w:rPr>
          <w:rtl/>
        </w:rPr>
        <w:t>، المقدم من رئيس الفريق العامل الثاني.</w:t>
      </w:r>
    </w:p>
    <w:p w14:paraId="0B110004" w14:textId="090C8235"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وأدلى ببيانات ممثلو الأطراف التالية: البرازيل، والاتحاد الأوروبي ودوله الأعضاء، ونيجيريا، وبنما.</w:t>
      </w:r>
    </w:p>
    <w:p w14:paraId="0B110006" w14:textId="1BD919D6"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وعقب تبادل الآراء، اعتمد مؤتمر الأطراف العامل كاجتماع للأطراف في بروتوكول قرطاجنة المقرر، بصيغته المعدلة شفويا، بوصفه المقرر </w:t>
      </w:r>
      <w:r w:rsidRPr="00ED4D0E">
        <w:t>CP-12/X</w:t>
      </w:r>
      <w:r w:rsidRPr="00ED4D0E">
        <w:rPr>
          <w:rtl/>
        </w:rPr>
        <w:t>.</w:t>
      </w:r>
    </w:p>
    <w:p w14:paraId="2C241AEB" w14:textId="6CBD49D2" w:rsidR="00E612A5" w:rsidRPr="00ED4D0E" w:rsidRDefault="00E612A5" w:rsidP="008002E6">
      <w:pPr>
        <w:pStyle w:val="CBDAgendaItem"/>
        <w:bidi/>
        <w:rPr>
          <w:rFonts w:hint="eastAsia"/>
          <w:sz w:val="22"/>
          <w:szCs w:val="24"/>
        </w:rPr>
      </w:pPr>
      <w:r w:rsidRPr="00ED4D0E">
        <w:rPr>
          <w:sz w:val="22"/>
          <w:szCs w:val="24"/>
          <w:rtl/>
        </w:rPr>
        <w:t>البند 17</w:t>
      </w:r>
      <w:r w:rsidRPr="00ED4D0E">
        <w:rPr>
          <w:sz w:val="22"/>
          <w:szCs w:val="24"/>
        </w:rPr>
        <w:br/>
      </w:r>
      <w:r w:rsidRPr="00ED4D0E">
        <w:rPr>
          <w:sz w:val="22"/>
          <w:szCs w:val="24"/>
          <w:rtl/>
        </w:rPr>
        <w:t>بروتوكول ناغويا-كوالالمبور التكميلي بشأن المسؤولية والجبر التعويضي</w:t>
      </w:r>
    </w:p>
    <w:p w14:paraId="2EEAC3FB" w14:textId="65836A74" w:rsidR="003C7AF8" w:rsidRPr="00ED4D0E" w:rsidRDefault="003C7AF8"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من تقرير الفريق العامل الثاني]</w:t>
      </w:r>
    </w:p>
    <w:p w14:paraId="11830F03" w14:textId="5ACABE13"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في جلسته العامة الثالثة، نظر مؤتمر الأطراف العامل كاجتماع للأطراف في بروتوكول قرطاجنة في مشروع المقرر </w:t>
      </w:r>
      <w:r w:rsidRPr="00ED4D0E">
        <w:t>C</w:t>
      </w:r>
      <w:hyperlink r:id="rId24" w:history="1">
        <w:r w:rsidRPr="00ED4D0E">
          <w:rPr>
            <w:rStyle w:val="Hyperlink"/>
          </w:rPr>
          <w:t>BD/CP/MOP/12/L.3</w:t>
        </w:r>
      </w:hyperlink>
      <w:r w:rsidRPr="00ED4D0E">
        <w:rPr>
          <w:rtl/>
        </w:rPr>
        <w:t>، المقدم من رئيس الفريق العامل الثاني.</w:t>
      </w:r>
    </w:p>
    <w:p w14:paraId="0B110000" w14:textId="31A1D257"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وقدم الرئيس تصويبات شفوية لمشروع المقرر.</w:t>
      </w:r>
    </w:p>
    <w:p w14:paraId="0B110002" w14:textId="5F47D63E" w:rsidR="00211E5C" w:rsidRPr="00ED4D0E" w:rsidRDefault="00E56D89"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 xml:space="preserve">واعتمد مؤتمر الأطراف العامل كاجتماع للأطراف في بروتوكول قرطاجنة مشروع المقرر، بصيغته المعدلة شفويا، بوصفه المقرر </w:t>
      </w:r>
      <w:r w:rsidRPr="00ED4D0E">
        <w:t>CP-12/X</w:t>
      </w:r>
      <w:r w:rsidRPr="00ED4D0E">
        <w:rPr>
          <w:rtl/>
        </w:rPr>
        <w:t>.</w:t>
      </w:r>
    </w:p>
    <w:p w14:paraId="1AEC409C" w14:textId="3526F3E3" w:rsidR="00E612A5" w:rsidRPr="00ED4D0E" w:rsidRDefault="00E612A5" w:rsidP="008002E6">
      <w:pPr>
        <w:pStyle w:val="CBDAgendaItem"/>
        <w:bidi/>
        <w:rPr>
          <w:rFonts w:hint="eastAsia"/>
          <w:sz w:val="22"/>
          <w:szCs w:val="24"/>
        </w:rPr>
      </w:pPr>
      <w:r w:rsidRPr="00ED4D0E">
        <w:rPr>
          <w:sz w:val="22"/>
          <w:szCs w:val="24"/>
          <w:rtl/>
        </w:rPr>
        <w:t>البند 18</w:t>
      </w:r>
      <w:r w:rsidRPr="00ED4D0E">
        <w:rPr>
          <w:sz w:val="22"/>
          <w:szCs w:val="24"/>
        </w:rPr>
        <w:br/>
      </w:r>
      <w:r w:rsidRPr="00ED4D0E">
        <w:rPr>
          <w:sz w:val="22"/>
          <w:szCs w:val="24"/>
          <w:rtl/>
        </w:rPr>
        <w:t>مسائل أخرى</w:t>
      </w:r>
    </w:p>
    <w:p w14:paraId="5A4F5172" w14:textId="6775A79F" w:rsidR="00211E5C" w:rsidRPr="00ED4D0E" w:rsidRDefault="00211E5C"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فيما بعد]</w:t>
      </w:r>
    </w:p>
    <w:p w14:paraId="371DD4E4" w14:textId="12EBDF02" w:rsidR="00E612A5" w:rsidRPr="00ED4D0E" w:rsidRDefault="00E612A5" w:rsidP="008002E6">
      <w:pPr>
        <w:pStyle w:val="CBDAgendaItem"/>
        <w:bidi/>
        <w:rPr>
          <w:rFonts w:hint="eastAsia"/>
          <w:sz w:val="22"/>
          <w:szCs w:val="24"/>
        </w:rPr>
      </w:pPr>
      <w:r w:rsidRPr="00ED4D0E">
        <w:rPr>
          <w:sz w:val="22"/>
          <w:szCs w:val="24"/>
          <w:rtl/>
        </w:rPr>
        <w:lastRenderedPageBreak/>
        <w:t>البند 19</w:t>
      </w:r>
      <w:r w:rsidRPr="00ED4D0E">
        <w:rPr>
          <w:sz w:val="22"/>
          <w:szCs w:val="24"/>
        </w:rPr>
        <w:br/>
      </w:r>
      <w:r w:rsidRPr="00ED4D0E">
        <w:rPr>
          <w:sz w:val="22"/>
          <w:szCs w:val="24"/>
          <w:rtl/>
        </w:rPr>
        <w:t>اعتماد التقرير</w:t>
      </w:r>
    </w:p>
    <w:p w14:paraId="0EC8A2E4" w14:textId="1BA69528" w:rsidR="00211E5C" w:rsidRPr="00ED4D0E" w:rsidRDefault="00211E5C"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فيما بعد]</w:t>
      </w:r>
    </w:p>
    <w:p w14:paraId="71EB340E" w14:textId="5BBD7BEF" w:rsidR="00E612A5" w:rsidRPr="00ED4D0E" w:rsidRDefault="00E612A5" w:rsidP="008002E6">
      <w:pPr>
        <w:pStyle w:val="CBDAgendaItem"/>
        <w:bidi/>
        <w:rPr>
          <w:rFonts w:hint="eastAsia"/>
          <w:sz w:val="22"/>
          <w:szCs w:val="24"/>
        </w:rPr>
      </w:pPr>
      <w:r w:rsidRPr="00ED4D0E">
        <w:rPr>
          <w:sz w:val="22"/>
          <w:szCs w:val="24"/>
          <w:rtl/>
        </w:rPr>
        <w:t>البند 20</w:t>
      </w:r>
      <w:r w:rsidR="00AE4792" w:rsidRPr="00ED4D0E">
        <w:rPr>
          <w:rFonts w:asciiTheme="minorHAnsi" w:hAnsiTheme="minorHAnsi"/>
          <w:sz w:val="22"/>
          <w:szCs w:val="24"/>
          <w:lang w:val="en-US"/>
        </w:rPr>
        <w:t xml:space="preserve"> </w:t>
      </w:r>
      <w:r w:rsidRPr="00ED4D0E">
        <w:rPr>
          <w:sz w:val="22"/>
          <w:szCs w:val="24"/>
        </w:rPr>
        <w:br/>
      </w:r>
      <w:r w:rsidRPr="00ED4D0E">
        <w:rPr>
          <w:sz w:val="22"/>
          <w:szCs w:val="24"/>
          <w:rtl/>
        </w:rPr>
        <w:t>اختتام الاجتماع</w:t>
      </w:r>
    </w:p>
    <w:p w14:paraId="451A2531" w14:textId="584CCDF6" w:rsidR="00211E5C" w:rsidRPr="00ED4D0E" w:rsidRDefault="00211E5C" w:rsidP="008002E6">
      <w:pPr>
        <w:pStyle w:val="CBDNormalNumber"/>
        <w:numPr>
          <w:ilvl w:val="0"/>
          <w:numId w:val="9"/>
        </w:numPr>
        <w:tabs>
          <w:tab w:val="clear" w:pos="567"/>
          <w:tab w:val="clear" w:pos="1134"/>
          <w:tab w:val="clear" w:pos="1701"/>
          <w:tab w:val="clear" w:pos="2268"/>
          <w:tab w:val="clear" w:pos="2835"/>
          <w:tab w:val="clear" w:pos="3402"/>
          <w:tab w:val="clear" w:pos="3969"/>
        </w:tabs>
        <w:bidi/>
        <w:ind w:left="567" w:firstLine="0"/>
      </w:pPr>
      <w:r w:rsidRPr="00ED4D0E">
        <w:rPr>
          <w:rtl/>
        </w:rPr>
        <w:t>[يستكمل فيما بعد]</w:t>
      </w:r>
    </w:p>
    <w:p w14:paraId="167E2AC5" w14:textId="0B7AF12D" w:rsidR="005557C6" w:rsidRPr="00A85565" w:rsidRDefault="005557C6" w:rsidP="008002E6">
      <w:pPr>
        <w:suppressLineNumbers/>
        <w:suppressAutoHyphens/>
        <w:bidi/>
        <w:jc w:val="center"/>
      </w:pPr>
      <w:r w:rsidRPr="00ED4D0E">
        <w:rPr>
          <w:kern w:val="22"/>
        </w:rPr>
        <w:t>__________</w:t>
      </w:r>
    </w:p>
    <w:sectPr w:rsidR="005557C6" w:rsidRPr="00A85565" w:rsidSect="00D9323B">
      <w:headerReference w:type="even" r:id="rId25"/>
      <w:headerReference w:type="default" r:id="rId26"/>
      <w:footerReference w:type="even" r:id="rId27"/>
      <w:footerReference w:type="default" r:id="rId28"/>
      <w:headerReference w:type="first" r:id="rId29"/>
      <w:pgSz w:w="12240" w:h="15840"/>
      <w:pgMar w:top="288" w:right="1440" w:bottom="81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11A0F" w14:textId="77777777" w:rsidR="005A438A" w:rsidRPr="0025501A" w:rsidRDefault="005A438A" w:rsidP="00CF1848">
      <w:r w:rsidRPr="0025501A">
        <w:separator/>
      </w:r>
    </w:p>
  </w:endnote>
  <w:endnote w:type="continuationSeparator" w:id="0">
    <w:p w14:paraId="22B83F0A" w14:textId="77777777" w:rsidR="005A438A" w:rsidRPr="0025501A" w:rsidRDefault="005A438A"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YouYuan">
    <w:charset w:val="86"/>
    <w:family w:val="modern"/>
    <w:pitch w:val="fixed"/>
    <w:sig w:usb0="00000001" w:usb1="080E0000" w:usb2="00000010" w:usb3="00000000" w:csb0="00040000"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5F11D3" w14:textId="77777777" w:rsidR="00D75CA6" w:rsidRPr="0025501A" w:rsidRDefault="00D75CA6" w:rsidP="00D9323B">
            <w:pPr>
              <w:pStyle w:val="Footer"/>
              <w:jc w:val="right"/>
            </w:pPr>
            <w:r w:rsidRPr="00947347">
              <w:rPr>
                <w:szCs w:val="20"/>
              </w:rPr>
              <w:fldChar w:fldCharType="begin"/>
            </w:r>
            <w:r w:rsidRPr="00947347">
              <w:rPr>
                <w:szCs w:val="20"/>
              </w:rPr>
              <w:instrText xml:space="preserve"> PAGE </w:instrText>
            </w:r>
            <w:r w:rsidRPr="00947347">
              <w:rPr>
                <w:szCs w:val="20"/>
              </w:rPr>
              <w:fldChar w:fldCharType="separate"/>
            </w:r>
            <w:r w:rsidRPr="00947347">
              <w:rPr>
                <w:noProof/>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noProof/>
                <w:szCs w:val="20"/>
              </w:rPr>
              <w:t>2</w:t>
            </w:r>
            <w:r w:rsidRPr="0094734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1605174" w14:textId="77777777" w:rsidR="00D75CA6" w:rsidRPr="0025501A" w:rsidRDefault="00D75CA6" w:rsidP="00D9323B">
        <w:pPr>
          <w:pStyle w:val="Footer"/>
          <w:jc w:val="left"/>
        </w:pPr>
        <w:r w:rsidRPr="00947347">
          <w:rPr>
            <w:szCs w:val="20"/>
          </w:rPr>
          <w:fldChar w:fldCharType="begin"/>
        </w:r>
        <w:r w:rsidRPr="00947347">
          <w:rPr>
            <w:szCs w:val="20"/>
          </w:rPr>
          <w:instrText xml:space="preserve"> PAGE </w:instrText>
        </w:r>
        <w:r w:rsidRPr="00947347">
          <w:rPr>
            <w:szCs w:val="20"/>
          </w:rPr>
          <w:fldChar w:fldCharType="separate"/>
        </w:r>
        <w:r w:rsidRPr="00947347">
          <w:rPr>
            <w:szCs w:val="20"/>
          </w:rPr>
          <w:t>2</w:t>
        </w:r>
        <w:r w:rsidRPr="00947347">
          <w:rPr>
            <w:szCs w:val="20"/>
          </w:rPr>
          <w:fldChar w:fldCharType="end"/>
        </w:r>
        <w:r w:rsidRPr="0025501A">
          <w:rPr>
            <w:szCs w:val="20"/>
          </w:rPr>
          <w:t>/</w:t>
        </w:r>
        <w:r w:rsidRPr="00947347">
          <w:rPr>
            <w:szCs w:val="20"/>
          </w:rPr>
          <w:fldChar w:fldCharType="begin"/>
        </w:r>
        <w:r w:rsidRPr="00947347">
          <w:rPr>
            <w:szCs w:val="20"/>
          </w:rPr>
          <w:instrText xml:space="preserve"> NUMPAGES  </w:instrText>
        </w:r>
        <w:r w:rsidRPr="00947347">
          <w:rPr>
            <w:szCs w:val="20"/>
          </w:rPr>
          <w:fldChar w:fldCharType="separate"/>
        </w:r>
        <w:r w:rsidRPr="00947347">
          <w:rPr>
            <w:szCs w:val="20"/>
          </w:rPr>
          <w:t>3</w:t>
        </w:r>
        <w:r w:rsidRPr="0094734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373EA" w14:textId="77777777" w:rsidR="005A438A" w:rsidRPr="0025501A" w:rsidRDefault="005A438A" w:rsidP="00687EDF">
      <w:pPr>
        <w:bidi/>
      </w:pPr>
      <w:r w:rsidRPr="0025501A">
        <w:separator/>
      </w:r>
    </w:p>
  </w:footnote>
  <w:footnote w:type="continuationSeparator" w:id="0">
    <w:p w14:paraId="529EA6AA" w14:textId="77777777" w:rsidR="005A438A" w:rsidRPr="0025501A" w:rsidRDefault="005A438A" w:rsidP="00CF1848">
      <w:r w:rsidRPr="0025501A">
        <w:continuationSeparator/>
      </w:r>
    </w:p>
  </w:footnote>
  <w:footnote w:id="1">
    <w:p w14:paraId="68CC19CF" w14:textId="3B9842E7" w:rsidR="00AF0C14" w:rsidRPr="00793369" w:rsidRDefault="00AF0C14" w:rsidP="00933E94">
      <w:pPr>
        <w:pStyle w:val="FootnoteText"/>
        <w:bidi/>
      </w:pPr>
      <w:r w:rsidRPr="00793369">
        <w:rPr>
          <w:rStyle w:val="FootnoteReference"/>
        </w:rPr>
        <w:footnoteRef/>
      </w:r>
      <w:r>
        <w:rPr>
          <w:rtl/>
        </w:rPr>
        <w:t xml:space="preserve"> البيانات التي أدلي بها أثناء الاجتماع والتي قدمها المشاركون كتابة متاحة على الموقع </w:t>
      </w:r>
      <w:r w:rsidR="00933E94">
        <w:fldChar w:fldCharType="begin"/>
      </w:r>
      <w:r w:rsidR="00933E94">
        <w:instrText>HYPERLINK "https://www.cbd.int/meetings/CP-MOP-12"</w:instrText>
      </w:r>
      <w:r w:rsidR="00933E94">
        <w:fldChar w:fldCharType="separate"/>
      </w:r>
      <w:r w:rsidR="00933E94" w:rsidRPr="00933E94">
        <w:rPr>
          <w:rStyle w:val="Hyperlink"/>
        </w:rPr>
        <w:t>www.cbd.int/meetings/CP-MOP-12</w:t>
      </w:r>
      <w:r w:rsidR="00933E94">
        <w:fldChar w:fldCharType="end"/>
      </w:r>
      <w:r>
        <w:rPr>
          <w:rtl/>
        </w:rPr>
        <w:t>.</w:t>
      </w:r>
    </w:p>
  </w:footnote>
  <w:footnote w:id="2">
    <w:p w14:paraId="2507F2FC" w14:textId="6845AB8E" w:rsidR="00012DD6" w:rsidRPr="00012DD6" w:rsidRDefault="00012DD6">
      <w:pPr>
        <w:pStyle w:val="FootnoteText"/>
        <w:bidi/>
        <w:rPr>
          <w:lang w:val="en-CA"/>
        </w:rPr>
      </w:pPr>
      <w:r>
        <w:rPr>
          <w:rStyle w:val="FootnoteReference"/>
        </w:rPr>
        <w:footnoteRef/>
      </w:r>
      <w:r>
        <w:rPr>
          <w:rtl/>
        </w:rPr>
        <w:t xml:space="preserve"> </w:t>
      </w:r>
      <w:r>
        <w:rPr>
          <w:rtl/>
        </w:rPr>
        <w:t xml:space="preserve">انظر </w:t>
      </w:r>
      <w:r>
        <w:t>CBD/COP/17/xx</w:t>
      </w:r>
      <w:r>
        <w:rPr>
          <w:rtl/>
        </w:rPr>
        <w:t>، الفقرة [</w:t>
      </w:r>
      <w:r>
        <w:t>xx</w:t>
      </w:r>
      <w:r>
        <w:rPr>
          <w:rtl/>
        </w:rPr>
        <w:t>]، للاطلاع على موجز الكلمات الافتتاحية.</w:t>
      </w:r>
    </w:p>
  </w:footnote>
  <w:footnote w:id="3">
    <w:p w14:paraId="254F0A84" w14:textId="489F98AD" w:rsidR="00B30C6B" w:rsidRPr="008E1212" w:rsidRDefault="00B30C6B" w:rsidP="00B30C6B">
      <w:pPr>
        <w:pStyle w:val="FootnoteText"/>
        <w:bidi/>
      </w:pPr>
      <w:r w:rsidRPr="008E1212">
        <w:rPr>
          <w:rStyle w:val="FootnoteReference"/>
        </w:rPr>
        <w:footnoteRef/>
      </w:r>
      <w:r>
        <w:rPr>
          <w:rtl/>
        </w:rPr>
        <w:t xml:space="preserve"> </w:t>
      </w:r>
      <w:r>
        <w:rPr>
          <w:rtl/>
        </w:rPr>
        <w:t xml:space="preserve">انظر </w:t>
      </w:r>
      <w:r>
        <w:t>CBD/COP/17/xx</w:t>
      </w:r>
      <w:r>
        <w:rPr>
          <w:rtl/>
        </w:rPr>
        <w:t>، الفقرة [</w:t>
      </w:r>
      <w:proofErr w:type="spellStart"/>
      <w:r>
        <w:t>yy</w:t>
      </w:r>
      <w:proofErr w:type="spellEnd"/>
      <w:r>
        <w:rPr>
          <w:rtl/>
        </w:rPr>
        <w:t>]، للاطلاع على موجز الكلمات الافتتاحية.</w:t>
      </w:r>
    </w:p>
  </w:footnote>
  <w:footnote w:id="4">
    <w:p w14:paraId="0AF3EA42" w14:textId="127F1761" w:rsidR="008752A2" w:rsidRPr="00981A15" w:rsidRDefault="008752A2" w:rsidP="00A07FF3">
      <w:pPr>
        <w:pStyle w:val="FootnoteText"/>
        <w:bidi/>
        <w:rPr>
          <w:lang w:val="en-CA"/>
        </w:rPr>
      </w:pPr>
      <w:r>
        <w:rPr>
          <w:rStyle w:val="FootnoteReference"/>
        </w:rPr>
        <w:footnoteRef/>
      </w:r>
      <w:r>
        <w:rPr>
          <w:rtl/>
        </w:rPr>
        <w:t xml:space="preserve"> </w:t>
      </w:r>
      <w:r>
        <w:rPr>
          <w:rtl/>
        </w:rPr>
        <w:t xml:space="preserve">انظر </w:t>
      </w:r>
      <w:hyperlink r:id="rId1" w:history="1">
        <w:r w:rsidR="00A07FF3" w:rsidRPr="00A07FF3">
          <w:rPr>
            <w:rStyle w:val="Hyperlink"/>
          </w:rPr>
          <w:t>C</w:t>
        </w:r>
      </w:hyperlink>
      <w:r w:rsidR="00A07FF3" w:rsidRPr="00A07FF3">
        <w:t xml:space="preserve"> </w:t>
      </w:r>
      <w:hyperlink r:id="rId2" w:history="1">
        <w:r w:rsidR="00A07FF3" w:rsidRPr="00A07FF3">
          <w:rPr>
            <w:rStyle w:val="Hyperlink"/>
          </w:rPr>
          <w:t>www.cbd.int/meetings/IMP-OM-2026-02</w:t>
        </w:r>
      </w:hyperlink>
      <w:r>
        <w:rPr>
          <w:rtl/>
        </w:rPr>
        <w:t xml:space="preserve"> للاطلاع على وثائق الحوار.</w:t>
      </w:r>
    </w:p>
  </w:footnote>
  <w:footnote w:id="5">
    <w:p w14:paraId="764123DF" w14:textId="662B9434" w:rsidR="008752A2" w:rsidRPr="00FC5355" w:rsidRDefault="008752A2" w:rsidP="004E2126">
      <w:pPr>
        <w:pStyle w:val="FootnoteText"/>
        <w:bidi/>
        <w:rPr>
          <w:lang w:val="en-CA"/>
        </w:rPr>
      </w:pPr>
      <w:r>
        <w:rPr>
          <w:rStyle w:val="FootnoteReference"/>
        </w:rPr>
        <w:footnoteRef/>
      </w:r>
      <w:r>
        <w:rPr>
          <w:rtl/>
        </w:rPr>
        <w:t xml:space="preserve"> </w:t>
      </w:r>
      <w:hyperlink r:id="rId3" w:history="1">
        <w:r w:rsidR="004E2126" w:rsidRPr="004E2126">
          <w:rPr>
            <w:rStyle w:val="Hyperlink"/>
          </w:rPr>
          <w:t>CBD/CP/MOP/12/1</w:t>
        </w:r>
      </w:hyperlink>
      <w:r>
        <w:rPr>
          <w:rtl/>
        </w:rPr>
        <w:t>.</w:t>
      </w:r>
    </w:p>
  </w:footnote>
  <w:footnote w:id="6">
    <w:p w14:paraId="3C0A28BC" w14:textId="4F9AE2CB" w:rsidR="008752A2" w:rsidRPr="00207786" w:rsidRDefault="008752A2" w:rsidP="004E2126">
      <w:pPr>
        <w:pStyle w:val="FootnoteText"/>
        <w:bidi/>
        <w:rPr>
          <w:lang w:val="en-CA"/>
        </w:rPr>
      </w:pPr>
      <w:r>
        <w:rPr>
          <w:rStyle w:val="FootnoteReference"/>
        </w:rPr>
        <w:footnoteRef/>
      </w:r>
      <w:r>
        <w:rPr>
          <w:rtl/>
        </w:rPr>
        <w:t xml:space="preserve"> </w:t>
      </w:r>
      <w:hyperlink r:id="rId4" w:history="1">
        <w:r w:rsidR="004E2126" w:rsidRPr="004E2126">
          <w:rPr>
            <w:rStyle w:val="Hyperlink"/>
            <w:lang w:val="en-CA"/>
          </w:rPr>
          <w:t>CBD/CP/MOP/12/1/Add.1</w:t>
        </w:r>
      </w:hyperlink>
      <w:r>
        <w:rPr>
          <w:rtl/>
        </w:rPr>
        <w:t>.</w:t>
      </w:r>
    </w:p>
  </w:footnote>
  <w:footnote w:id="7">
    <w:p w14:paraId="6CC97E8C" w14:textId="26576933" w:rsidR="008752A2" w:rsidRPr="009D315F" w:rsidRDefault="008752A2" w:rsidP="004E2126">
      <w:pPr>
        <w:pStyle w:val="FootnoteText"/>
        <w:bidi/>
        <w:rPr>
          <w:lang w:val="en-CA"/>
        </w:rPr>
      </w:pPr>
      <w:r>
        <w:rPr>
          <w:rStyle w:val="FootnoteReference"/>
        </w:rPr>
        <w:footnoteRef/>
      </w:r>
      <w:r>
        <w:rPr>
          <w:rtl/>
        </w:rPr>
        <w:t xml:space="preserve"> </w:t>
      </w:r>
      <w:hyperlink r:id="rId5" w:history="1">
        <w:r w:rsidR="004E2126" w:rsidRPr="004E2126">
          <w:rPr>
            <w:rStyle w:val="Hyperlink"/>
          </w:rPr>
          <w:t>CBD/CP/MOP/12/1/Add.2/Rev.1</w:t>
        </w:r>
      </w:hyperlink>
      <w:r>
        <w:rPr>
          <w:rtl/>
        </w:rPr>
        <w:t>.</w:t>
      </w:r>
    </w:p>
  </w:footnote>
  <w:footnote w:id="8">
    <w:p w14:paraId="1E9D6641" w14:textId="10B631BD" w:rsidR="007834B9" w:rsidRPr="000915F2" w:rsidRDefault="007834B9" w:rsidP="0035462F">
      <w:pPr>
        <w:pStyle w:val="FootnoteText"/>
        <w:bidi/>
        <w:rPr>
          <w:lang w:val="en-CA"/>
        </w:rPr>
      </w:pPr>
      <w:r>
        <w:rPr>
          <w:rStyle w:val="FootnoteReference"/>
        </w:rPr>
        <w:footnoteRef/>
      </w:r>
      <w:r>
        <w:rPr>
          <w:rtl/>
        </w:rPr>
        <w:t xml:space="preserve"> </w:t>
      </w:r>
      <w:hyperlink r:id="rId6" w:history="1">
        <w:r w:rsidR="0035462F" w:rsidRPr="0035462F">
          <w:rPr>
            <w:rStyle w:val="Hyperlink"/>
          </w:rPr>
          <w:t>CBD/CP/MOP/12/INF/10</w:t>
        </w:r>
      </w:hyperlink>
      <w:r>
        <w:rPr>
          <w:rtl/>
        </w:rPr>
        <w:t>.</w:t>
      </w:r>
    </w:p>
  </w:footnote>
  <w:footnote w:id="9">
    <w:p w14:paraId="0838F214" w14:textId="4AEA282A" w:rsidR="00702238" w:rsidRPr="00793369" w:rsidRDefault="00702238" w:rsidP="00791EE5">
      <w:pPr>
        <w:pStyle w:val="FootnoteText"/>
        <w:bidi/>
      </w:pPr>
      <w:r w:rsidRPr="00793369">
        <w:rPr>
          <w:rStyle w:val="FootnoteReference"/>
        </w:rPr>
        <w:footnoteRef/>
      </w:r>
      <w:r>
        <w:rPr>
          <w:rtl/>
        </w:rPr>
        <w:t xml:space="preserve"> </w:t>
      </w:r>
      <w:hyperlink r:id="rId7" w:history="1">
        <w:r w:rsidR="00791EE5" w:rsidRPr="00791EE5">
          <w:rPr>
            <w:rStyle w:val="Hyperlink"/>
          </w:rPr>
          <w:t>CBD/SBSTTA/27/10</w:t>
        </w:r>
      </w:hyperlink>
      <w:r>
        <w:rPr>
          <w:rtl/>
        </w:rPr>
        <w:t>.</w:t>
      </w:r>
    </w:p>
  </w:footnote>
  <w:footnote w:id="10">
    <w:p w14:paraId="0BAB961D" w14:textId="6C575CB7" w:rsidR="00702238" w:rsidRPr="00793369" w:rsidRDefault="00702238" w:rsidP="00791EE5">
      <w:pPr>
        <w:pStyle w:val="FootnoteText"/>
        <w:bidi/>
      </w:pPr>
      <w:r w:rsidRPr="00793369">
        <w:rPr>
          <w:rStyle w:val="FootnoteReference"/>
        </w:rPr>
        <w:footnoteRef/>
      </w:r>
      <w:r>
        <w:rPr>
          <w:rtl/>
        </w:rPr>
        <w:t xml:space="preserve"> </w:t>
      </w:r>
      <w:hyperlink r:id="rId8" w:history="1">
        <w:r w:rsidR="00791EE5" w:rsidRPr="00791EE5">
          <w:rPr>
            <w:rStyle w:val="Hyperlink"/>
          </w:rPr>
          <w:t>CBD/SBI/6/11</w:t>
        </w:r>
      </w:hyperlink>
      <w:r>
        <w:rPr>
          <w:rtl/>
        </w:rPr>
        <w:t xml:space="preserve"> و</w:t>
      </w:r>
      <w:hyperlink r:id="rId9" w:history="1">
        <w:r w:rsidR="00791EE5" w:rsidRPr="00791EE5">
          <w:rPr>
            <w:rStyle w:val="Hyperlink"/>
          </w:rPr>
          <w:t>CBD/SBI/7/16</w:t>
        </w:r>
      </w:hyperlink>
      <w:r>
        <w:rPr>
          <w:rtl/>
        </w:rPr>
        <w:t>، على التوالي.</w:t>
      </w:r>
    </w:p>
  </w:footnote>
  <w:footnote w:id="11">
    <w:p w14:paraId="20A0F564" w14:textId="669FE7DF" w:rsidR="00F22085" w:rsidRPr="003E45D7" w:rsidRDefault="00F22085" w:rsidP="008547DD">
      <w:pPr>
        <w:pStyle w:val="FootnoteText"/>
        <w:bidi/>
      </w:pPr>
      <w:r w:rsidRPr="003E45D7">
        <w:rPr>
          <w:rStyle w:val="FootnoteReference"/>
        </w:rPr>
        <w:footnoteRef/>
      </w:r>
      <w:r>
        <w:rPr>
          <w:snapToGrid w:val="0"/>
          <w:rtl/>
        </w:rPr>
        <w:t xml:space="preserve"> </w:t>
      </w:r>
      <w:hyperlink r:id="rId10" w:history="1">
        <w:r w:rsidR="008547DD" w:rsidRPr="008547DD">
          <w:rPr>
            <w:rStyle w:val="Hyperlink"/>
          </w:rPr>
          <w:t>CBD/CP/MOP/12/2</w:t>
        </w:r>
      </w:hyperlink>
      <w:r>
        <w:rPr>
          <w:snapToGrid w:val="0"/>
          <w:rtl/>
        </w:rPr>
        <w:t>، البند 5.</w:t>
      </w:r>
    </w:p>
  </w:footnote>
  <w:footnote w:id="12">
    <w:p w14:paraId="59F2BE37" w14:textId="6EFEEA0A" w:rsidR="00F22085" w:rsidRPr="003E45D7" w:rsidRDefault="00F22085" w:rsidP="008547DD">
      <w:pPr>
        <w:pStyle w:val="FootnoteText"/>
        <w:bidi/>
      </w:pPr>
      <w:r w:rsidRPr="003E45D7">
        <w:rPr>
          <w:rStyle w:val="FootnoteReference"/>
        </w:rPr>
        <w:footnoteRef/>
      </w:r>
      <w:r>
        <w:rPr>
          <w:rtl/>
        </w:rPr>
        <w:t xml:space="preserve"> </w:t>
      </w:r>
      <w:hyperlink r:id="rId11" w:history="1">
        <w:r w:rsidR="008547DD" w:rsidRPr="008547DD">
          <w:rPr>
            <w:rStyle w:val="Hyperlink"/>
          </w:rPr>
          <w:t>CBD/CP/MOP/12/3</w:t>
        </w:r>
      </w:hyperlink>
      <w:r>
        <w:rPr>
          <w:rtl/>
        </w:rPr>
        <w:t>.</w:t>
      </w:r>
    </w:p>
  </w:footnote>
  <w:footnote w:id="13">
    <w:p w14:paraId="09F5344B" w14:textId="4B990E15" w:rsidR="003E634A" w:rsidRPr="00793369" w:rsidRDefault="003E634A" w:rsidP="008547DD">
      <w:pPr>
        <w:pStyle w:val="FootnoteText"/>
        <w:bidi/>
      </w:pPr>
      <w:r w:rsidRPr="00793369">
        <w:rPr>
          <w:rStyle w:val="FootnoteReference"/>
        </w:rPr>
        <w:footnoteRef/>
      </w:r>
      <w:r>
        <w:rPr>
          <w:kern w:val="22"/>
          <w:rtl/>
        </w:rPr>
        <w:t xml:space="preserve"> </w:t>
      </w:r>
      <w:hyperlink r:id="rId12" w:history="1">
        <w:r w:rsidR="008547DD" w:rsidRPr="008547DD">
          <w:rPr>
            <w:rStyle w:val="Hyperlink"/>
          </w:rPr>
          <w:t>CBD/CP/MOP/12/2</w:t>
        </w:r>
      </w:hyperlink>
      <w:r>
        <w:rPr>
          <w:kern w:val="22"/>
          <w:rtl/>
        </w:rPr>
        <w:t>، البند 6.</w:t>
      </w:r>
    </w:p>
  </w:footnote>
  <w:footnote w:id="14">
    <w:p w14:paraId="1EE3DFF7" w14:textId="4C7C91DC" w:rsidR="003E634A" w:rsidRPr="00793369" w:rsidRDefault="003E634A" w:rsidP="00791EE5">
      <w:pPr>
        <w:pStyle w:val="FootnoteText"/>
        <w:bidi/>
      </w:pPr>
      <w:r w:rsidRPr="00793369">
        <w:rPr>
          <w:rStyle w:val="FootnoteReference"/>
        </w:rPr>
        <w:footnoteRef/>
      </w:r>
      <w:r>
        <w:rPr>
          <w:snapToGrid w:val="0"/>
          <w:rtl/>
        </w:rPr>
        <w:t xml:space="preserve"> </w:t>
      </w:r>
      <w:hyperlink r:id="rId13" w:history="1">
        <w:r w:rsidR="00791EE5" w:rsidRPr="00791EE5">
          <w:rPr>
            <w:rStyle w:val="Hyperlink"/>
          </w:rPr>
          <w:t>CBD/CP/MOP/12/4</w:t>
        </w:r>
      </w:hyperlink>
      <w:r>
        <w:rPr>
          <w:snapToGrid w:val="0"/>
          <w:rtl/>
        </w:rPr>
        <w:t>.</w:t>
      </w:r>
    </w:p>
  </w:footnote>
  <w:footnote w:id="15">
    <w:p w14:paraId="2713BB7B" w14:textId="24080C0E" w:rsidR="003E634A" w:rsidRPr="00793369" w:rsidRDefault="003E634A" w:rsidP="00791EE5">
      <w:pPr>
        <w:pStyle w:val="FootnoteText"/>
        <w:bidi/>
      </w:pPr>
      <w:r w:rsidRPr="00793369">
        <w:rPr>
          <w:rStyle w:val="FootnoteReference"/>
        </w:rPr>
        <w:footnoteRef/>
      </w:r>
      <w:r>
        <w:rPr>
          <w:rtl/>
        </w:rPr>
        <w:t xml:space="preserve"> </w:t>
      </w:r>
      <w:hyperlink r:id="rId14" w:history="1">
        <w:r w:rsidR="00791EE5" w:rsidRPr="00791EE5">
          <w:rPr>
            <w:rStyle w:val="Hyperlink"/>
          </w:rPr>
          <w:t>CBD/CP/MOP/12/5</w:t>
        </w:r>
      </w:hyperlink>
      <w:r>
        <w:rPr>
          <w:rtl/>
        </w:rPr>
        <w:t>.</w:t>
      </w:r>
    </w:p>
  </w:footnote>
  <w:footnote w:id="16">
    <w:p w14:paraId="3B0C32BA" w14:textId="137EE63F" w:rsidR="003E634A" w:rsidRPr="00C513D6" w:rsidRDefault="003E634A" w:rsidP="00791EE5">
      <w:pPr>
        <w:pStyle w:val="FootnoteText"/>
        <w:bidi/>
        <w:rPr>
          <w:lang w:val="en-CA"/>
        </w:rPr>
      </w:pPr>
      <w:r>
        <w:rPr>
          <w:rStyle w:val="FootnoteReference"/>
        </w:rPr>
        <w:footnoteRef/>
      </w:r>
      <w:r>
        <w:rPr>
          <w:rtl/>
        </w:rPr>
        <w:t xml:space="preserve"> </w:t>
      </w:r>
      <w:hyperlink r:id="rId15" w:history="1">
        <w:r w:rsidR="00791EE5" w:rsidRPr="00791EE5">
          <w:rPr>
            <w:rStyle w:val="Hyperlink"/>
          </w:rPr>
          <w:t>CBD/CP/MOP/12/5/Add.1</w:t>
        </w:r>
      </w:hyperlink>
      <w:r w:rsidR="00791EE5">
        <w:rPr>
          <w:rFonts w:hint="cs"/>
          <w:rtl/>
        </w:rPr>
        <w:t>.</w:t>
      </w:r>
    </w:p>
  </w:footnote>
  <w:footnote w:id="17">
    <w:p w14:paraId="5E02E9A0" w14:textId="364B2EB0" w:rsidR="003E634A" w:rsidRPr="00793369" w:rsidRDefault="003E634A" w:rsidP="00791EE5">
      <w:pPr>
        <w:pStyle w:val="FootnoteText"/>
        <w:bidi/>
      </w:pPr>
      <w:r w:rsidRPr="00793369">
        <w:rPr>
          <w:rStyle w:val="FootnoteReference"/>
        </w:rPr>
        <w:footnoteRef/>
      </w:r>
      <w:r>
        <w:rPr>
          <w:rtl/>
        </w:rPr>
        <w:t xml:space="preserve"> </w:t>
      </w:r>
      <w:hyperlink r:id="rId16" w:history="1">
        <w:r w:rsidR="00791EE5" w:rsidRPr="00791EE5">
          <w:rPr>
            <w:rStyle w:val="Hyperlink"/>
          </w:rPr>
          <w:t>CBD/CP/MOP/12/5/Add.2</w:t>
        </w:r>
      </w:hyperlink>
      <w:r>
        <w:rPr>
          <w:rtl/>
        </w:rPr>
        <w:t>.</w:t>
      </w:r>
    </w:p>
  </w:footnote>
  <w:footnote w:id="18">
    <w:p w14:paraId="73D760B5" w14:textId="388591DA" w:rsidR="00241536" w:rsidRPr="000915F2" w:rsidRDefault="00241536" w:rsidP="008547DD">
      <w:pPr>
        <w:pStyle w:val="FootnoteText"/>
        <w:bidi/>
        <w:rPr>
          <w:lang w:val="en-CA"/>
        </w:rPr>
      </w:pPr>
      <w:r>
        <w:rPr>
          <w:rStyle w:val="FootnoteReference"/>
        </w:rPr>
        <w:footnoteRef/>
      </w:r>
      <w:r>
        <w:rPr>
          <w:rtl/>
        </w:rPr>
        <w:t xml:space="preserve"> </w:t>
      </w:r>
      <w:hyperlink r:id="rId17" w:history="1">
        <w:r w:rsidR="008547DD" w:rsidRPr="008547DD">
          <w:rPr>
            <w:rStyle w:val="Hyperlink"/>
          </w:rPr>
          <w:t>CBD/CP/MOP/12/INF/9</w:t>
        </w:r>
      </w:hyperlink>
      <w:r>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1134C8" w14:textId="6FEBFBD7" w:rsidR="00534681" w:rsidRPr="0025501A" w:rsidRDefault="0073151C" w:rsidP="00D9323B">
        <w:pPr>
          <w:pStyle w:val="Header"/>
          <w:bidi/>
          <w:spacing w:after="240"/>
          <w:rPr>
            <w:szCs w:val="20"/>
          </w:rPr>
        </w:pPr>
        <w:r w:rsidRPr="0025501A">
          <w:rPr>
            <w:szCs w:val="20"/>
          </w:rPr>
          <w:t>CBD/CP/MOP/12/</w:t>
        </w:r>
        <w:r w:rsidR="00776D8B">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1BA21958" w:rsidR="009505C9" w:rsidRPr="00947347" w:rsidRDefault="00000000" w:rsidP="00D9323B">
    <w:pPr>
      <w:pStyle w:val="Header"/>
      <w:bidi/>
      <w:spacing w:after="240"/>
      <w:jc w:val="right"/>
      <w:rPr>
        <w:szCs w:val="20"/>
      </w:rPr>
    </w:pPr>
    <w:sdt>
      <w:sdtPr>
        <w:rPr>
          <w:szCs w:val="20"/>
          <w:rtl/>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Content>
        <w:r w:rsidR="00776D8B">
          <w:rPr>
            <w:szCs w:val="20"/>
          </w:rPr>
          <w:t>CBD/CP/MOP/12/L.1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Pr="00026994" w:rsidRDefault="00290E89" w:rsidP="00BD6EA3">
    <w:pPr>
      <w:pStyle w:val="Header"/>
      <w:pBdr>
        <w:bottom w:val="none" w:sz="0" w:space="0" w:color="auto"/>
      </w:pBdr>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F38CD"/>
    <w:multiLevelType w:val="hybridMultilevel"/>
    <w:tmpl w:val="93522CDE"/>
    <w:lvl w:ilvl="0" w:tplc="94981D7C">
      <w:start w:val="1"/>
      <w:numFmt w:val="decimal"/>
      <w:lvlText w:val="%1-"/>
      <w:lvlJc w:val="left"/>
      <w:pPr>
        <w:ind w:left="1440" w:hanging="36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893932166">
    <w:abstractNumId w:val="5"/>
  </w:num>
  <w:num w:numId="6" w16cid:durableId="323945383">
    <w:abstractNumId w:val="4"/>
  </w:num>
  <w:num w:numId="7" w16cid:durableId="596838060">
    <w:abstractNumId w:val="2"/>
  </w:num>
  <w:num w:numId="8" w16cid:durableId="1884899085">
    <w:abstractNumId w:val="8"/>
  </w:num>
  <w:num w:numId="9" w16cid:durableId="183371455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2073"/>
    <w:rsid w:val="00003AF5"/>
    <w:rsid w:val="000059CC"/>
    <w:rsid w:val="0000787B"/>
    <w:rsid w:val="00007EF8"/>
    <w:rsid w:val="00007F9C"/>
    <w:rsid w:val="00010212"/>
    <w:rsid w:val="00010D68"/>
    <w:rsid w:val="00012DD6"/>
    <w:rsid w:val="0001439B"/>
    <w:rsid w:val="000162AB"/>
    <w:rsid w:val="00016F52"/>
    <w:rsid w:val="000200E3"/>
    <w:rsid w:val="00022724"/>
    <w:rsid w:val="0002382C"/>
    <w:rsid w:val="00023A2E"/>
    <w:rsid w:val="00023FF9"/>
    <w:rsid w:val="00024E1F"/>
    <w:rsid w:val="00025478"/>
    <w:rsid w:val="00026994"/>
    <w:rsid w:val="00026C47"/>
    <w:rsid w:val="00030011"/>
    <w:rsid w:val="0003236A"/>
    <w:rsid w:val="0003295B"/>
    <w:rsid w:val="0003503A"/>
    <w:rsid w:val="00035498"/>
    <w:rsid w:val="00035543"/>
    <w:rsid w:val="000363E2"/>
    <w:rsid w:val="00037458"/>
    <w:rsid w:val="0003776C"/>
    <w:rsid w:val="00040DD8"/>
    <w:rsid w:val="00041B94"/>
    <w:rsid w:val="00043985"/>
    <w:rsid w:val="000442C6"/>
    <w:rsid w:val="000450B1"/>
    <w:rsid w:val="00046155"/>
    <w:rsid w:val="00047CC0"/>
    <w:rsid w:val="00047DFA"/>
    <w:rsid w:val="00050391"/>
    <w:rsid w:val="00050A82"/>
    <w:rsid w:val="0005380E"/>
    <w:rsid w:val="00053D89"/>
    <w:rsid w:val="00054778"/>
    <w:rsid w:val="00054B61"/>
    <w:rsid w:val="00056EF6"/>
    <w:rsid w:val="000617E2"/>
    <w:rsid w:val="00063979"/>
    <w:rsid w:val="0006463F"/>
    <w:rsid w:val="00065245"/>
    <w:rsid w:val="00067706"/>
    <w:rsid w:val="000703BF"/>
    <w:rsid w:val="0007171B"/>
    <w:rsid w:val="000718AC"/>
    <w:rsid w:val="00072248"/>
    <w:rsid w:val="00074168"/>
    <w:rsid w:val="000746FB"/>
    <w:rsid w:val="0007473F"/>
    <w:rsid w:val="00074810"/>
    <w:rsid w:val="000748EA"/>
    <w:rsid w:val="00076228"/>
    <w:rsid w:val="0007644C"/>
    <w:rsid w:val="00076619"/>
    <w:rsid w:val="0007748D"/>
    <w:rsid w:val="00077D03"/>
    <w:rsid w:val="00081893"/>
    <w:rsid w:val="00082D10"/>
    <w:rsid w:val="000839B6"/>
    <w:rsid w:val="00083E14"/>
    <w:rsid w:val="0008692E"/>
    <w:rsid w:val="00087810"/>
    <w:rsid w:val="00090291"/>
    <w:rsid w:val="00091613"/>
    <w:rsid w:val="000919CA"/>
    <w:rsid w:val="00092881"/>
    <w:rsid w:val="000931D5"/>
    <w:rsid w:val="000953B0"/>
    <w:rsid w:val="00095F90"/>
    <w:rsid w:val="00096303"/>
    <w:rsid w:val="00096E87"/>
    <w:rsid w:val="000A1551"/>
    <w:rsid w:val="000A1B80"/>
    <w:rsid w:val="000A2645"/>
    <w:rsid w:val="000A2C0D"/>
    <w:rsid w:val="000A459D"/>
    <w:rsid w:val="000A4EE8"/>
    <w:rsid w:val="000A603A"/>
    <w:rsid w:val="000A735D"/>
    <w:rsid w:val="000A7C11"/>
    <w:rsid w:val="000B14BE"/>
    <w:rsid w:val="000B2DA5"/>
    <w:rsid w:val="000B393D"/>
    <w:rsid w:val="000B3972"/>
    <w:rsid w:val="000B4008"/>
    <w:rsid w:val="000B4216"/>
    <w:rsid w:val="000B4449"/>
    <w:rsid w:val="000B7E4D"/>
    <w:rsid w:val="000C06BA"/>
    <w:rsid w:val="000C08A2"/>
    <w:rsid w:val="000C09B2"/>
    <w:rsid w:val="000C0E12"/>
    <w:rsid w:val="000C1236"/>
    <w:rsid w:val="000C1458"/>
    <w:rsid w:val="000C1672"/>
    <w:rsid w:val="000C414D"/>
    <w:rsid w:val="000C4AFB"/>
    <w:rsid w:val="000C4E7E"/>
    <w:rsid w:val="000C57BE"/>
    <w:rsid w:val="000C6140"/>
    <w:rsid w:val="000C6576"/>
    <w:rsid w:val="000C6FBB"/>
    <w:rsid w:val="000D0040"/>
    <w:rsid w:val="000D0222"/>
    <w:rsid w:val="000D0377"/>
    <w:rsid w:val="000D0A6E"/>
    <w:rsid w:val="000D0F68"/>
    <w:rsid w:val="000D1B3A"/>
    <w:rsid w:val="000D2B02"/>
    <w:rsid w:val="000D354E"/>
    <w:rsid w:val="000D3673"/>
    <w:rsid w:val="000D3AE7"/>
    <w:rsid w:val="000D3B16"/>
    <w:rsid w:val="000E0359"/>
    <w:rsid w:val="000E0EE0"/>
    <w:rsid w:val="000E1A69"/>
    <w:rsid w:val="000E673A"/>
    <w:rsid w:val="000E6CDA"/>
    <w:rsid w:val="000F199B"/>
    <w:rsid w:val="000F2D23"/>
    <w:rsid w:val="000F305B"/>
    <w:rsid w:val="000F3894"/>
    <w:rsid w:val="000F4179"/>
    <w:rsid w:val="000F44DF"/>
    <w:rsid w:val="000F454D"/>
    <w:rsid w:val="000F6058"/>
    <w:rsid w:val="000F6945"/>
    <w:rsid w:val="000F74F5"/>
    <w:rsid w:val="000F78FC"/>
    <w:rsid w:val="000F7F44"/>
    <w:rsid w:val="001009B3"/>
    <w:rsid w:val="00100BF6"/>
    <w:rsid w:val="00102043"/>
    <w:rsid w:val="001021D7"/>
    <w:rsid w:val="00102A2F"/>
    <w:rsid w:val="001047EC"/>
    <w:rsid w:val="00104982"/>
    <w:rsid w:val="00105372"/>
    <w:rsid w:val="001054A6"/>
    <w:rsid w:val="001078A1"/>
    <w:rsid w:val="00110443"/>
    <w:rsid w:val="00111347"/>
    <w:rsid w:val="0011270D"/>
    <w:rsid w:val="00113596"/>
    <w:rsid w:val="001148CE"/>
    <w:rsid w:val="00114E4B"/>
    <w:rsid w:val="00114E77"/>
    <w:rsid w:val="00116B43"/>
    <w:rsid w:val="001170FB"/>
    <w:rsid w:val="00117D16"/>
    <w:rsid w:val="00120703"/>
    <w:rsid w:val="00120BB3"/>
    <w:rsid w:val="00120F55"/>
    <w:rsid w:val="00122207"/>
    <w:rsid w:val="00125D00"/>
    <w:rsid w:val="001306EC"/>
    <w:rsid w:val="00130A5E"/>
    <w:rsid w:val="00130AB0"/>
    <w:rsid w:val="001311DA"/>
    <w:rsid w:val="001312AD"/>
    <w:rsid w:val="00131E7A"/>
    <w:rsid w:val="0013280B"/>
    <w:rsid w:val="00132A7D"/>
    <w:rsid w:val="00133DFF"/>
    <w:rsid w:val="00134846"/>
    <w:rsid w:val="001356AB"/>
    <w:rsid w:val="00135893"/>
    <w:rsid w:val="0013640D"/>
    <w:rsid w:val="001372EE"/>
    <w:rsid w:val="00137B7F"/>
    <w:rsid w:val="00142F47"/>
    <w:rsid w:val="001435CB"/>
    <w:rsid w:val="00146100"/>
    <w:rsid w:val="001468E4"/>
    <w:rsid w:val="00146E6A"/>
    <w:rsid w:val="00150B94"/>
    <w:rsid w:val="00151856"/>
    <w:rsid w:val="001538F6"/>
    <w:rsid w:val="00153D4B"/>
    <w:rsid w:val="00154090"/>
    <w:rsid w:val="001542D0"/>
    <w:rsid w:val="001556EA"/>
    <w:rsid w:val="00157C65"/>
    <w:rsid w:val="00160521"/>
    <w:rsid w:val="001618BA"/>
    <w:rsid w:val="00163791"/>
    <w:rsid w:val="0016410B"/>
    <w:rsid w:val="0016429D"/>
    <w:rsid w:val="00164A45"/>
    <w:rsid w:val="00164D72"/>
    <w:rsid w:val="0016518F"/>
    <w:rsid w:val="00165576"/>
    <w:rsid w:val="00166A81"/>
    <w:rsid w:val="00167DCA"/>
    <w:rsid w:val="00171655"/>
    <w:rsid w:val="00171C16"/>
    <w:rsid w:val="00172AF6"/>
    <w:rsid w:val="00172F3F"/>
    <w:rsid w:val="001733D8"/>
    <w:rsid w:val="00174CBE"/>
    <w:rsid w:val="00175CB0"/>
    <w:rsid w:val="00175FD8"/>
    <w:rsid w:val="001764E6"/>
    <w:rsid w:val="00176CEE"/>
    <w:rsid w:val="00177AF2"/>
    <w:rsid w:val="00177E0C"/>
    <w:rsid w:val="00180ADB"/>
    <w:rsid w:val="00181B06"/>
    <w:rsid w:val="001827B3"/>
    <w:rsid w:val="00183246"/>
    <w:rsid w:val="001845E9"/>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E02"/>
    <w:rsid w:val="001A0163"/>
    <w:rsid w:val="001A101A"/>
    <w:rsid w:val="001A211C"/>
    <w:rsid w:val="001A2BB9"/>
    <w:rsid w:val="001A312C"/>
    <w:rsid w:val="001A32E5"/>
    <w:rsid w:val="001A35EC"/>
    <w:rsid w:val="001A493D"/>
    <w:rsid w:val="001A7EA9"/>
    <w:rsid w:val="001B03A8"/>
    <w:rsid w:val="001B13FE"/>
    <w:rsid w:val="001B14ED"/>
    <w:rsid w:val="001B2F04"/>
    <w:rsid w:val="001B3A0F"/>
    <w:rsid w:val="001B6033"/>
    <w:rsid w:val="001B680C"/>
    <w:rsid w:val="001B7F64"/>
    <w:rsid w:val="001C0EC9"/>
    <w:rsid w:val="001C27E5"/>
    <w:rsid w:val="001C3699"/>
    <w:rsid w:val="001C5607"/>
    <w:rsid w:val="001C5804"/>
    <w:rsid w:val="001C6BAE"/>
    <w:rsid w:val="001C6FAB"/>
    <w:rsid w:val="001D1F7F"/>
    <w:rsid w:val="001D2966"/>
    <w:rsid w:val="001D2FA5"/>
    <w:rsid w:val="001D400B"/>
    <w:rsid w:val="001D4C94"/>
    <w:rsid w:val="001D5C03"/>
    <w:rsid w:val="001D74F3"/>
    <w:rsid w:val="001D770D"/>
    <w:rsid w:val="001D7842"/>
    <w:rsid w:val="001D7FA2"/>
    <w:rsid w:val="001E1173"/>
    <w:rsid w:val="001E6CD8"/>
    <w:rsid w:val="001E6E67"/>
    <w:rsid w:val="001E78FA"/>
    <w:rsid w:val="001F019E"/>
    <w:rsid w:val="001F2614"/>
    <w:rsid w:val="001F3954"/>
    <w:rsid w:val="001F6FA0"/>
    <w:rsid w:val="001F7F65"/>
    <w:rsid w:val="0020225C"/>
    <w:rsid w:val="00202936"/>
    <w:rsid w:val="002043D0"/>
    <w:rsid w:val="002103D9"/>
    <w:rsid w:val="00211015"/>
    <w:rsid w:val="00211E5C"/>
    <w:rsid w:val="002120C5"/>
    <w:rsid w:val="00212280"/>
    <w:rsid w:val="002143E4"/>
    <w:rsid w:val="00215B3F"/>
    <w:rsid w:val="00216C0F"/>
    <w:rsid w:val="00220BCB"/>
    <w:rsid w:val="002221D9"/>
    <w:rsid w:val="00222647"/>
    <w:rsid w:val="0022300A"/>
    <w:rsid w:val="002239CF"/>
    <w:rsid w:val="002255C0"/>
    <w:rsid w:val="00225D6E"/>
    <w:rsid w:val="0022699F"/>
    <w:rsid w:val="00227782"/>
    <w:rsid w:val="0023094B"/>
    <w:rsid w:val="00231EA1"/>
    <w:rsid w:val="00232B4A"/>
    <w:rsid w:val="002400E1"/>
    <w:rsid w:val="0024086D"/>
    <w:rsid w:val="002409F5"/>
    <w:rsid w:val="00241536"/>
    <w:rsid w:val="00241A57"/>
    <w:rsid w:val="002436EE"/>
    <w:rsid w:val="00243D20"/>
    <w:rsid w:val="00244112"/>
    <w:rsid w:val="002447EA"/>
    <w:rsid w:val="00245A85"/>
    <w:rsid w:val="00245F81"/>
    <w:rsid w:val="0024605D"/>
    <w:rsid w:val="0025022D"/>
    <w:rsid w:val="00251109"/>
    <w:rsid w:val="00251B4B"/>
    <w:rsid w:val="002520BC"/>
    <w:rsid w:val="00253098"/>
    <w:rsid w:val="00254567"/>
    <w:rsid w:val="0025478A"/>
    <w:rsid w:val="0025501A"/>
    <w:rsid w:val="00257B5F"/>
    <w:rsid w:val="00257E2E"/>
    <w:rsid w:val="00261F92"/>
    <w:rsid w:val="002628A9"/>
    <w:rsid w:val="002628CE"/>
    <w:rsid w:val="00264861"/>
    <w:rsid w:val="002652A3"/>
    <w:rsid w:val="00266100"/>
    <w:rsid w:val="0026619E"/>
    <w:rsid w:val="0026751F"/>
    <w:rsid w:val="00270A47"/>
    <w:rsid w:val="00270D15"/>
    <w:rsid w:val="002710B5"/>
    <w:rsid w:val="00272702"/>
    <w:rsid w:val="00272921"/>
    <w:rsid w:val="00272BAC"/>
    <w:rsid w:val="002736B3"/>
    <w:rsid w:val="002739EF"/>
    <w:rsid w:val="002749A9"/>
    <w:rsid w:val="00277419"/>
    <w:rsid w:val="00277B46"/>
    <w:rsid w:val="00277ECB"/>
    <w:rsid w:val="002813F9"/>
    <w:rsid w:val="002816B2"/>
    <w:rsid w:val="00284F1A"/>
    <w:rsid w:val="00285B39"/>
    <w:rsid w:val="00290E89"/>
    <w:rsid w:val="00291233"/>
    <w:rsid w:val="00292146"/>
    <w:rsid w:val="0029268A"/>
    <w:rsid w:val="00295ABC"/>
    <w:rsid w:val="00295BFC"/>
    <w:rsid w:val="00295CBF"/>
    <w:rsid w:val="002A17E2"/>
    <w:rsid w:val="002A31A1"/>
    <w:rsid w:val="002A3EF2"/>
    <w:rsid w:val="002A5205"/>
    <w:rsid w:val="002A7414"/>
    <w:rsid w:val="002A7E7B"/>
    <w:rsid w:val="002B1B00"/>
    <w:rsid w:val="002B1E13"/>
    <w:rsid w:val="002B28AF"/>
    <w:rsid w:val="002B48F3"/>
    <w:rsid w:val="002B50A4"/>
    <w:rsid w:val="002B63D5"/>
    <w:rsid w:val="002B6DD9"/>
    <w:rsid w:val="002C0464"/>
    <w:rsid w:val="002C1E93"/>
    <w:rsid w:val="002C2A06"/>
    <w:rsid w:val="002C2CD2"/>
    <w:rsid w:val="002C455E"/>
    <w:rsid w:val="002C484D"/>
    <w:rsid w:val="002C5C57"/>
    <w:rsid w:val="002C634B"/>
    <w:rsid w:val="002C7988"/>
    <w:rsid w:val="002C7DFE"/>
    <w:rsid w:val="002D07B3"/>
    <w:rsid w:val="002D20E8"/>
    <w:rsid w:val="002D261E"/>
    <w:rsid w:val="002D2C1E"/>
    <w:rsid w:val="002D48EF"/>
    <w:rsid w:val="002D5BE3"/>
    <w:rsid w:val="002D61E0"/>
    <w:rsid w:val="002E13D6"/>
    <w:rsid w:val="002E4BD7"/>
    <w:rsid w:val="002E4D33"/>
    <w:rsid w:val="002E53DD"/>
    <w:rsid w:val="002F0AB7"/>
    <w:rsid w:val="002F2B81"/>
    <w:rsid w:val="002F4138"/>
    <w:rsid w:val="002F4455"/>
    <w:rsid w:val="002F550F"/>
    <w:rsid w:val="002F6887"/>
    <w:rsid w:val="00300379"/>
    <w:rsid w:val="003008FE"/>
    <w:rsid w:val="00301039"/>
    <w:rsid w:val="0030169D"/>
    <w:rsid w:val="00302518"/>
    <w:rsid w:val="003035A0"/>
    <w:rsid w:val="003047A9"/>
    <w:rsid w:val="00304E7C"/>
    <w:rsid w:val="00305561"/>
    <w:rsid w:val="003060EB"/>
    <w:rsid w:val="003074C9"/>
    <w:rsid w:val="00307D5C"/>
    <w:rsid w:val="003107FF"/>
    <w:rsid w:val="00310F1E"/>
    <w:rsid w:val="003118AB"/>
    <w:rsid w:val="0031232E"/>
    <w:rsid w:val="00313537"/>
    <w:rsid w:val="003135E8"/>
    <w:rsid w:val="00314CA7"/>
    <w:rsid w:val="003153EB"/>
    <w:rsid w:val="003162D9"/>
    <w:rsid w:val="00317A09"/>
    <w:rsid w:val="003208BA"/>
    <w:rsid w:val="003210C2"/>
    <w:rsid w:val="00321985"/>
    <w:rsid w:val="00322B40"/>
    <w:rsid w:val="00323366"/>
    <w:rsid w:val="00323A0E"/>
    <w:rsid w:val="00323F26"/>
    <w:rsid w:val="00325D2B"/>
    <w:rsid w:val="00330700"/>
    <w:rsid w:val="00330D19"/>
    <w:rsid w:val="003318DD"/>
    <w:rsid w:val="00334081"/>
    <w:rsid w:val="0033412E"/>
    <w:rsid w:val="003349D2"/>
    <w:rsid w:val="00335E73"/>
    <w:rsid w:val="00336201"/>
    <w:rsid w:val="00336958"/>
    <w:rsid w:val="00337558"/>
    <w:rsid w:val="00346AA2"/>
    <w:rsid w:val="003510EF"/>
    <w:rsid w:val="00351205"/>
    <w:rsid w:val="0035311B"/>
    <w:rsid w:val="0035462F"/>
    <w:rsid w:val="00355B87"/>
    <w:rsid w:val="00355C6E"/>
    <w:rsid w:val="003562AC"/>
    <w:rsid w:val="00356630"/>
    <w:rsid w:val="003566B3"/>
    <w:rsid w:val="0035711A"/>
    <w:rsid w:val="00357D3E"/>
    <w:rsid w:val="00360B10"/>
    <w:rsid w:val="00360E40"/>
    <w:rsid w:val="00361133"/>
    <w:rsid w:val="003611B8"/>
    <w:rsid w:val="003629CD"/>
    <w:rsid w:val="00363D81"/>
    <w:rsid w:val="00364305"/>
    <w:rsid w:val="0037074D"/>
    <w:rsid w:val="00372E2E"/>
    <w:rsid w:val="00372F74"/>
    <w:rsid w:val="00373D87"/>
    <w:rsid w:val="00373E6F"/>
    <w:rsid w:val="00373E70"/>
    <w:rsid w:val="00373EE9"/>
    <w:rsid w:val="0037512F"/>
    <w:rsid w:val="00375348"/>
    <w:rsid w:val="00375867"/>
    <w:rsid w:val="003775F8"/>
    <w:rsid w:val="003776FA"/>
    <w:rsid w:val="003807A0"/>
    <w:rsid w:val="0038175F"/>
    <w:rsid w:val="00382910"/>
    <w:rsid w:val="00383101"/>
    <w:rsid w:val="00383D57"/>
    <w:rsid w:val="00384191"/>
    <w:rsid w:val="00385513"/>
    <w:rsid w:val="003862AE"/>
    <w:rsid w:val="00386C66"/>
    <w:rsid w:val="00386CC8"/>
    <w:rsid w:val="00387871"/>
    <w:rsid w:val="00391529"/>
    <w:rsid w:val="003918F9"/>
    <w:rsid w:val="00391956"/>
    <w:rsid w:val="0039316F"/>
    <w:rsid w:val="00394652"/>
    <w:rsid w:val="003947B5"/>
    <w:rsid w:val="003950DB"/>
    <w:rsid w:val="00396A58"/>
    <w:rsid w:val="00396DA1"/>
    <w:rsid w:val="0039772B"/>
    <w:rsid w:val="003A02CE"/>
    <w:rsid w:val="003A1F5E"/>
    <w:rsid w:val="003A2BD4"/>
    <w:rsid w:val="003A41E1"/>
    <w:rsid w:val="003A5654"/>
    <w:rsid w:val="003A573A"/>
    <w:rsid w:val="003A67D8"/>
    <w:rsid w:val="003B03DA"/>
    <w:rsid w:val="003B0C4C"/>
    <w:rsid w:val="003B1CB5"/>
    <w:rsid w:val="003B28ED"/>
    <w:rsid w:val="003B5F10"/>
    <w:rsid w:val="003B798C"/>
    <w:rsid w:val="003C1AF4"/>
    <w:rsid w:val="003C2F7E"/>
    <w:rsid w:val="003C3251"/>
    <w:rsid w:val="003C3E18"/>
    <w:rsid w:val="003C52A2"/>
    <w:rsid w:val="003C5940"/>
    <w:rsid w:val="003C616B"/>
    <w:rsid w:val="003C7AF8"/>
    <w:rsid w:val="003C7B14"/>
    <w:rsid w:val="003D0A79"/>
    <w:rsid w:val="003D302D"/>
    <w:rsid w:val="003D3460"/>
    <w:rsid w:val="003D34D7"/>
    <w:rsid w:val="003D40E2"/>
    <w:rsid w:val="003D4B74"/>
    <w:rsid w:val="003D7CB3"/>
    <w:rsid w:val="003E1CD9"/>
    <w:rsid w:val="003E2B0E"/>
    <w:rsid w:val="003E31E6"/>
    <w:rsid w:val="003E39DA"/>
    <w:rsid w:val="003E42D9"/>
    <w:rsid w:val="003E5E8C"/>
    <w:rsid w:val="003E634A"/>
    <w:rsid w:val="003E648E"/>
    <w:rsid w:val="003F2ECC"/>
    <w:rsid w:val="003F321A"/>
    <w:rsid w:val="003F3E23"/>
    <w:rsid w:val="003F4525"/>
    <w:rsid w:val="003F49BA"/>
    <w:rsid w:val="003F4E72"/>
    <w:rsid w:val="003F4FE6"/>
    <w:rsid w:val="003F57DC"/>
    <w:rsid w:val="003F70F0"/>
    <w:rsid w:val="003F7224"/>
    <w:rsid w:val="00401F00"/>
    <w:rsid w:val="00402595"/>
    <w:rsid w:val="00403F60"/>
    <w:rsid w:val="00404FD2"/>
    <w:rsid w:val="0040581B"/>
    <w:rsid w:val="00406C85"/>
    <w:rsid w:val="004102F8"/>
    <w:rsid w:val="0041092B"/>
    <w:rsid w:val="004126B8"/>
    <w:rsid w:val="0041349F"/>
    <w:rsid w:val="00415BD0"/>
    <w:rsid w:val="00415F4D"/>
    <w:rsid w:val="004171F0"/>
    <w:rsid w:val="00417309"/>
    <w:rsid w:val="00421B8F"/>
    <w:rsid w:val="00423397"/>
    <w:rsid w:val="00424EFC"/>
    <w:rsid w:val="00424FA5"/>
    <w:rsid w:val="00427298"/>
    <w:rsid w:val="00427D21"/>
    <w:rsid w:val="004301C9"/>
    <w:rsid w:val="0043272B"/>
    <w:rsid w:val="00433ECC"/>
    <w:rsid w:val="00435C4F"/>
    <w:rsid w:val="00440A66"/>
    <w:rsid w:val="00443109"/>
    <w:rsid w:val="004431DC"/>
    <w:rsid w:val="00443256"/>
    <w:rsid w:val="004438A2"/>
    <w:rsid w:val="00445B72"/>
    <w:rsid w:val="004473B7"/>
    <w:rsid w:val="004476A5"/>
    <w:rsid w:val="00447CF4"/>
    <w:rsid w:val="00447EA1"/>
    <w:rsid w:val="00447EE2"/>
    <w:rsid w:val="00447F4A"/>
    <w:rsid w:val="00450EC7"/>
    <w:rsid w:val="00451A23"/>
    <w:rsid w:val="00451BBF"/>
    <w:rsid w:val="004524D7"/>
    <w:rsid w:val="00453606"/>
    <w:rsid w:val="0045636C"/>
    <w:rsid w:val="00456C32"/>
    <w:rsid w:val="00456F67"/>
    <w:rsid w:val="00457C8D"/>
    <w:rsid w:val="00457E4B"/>
    <w:rsid w:val="004601A2"/>
    <w:rsid w:val="004603C7"/>
    <w:rsid w:val="00460951"/>
    <w:rsid w:val="00460C0D"/>
    <w:rsid w:val="00463F29"/>
    <w:rsid w:val="004644C2"/>
    <w:rsid w:val="00464DD3"/>
    <w:rsid w:val="00465BB5"/>
    <w:rsid w:val="00467006"/>
    <w:rsid w:val="00467F9C"/>
    <w:rsid w:val="0047063D"/>
    <w:rsid w:val="0047321D"/>
    <w:rsid w:val="00473FAD"/>
    <w:rsid w:val="00474639"/>
    <w:rsid w:val="00474EC1"/>
    <w:rsid w:val="004802A4"/>
    <w:rsid w:val="00481CC4"/>
    <w:rsid w:val="00483DC8"/>
    <w:rsid w:val="004845C4"/>
    <w:rsid w:val="00486034"/>
    <w:rsid w:val="00486C3E"/>
    <w:rsid w:val="0048713E"/>
    <w:rsid w:val="0048776D"/>
    <w:rsid w:val="00487ABA"/>
    <w:rsid w:val="00490FF5"/>
    <w:rsid w:val="00492F4F"/>
    <w:rsid w:val="00495855"/>
    <w:rsid w:val="00496176"/>
    <w:rsid w:val="00496271"/>
    <w:rsid w:val="004962BB"/>
    <w:rsid w:val="00497421"/>
    <w:rsid w:val="004A02B0"/>
    <w:rsid w:val="004A078E"/>
    <w:rsid w:val="004A0C18"/>
    <w:rsid w:val="004A1990"/>
    <w:rsid w:val="004A5A17"/>
    <w:rsid w:val="004A7776"/>
    <w:rsid w:val="004A79C4"/>
    <w:rsid w:val="004B0204"/>
    <w:rsid w:val="004B04FC"/>
    <w:rsid w:val="004B0707"/>
    <w:rsid w:val="004B0B84"/>
    <w:rsid w:val="004B2562"/>
    <w:rsid w:val="004B40AC"/>
    <w:rsid w:val="004B4611"/>
    <w:rsid w:val="004B5100"/>
    <w:rsid w:val="004B5894"/>
    <w:rsid w:val="004C07F4"/>
    <w:rsid w:val="004C0F7F"/>
    <w:rsid w:val="004C1217"/>
    <w:rsid w:val="004C3B84"/>
    <w:rsid w:val="004C3CAC"/>
    <w:rsid w:val="004C4DF3"/>
    <w:rsid w:val="004C5CA2"/>
    <w:rsid w:val="004C74D9"/>
    <w:rsid w:val="004C7B49"/>
    <w:rsid w:val="004C7C5C"/>
    <w:rsid w:val="004D07B9"/>
    <w:rsid w:val="004D0850"/>
    <w:rsid w:val="004D169B"/>
    <w:rsid w:val="004D2796"/>
    <w:rsid w:val="004D4A98"/>
    <w:rsid w:val="004E0D3A"/>
    <w:rsid w:val="004E1386"/>
    <w:rsid w:val="004E1D58"/>
    <w:rsid w:val="004E1D9D"/>
    <w:rsid w:val="004E2126"/>
    <w:rsid w:val="004E3802"/>
    <w:rsid w:val="004E40DF"/>
    <w:rsid w:val="004E6811"/>
    <w:rsid w:val="004E7E6E"/>
    <w:rsid w:val="004F03B0"/>
    <w:rsid w:val="004F07D0"/>
    <w:rsid w:val="004F0817"/>
    <w:rsid w:val="004F086E"/>
    <w:rsid w:val="004F0970"/>
    <w:rsid w:val="004F1AE4"/>
    <w:rsid w:val="004F4F65"/>
    <w:rsid w:val="004F6606"/>
    <w:rsid w:val="004F7474"/>
    <w:rsid w:val="004F7A12"/>
    <w:rsid w:val="005004EF"/>
    <w:rsid w:val="005006CC"/>
    <w:rsid w:val="00500A31"/>
    <w:rsid w:val="00501E4C"/>
    <w:rsid w:val="00502278"/>
    <w:rsid w:val="005024DC"/>
    <w:rsid w:val="00502565"/>
    <w:rsid w:val="00502B1C"/>
    <w:rsid w:val="00502C35"/>
    <w:rsid w:val="0050342F"/>
    <w:rsid w:val="00504660"/>
    <w:rsid w:val="005049F3"/>
    <w:rsid w:val="00505A0B"/>
    <w:rsid w:val="00505C91"/>
    <w:rsid w:val="00506ECC"/>
    <w:rsid w:val="005077F2"/>
    <w:rsid w:val="0051006C"/>
    <w:rsid w:val="00510362"/>
    <w:rsid w:val="00510C65"/>
    <w:rsid w:val="005114D1"/>
    <w:rsid w:val="0051205F"/>
    <w:rsid w:val="005140C1"/>
    <w:rsid w:val="00514153"/>
    <w:rsid w:val="005153C1"/>
    <w:rsid w:val="00516D82"/>
    <w:rsid w:val="00520A90"/>
    <w:rsid w:val="0052131A"/>
    <w:rsid w:val="00522613"/>
    <w:rsid w:val="005230B8"/>
    <w:rsid w:val="00524C52"/>
    <w:rsid w:val="00525590"/>
    <w:rsid w:val="00525961"/>
    <w:rsid w:val="00525D9D"/>
    <w:rsid w:val="005264F4"/>
    <w:rsid w:val="00526F1A"/>
    <w:rsid w:val="005314A1"/>
    <w:rsid w:val="00532DD0"/>
    <w:rsid w:val="00532FC2"/>
    <w:rsid w:val="00533804"/>
    <w:rsid w:val="0053417B"/>
    <w:rsid w:val="0053465F"/>
    <w:rsid w:val="00534681"/>
    <w:rsid w:val="0054070C"/>
    <w:rsid w:val="00541C60"/>
    <w:rsid w:val="005424DC"/>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5C"/>
    <w:rsid w:val="00561B69"/>
    <w:rsid w:val="00561D90"/>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BF5"/>
    <w:rsid w:val="00572F6B"/>
    <w:rsid w:val="00575863"/>
    <w:rsid w:val="00575F2F"/>
    <w:rsid w:val="0057645E"/>
    <w:rsid w:val="00576F50"/>
    <w:rsid w:val="00581A48"/>
    <w:rsid w:val="00582B5C"/>
    <w:rsid w:val="00582CB7"/>
    <w:rsid w:val="0058385D"/>
    <w:rsid w:val="00584EEB"/>
    <w:rsid w:val="00585E10"/>
    <w:rsid w:val="00585E21"/>
    <w:rsid w:val="00586254"/>
    <w:rsid w:val="0058752A"/>
    <w:rsid w:val="00587C2A"/>
    <w:rsid w:val="005911A2"/>
    <w:rsid w:val="00591E88"/>
    <w:rsid w:val="00591F66"/>
    <w:rsid w:val="00593564"/>
    <w:rsid w:val="00597EBB"/>
    <w:rsid w:val="005A0E93"/>
    <w:rsid w:val="005A432E"/>
    <w:rsid w:val="005A438A"/>
    <w:rsid w:val="005A523B"/>
    <w:rsid w:val="005A5259"/>
    <w:rsid w:val="005A689A"/>
    <w:rsid w:val="005A69C7"/>
    <w:rsid w:val="005A6E33"/>
    <w:rsid w:val="005B2893"/>
    <w:rsid w:val="005B35E2"/>
    <w:rsid w:val="005B3A56"/>
    <w:rsid w:val="005B5071"/>
    <w:rsid w:val="005B53C5"/>
    <w:rsid w:val="005B5C7D"/>
    <w:rsid w:val="005B5D07"/>
    <w:rsid w:val="005B6CED"/>
    <w:rsid w:val="005C2012"/>
    <w:rsid w:val="005C2234"/>
    <w:rsid w:val="005C378D"/>
    <w:rsid w:val="005C4CE6"/>
    <w:rsid w:val="005C501E"/>
    <w:rsid w:val="005C5DD2"/>
    <w:rsid w:val="005C7423"/>
    <w:rsid w:val="005D0CB7"/>
    <w:rsid w:val="005D0E01"/>
    <w:rsid w:val="005D1069"/>
    <w:rsid w:val="005D5543"/>
    <w:rsid w:val="005D66F3"/>
    <w:rsid w:val="005D69FF"/>
    <w:rsid w:val="005E0EA8"/>
    <w:rsid w:val="005E15C1"/>
    <w:rsid w:val="005E168B"/>
    <w:rsid w:val="005E2ACB"/>
    <w:rsid w:val="005E55C0"/>
    <w:rsid w:val="005E58BC"/>
    <w:rsid w:val="005E65EE"/>
    <w:rsid w:val="005E6C04"/>
    <w:rsid w:val="005E6EAD"/>
    <w:rsid w:val="005E77BC"/>
    <w:rsid w:val="005F0A3E"/>
    <w:rsid w:val="005F0C99"/>
    <w:rsid w:val="005F33EF"/>
    <w:rsid w:val="005F34F4"/>
    <w:rsid w:val="005F4AF4"/>
    <w:rsid w:val="005F62C9"/>
    <w:rsid w:val="005F630B"/>
    <w:rsid w:val="005F6C81"/>
    <w:rsid w:val="0060032B"/>
    <w:rsid w:val="00600589"/>
    <w:rsid w:val="00604600"/>
    <w:rsid w:val="0060496B"/>
    <w:rsid w:val="00604B9D"/>
    <w:rsid w:val="006064B9"/>
    <w:rsid w:val="006064FF"/>
    <w:rsid w:val="00606B99"/>
    <w:rsid w:val="00610078"/>
    <w:rsid w:val="00610FCB"/>
    <w:rsid w:val="00611775"/>
    <w:rsid w:val="006119BE"/>
    <w:rsid w:val="00611FAC"/>
    <w:rsid w:val="006122BA"/>
    <w:rsid w:val="006142E7"/>
    <w:rsid w:val="00615A61"/>
    <w:rsid w:val="00616268"/>
    <w:rsid w:val="00617507"/>
    <w:rsid w:val="00617627"/>
    <w:rsid w:val="0061782C"/>
    <w:rsid w:val="00620F09"/>
    <w:rsid w:val="00621B47"/>
    <w:rsid w:val="0062294E"/>
    <w:rsid w:val="00622D13"/>
    <w:rsid w:val="00623245"/>
    <w:rsid w:val="0062395F"/>
    <w:rsid w:val="00625100"/>
    <w:rsid w:val="006251CD"/>
    <w:rsid w:val="00626E7D"/>
    <w:rsid w:val="00630536"/>
    <w:rsid w:val="0063064A"/>
    <w:rsid w:val="00630B1C"/>
    <w:rsid w:val="00630D50"/>
    <w:rsid w:val="006333FA"/>
    <w:rsid w:val="0063519B"/>
    <w:rsid w:val="00636BBE"/>
    <w:rsid w:val="006373BF"/>
    <w:rsid w:val="00637458"/>
    <w:rsid w:val="00640CA7"/>
    <w:rsid w:val="006416E0"/>
    <w:rsid w:val="0064363E"/>
    <w:rsid w:val="00644864"/>
    <w:rsid w:val="006451F9"/>
    <w:rsid w:val="00645727"/>
    <w:rsid w:val="00646C7C"/>
    <w:rsid w:val="006473FC"/>
    <w:rsid w:val="006476B4"/>
    <w:rsid w:val="006478BF"/>
    <w:rsid w:val="006518D1"/>
    <w:rsid w:val="00651956"/>
    <w:rsid w:val="006537EB"/>
    <w:rsid w:val="00655421"/>
    <w:rsid w:val="0065625E"/>
    <w:rsid w:val="006575A7"/>
    <w:rsid w:val="0065770B"/>
    <w:rsid w:val="00660011"/>
    <w:rsid w:val="00660E46"/>
    <w:rsid w:val="00662693"/>
    <w:rsid w:val="00665220"/>
    <w:rsid w:val="00666D23"/>
    <w:rsid w:val="006672A3"/>
    <w:rsid w:val="006679EA"/>
    <w:rsid w:val="0067047F"/>
    <w:rsid w:val="00670C8A"/>
    <w:rsid w:val="00670FD1"/>
    <w:rsid w:val="0067185A"/>
    <w:rsid w:val="0067288E"/>
    <w:rsid w:val="006736EC"/>
    <w:rsid w:val="0067442E"/>
    <w:rsid w:val="006754C6"/>
    <w:rsid w:val="006755CC"/>
    <w:rsid w:val="0067624C"/>
    <w:rsid w:val="00676993"/>
    <w:rsid w:val="00676D1C"/>
    <w:rsid w:val="00680526"/>
    <w:rsid w:val="006807C5"/>
    <w:rsid w:val="0068098D"/>
    <w:rsid w:val="0068215D"/>
    <w:rsid w:val="00682609"/>
    <w:rsid w:val="00685732"/>
    <w:rsid w:val="00686292"/>
    <w:rsid w:val="0068663C"/>
    <w:rsid w:val="00686AC1"/>
    <w:rsid w:val="00686C72"/>
    <w:rsid w:val="0068799A"/>
    <w:rsid w:val="00687E1B"/>
    <w:rsid w:val="00687EDF"/>
    <w:rsid w:val="006935EA"/>
    <w:rsid w:val="00693F11"/>
    <w:rsid w:val="00694DF2"/>
    <w:rsid w:val="00695636"/>
    <w:rsid w:val="00696D2E"/>
    <w:rsid w:val="006A0A4C"/>
    <w:rsid w:val="006A4110"/>
    <w:rsid w:val="006A55FE"/>
    <w:rsid w:val="006A6098"/>
    <w:rsid w:val="006A73C1"/>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A56"/>
    <w:rsid w:val="006C3AAF"/>
    <w:rsid w:val="006C4C67"/>
    <w:rsid w:val="006C5F4D"/>
    <w:rsid w:val="006C61B8"/>
    <w:rsid w:val="006C6DD6"/>
    <w:rsid w:val="006D0FFC"/>
    <w:rsid w:val="006D2748"/>
    <w:rsid w:val="006D3DA3"/>
    <w:rsid w:val="006D7385"/>
    <w:rsid w:val="006D7935"/>
    <w:rsid w:val="006E0F34"/>
    <w:rsid w:val="006E2527"/>
    <w:rsid w:val="006E32B5"/>
    <w:rsid w:val="006E3C8D"/>
    <w:rsid w:val="006E425F"/>
    <w:rsid w:val="006E5BE8"/>
    <w:rsid w:val="006E638B"/>
    <w:rsid w:val="006E67DF"/>
    <w:rsid w:val="006F0392"/>
    <w:rsid w:val="006F0458"/>
    <w:rsid w:val="006F1AA2"/>
    <w:rsid w:val="006F2373"/>
    <w:rsid w:val="006F2B75"/>
    <w:rsid w:val="006F3300"/>
    <w:rsid w:val="006F449F"/>
    <w:rsid w:val="006F4BCD"/>
    <w:rsid w:val="006F6AD1"/>
    <w:rsid w:val="006F6E3C"/>
    <w:rsid w:val="006F7D1F"/>
    <w:rsid w:val="00700DB7"/>
    <w:rsid w:val="00702238"/>
    <w:rsid w:val="00703743"/>
    <w:rsid w:val="00704293"/>
    <w:rsid w:val="00705973"/>
    <w:rsid w:val="00706209"/>
    <w:rsid w:val="00712012"/>
    <w:rsid w:val="007120D3"/>
    <w:rsid w:val="0071218A"/>
    <w:rsid w:val="007147AE"/>
    <w:rsid w:val="007166EB"/>
    <w:rsid w:val="00717D88"/>
    <w:rsid w:val="00717E13"/>
    <w:rsid w:val="0072116D"/>
    <w:rsid w:val="00721D8C"/>
    <w:rsid w:val="007223B0"/>
    <w:rsid w:val="00723A06"/>
    <w:rsid w:val="007256ED"/>
    <w:rsid w:val="00725EE1"/>
    <w:rsid w:val="00726A43"/>
    <w:rsid w:val="00727BD5"/>
    <w:rsid w:val="0073151C"/>
    <w:rsid w:val="007316F2"/>
    <w:rsid w:val="00732527"/>
    <w:rsid w:val="0073261B"/>
    <w:rsid w:val="007329AB"/>
    <w:rsid w:val="00733D3F"/>
    <w:rsid w:val="00733EE3"/>
    <w:rsid w:val="00734DDF"/>
    <w:rsid w:val="00735D42"/>
    <w:rsid w:val="00735DFA"/>
    <w:rsid w:val="00736378"/>
    <w:rsid w:val="00736706"/>
    <w:rsid w:val="00736F5E"/>
    <w:rsid w:val="00740ABF"/>
    <w:rsid w:val="00740C6A"/>
    <w:rsid w:val="00742525"/>
    <w:rsid w:val="00742575"/>
    <w:rsid w:val="00742A81"/>
    <w:rsid w:val="00743590"/>
    <w:rsid w:val="00744578"/>
    <w:rsid w:val="0074494B"/>
    <w:rsid w:val="00747793"/>
    <w:rsid w:val="0074789C"/>
    <w:rsid w:val="00747E45"/>
    <w:rsid w:val="007505CB"/>
    <w:rsid w:val="00750E69"/>
    <w:rsid w:val="00752048"/>
    <w:rsid w:val="007525E0"/>
    <w:rsid w:val="007525E4"/>
    <w:rsid w:val="007535FF"/>
    <w:rsid w:val="00756658"/>
    <w:rsid w:val="00757487"/>
    <w:rsid w:val="007617FE"/>
    <w:rsid w:val="00762350"/>
    <w:rsid w:val="00762AE0"/>
    <w:rsid w:val="00762DEB"/>
    <w:rsid w:val="007631FF"/>
    <w:rsid w:val="0076361A"/>
    <w:rsid w:val="0076386E"/>
    <w:rsid w:val="0076398E"/>
    <w:rsid w:val="00765A1D"/>
    <w:rsid w:val="00766B66"/>
    <w:rsid w:val="00766CCD"/>
    <w:rsid w:val="00771B43"/>
    <w:rsid w:val="00771CFF"/>
    <w:rsid w:val="007722B4"/>
    <w:rsid w:val="0077239A"/>
    <w:rsid w:val="00773566"/>
    <w:rsid w:val="00774764"/>
    <w:rsid w:val="00775603"/>
    <w:rsid w:val="00775A21"/>
    <w:rsid w:val="00775B10"/>
    <w:rsid w:val="00776D8B"/>
    <w:rsid w:val="00776ECD"/>
    <w:rsid w:val="007808B2"/>
    <w:rsid w:val="00781598"/>
    <w:rsid w:val="007815F6"/>
    <w:rsid w:val="00782143"/>
    <w:rsid w:val="007834B9"/>
    <w:rsid w:val="00784D29"/>
    <w:rsid w:val="00785334"/>
    <w:rsid w:val="00785652"/>
    <w:rsid w:val="00785F5B"/>
    <w:rsid w:val="00786056"/>
    <w:rsid w:val="0079035A"/>
    <w:rsid w:val="0079037A"/>
    <w:rsid w:val="00790DB2"/>
    <w:rsid w:val="00791EE5"/>
    <w:rsid w:val="00792BD7"/>
    <w:rsid w:val="007932BB"/>
    <w:rsid w:val="00793CA5"/>
    <w:rsid w:val="007942D3"/>
    <w:rsid w:val="00795B6B"/>
    <w:rsid w:val="00796A3F"/>
    <w:rsid w:val="00796D60"/>
    <w:rsid w:val="007A0AC8"/>
    <w:rsid w:val="007A2650"/>
    <w:rsid w:val="007A59FF"/>
    <w:rsid w:val="007A675E"/>
    <w:rsid w:val="007B0202"/>
    <w:rsid w:val="007B1762"/>
    <w:rsid w:val="007B2099"/>
    <w:rsid w:val="007B3F24"/>
    <w:rsid w:val="007B5F03"/>
    <w:rsid w:val="007B692A"/>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512"/>
    <w:rsid w:val="007D0808"/>
    <w:rsid w:val="007D0DC2"/>
    <w:rsid w:val="007D15F4"/>
    <w:rsid w:val="007D2334"/>
    <w:rsid w:val="007D49B3"/>
    <w:rsid w:val="007D4D00"/>
    <w:rsid w:val="007E09DA"/>
    <w:rsid w:val="007E0F8A"/>
    <w:rsid w:val="007E3114"/>
    <w:rsid w:val="007E56FA"/>
    <w:rsid w:val="007E66B2"/>
    <w:rsid w:val="007E675C"/>
    <w:rsid w:val="007E6A3F"/>
    <w:rsid w:val="007E76F3"/>
    <w:rsid w:val="007F070F"/>
    <w:rsid w:val="007F10F6"/>
    <w:rsid w:val="007F13C5"/>
    <w:rsid w:val="007F2A3F"/>
    <w:rsid w:val="007F2C94"/>
    <w:rsid w:val="007F2CA9"/>
    <w:rsid w:val="007F30A7"/>
    <w:rsid w:val="007F447B"/>
    <w:rsid w:val="007F4C4B"/>
    <w:rsid w:val="007F4CBB"/>
    <w:rsid w:val="007F5F93"/>
    <w:rsid w:val="007F60D4"/>
    <w:rsid w:val="007F718D"/>
    <w:rsid w:val="0080016D"/>
    <w:rsid w:val="008002E6"/>
    <w:rsid w:val="0080100B"/>
    <w:rsid w:val="0080146A"/>
    <w:rsid w:val="008017FE"/>
    <w:rsid w:val="00801B13"/>
    <w:rsid w:val="00801FAD"/>
    <w:rsid w:val="00802F1A"/>
    <w:rsid w:val="00807068"/>
    <w:rsid w:val="00807D37"/>
    <w:rsid w:val="00807EA8"/>
    <w:rsid w:val="00811277"/>
    <w:rsid w:val="008119EE"/>
    <w:rsid w:val="008123CD"/>
    <w:rsid w:val="00815E3D"/>
    <w:rsid w:val="008161AB"/>
    <w:rsid w:val="00816DF9"/>
    <w:rsid w:val="008178B6"/>
    <w:rsid w:val="00817C3F"/>
    <w:rsid w:val="008201D7"/>
    <w:rsid w:val="008217EC"/>
    <w:rsid w:val="00822146"/>
    <w:rsid w:val="00823349"/>
    <w:rsid w:val="00823C98"/>
    <w:rsid w:val="00824483"/>
    <w:rsid w:val="00824AE5"/>
    <w:rsid w:val="00826D51"/>
    <w:rsid w:val="00827A90"/>
    <w:rsid w:val="00827F38"/>
    <w:rsid w:val="00830F06"/>
    <w:rsid w:val="00830FB2"/>
    <w:rsid w:val="008314C5"/>
    <w:rsid w:val="0083234C"/>
    <w:rsid w:val="00832A9C"/>
    <w:rsid w:val="00832C50"/>
    <w:rsid w:val="0083314C"/>
    <w:rsid w:val="008333E9"/>
    <w:rsid w:val="00833776"/>
    <w:rsid w:val="00835996"/>
    <w:rsid w:val="00836498"/>
    <w:rsid w:val="00836BBD"/>
    <w:rsid w:val="00837138"/>
    <w:rsid w:val="0083727D"/>
    <w:rsid w:val="008377A9"/>
    <w:rsid w:val="00840048"/>
    <w:rsid w:val="0084076E"/>
    <w:rsid w:val="00842C5A"/>
    <w:rsid w:val="008431BD"/>
    <w:rsid w:val="00846BDD"/>
    <w:rsid w:val="00847880"/>
    <w:rsid w:val="008517D7"/>
    <w:rsid w:val="00851A44"/>
    <w:rsid w:val="0085273C"/>
    <w:rsid w:val="00853A9E"/>
    <w:rsid w:val="008544E3"/>
    <w:rsid w:val="008547DD"/>
    <w:rsid w:val="0085512B"/>
    <w:rsid w:val="00855F8D"/>
    <w:rsid w:val="00857C5D"/>
    <w:rsid w:val="00857CD6"/>
    <w:rsid w:val="00857E26"/>
    <w:rsid w:val="00860ED6"/>
    <w:rsid w:val="00862BE5"/>
    <w:rsid w:val="0086329A"/>
    <w:rsid w:val="0086383D"/>
    <w:rsid w:val="00865B74"/>
    <w:rsid w:val="00866063"/>
    <w:rsid w:val="00866495"/>
    <w:rsid w:val="00866C90"/>
    <w:rsid w:val="00867247"/>
    <w:rsid w:val="00867925"/>
    <w:rsid w:val="00867B1D"/>
    <w:rsid w:val="00870754"/>
    <w:rsid w:val="00870E5F"/>
    <w:rsid w:val="00871FAA"/>
    <w:rsid w:val="008722D7"/>
    <w:rsid w:val="008733CA"/>
    <w:rsid w:val="008752A2"/>
    <w:rsid w:val="00875692"/>
    <w:rsid w:val="0087580A"/>
    <w:rsid w:val="008769CC"/>
    <w:rsid w:val="00877E29"/>
    <w:rsid w:val="00880153"/>
    <w:rsid w:val="00880907"/>
    <w:rsid w:val="00880A58"/>
    <w:rsid w:val="00881926"/>
    <w:rsid w:val="0088665E"/>
    <w:rsid w:val="00886A0E"/>
    <w:rsid w:val="00886A7C"/>
    <w:rsid w:val="00886FF9"/>
    <w:rsid w:val="008871B6"/>
    <w:rsid w:val="0089045D"/>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E9D"/>
    <w:rsid w:val="008B4E43"/>
    <w:rsid w:val="008B5FE3"/>
    <w:rsid w:val="008C0A2C"/>
    <w:rsid w:val="008C133E"/>
    <w:rsid w:val="008C1754"/>
    <w:rsid w:val="008C3862"/>
    <w:rsid w:val="008C43EF"/>
    <w:rsid w:val="008C456B"/>
    <w:rsid w:val="008C465F"/>
    <w:rsid w:val="008C566E"/>
    <w:rsid w:val="008C6578"/>
    <w:rsid w:val="008C6FB6"/>
    <w:rsid w:val="008D02AB"/>
    <w:rsid w:val="008D0A72"/>
    <w:rsid w:val="008D2EC1"/>
    <w:rsid w:val="008D37E6"/>
    <w:rsid w:val="008D4725"/>
    <w:rsid w:val="008D6DD9"/>
    <w:rsid w:val="008D780B"/>
    <w:rsid w:val="008E56C6"/>
    <w:rsid w:val="008E573A"/>
    <w:rsid w:val="008E593E"/>
    <w:rsid w:val="008E5F24"/>
    <w:rsid w:val="008F126E"/>
    <w:rsid w:val="008F1522"/>
    <w:rsid w:val="008F2075"/>
    <w:rsid w:val="008F30C3"/>
    <w:rsid w:val="008F5B54"/>
    <w:rsid w:val="008F6520"/>
    <w:rsid w:val="008F6842"/>
    <w:rsid w:val="008F764A"/>
    <w:rsid w:val="008F7F66"/>
    <w:rsid w:val="009009E5"/>
    <w:rsid w:val="00903C73"/>
    <w:rsid w:val="00905032"/>
    <w:rsid w:val="0090590C"/>
    <w:rsid w:val="00905D27"/>
    <w:rsid w:val="00906E17"/>
    <w:rsid w:val="0090750C"/>
    <w:rsid w:val="009100F9"/>
    <w:rsid w:val="00910A01"/>
    <w:rsid w:val="00910D70"/>
    <w:rsid w:val="00910E5B"/>
    <w:rsid w:val="00911626"/>
    <w:rsid w:val="00911C92"/>
    <w:rsid w:val="009133DA"/>
    <w:rsid w:val="00914B62"/>
    <w:rsid w:val="00914D7D"/>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90C"/>
    <w:rsid w:val="00933DCA"/>
    <w:rsid w:val="00933E94"/>
    <w:rsid w:val="009358E5"/>
    <w:rsid w:val="00935936"/>
    <w:rsid w:val="00937729"/>
    <w:rsid w:val="00937D13"/>
    <w:rsid w:val="0094014F"/>
    <w:rsid w:val="00940261"/>
    <w:rsid w:val="00940FAB"/>
    <w:rsid w:val="00940FF3"/>
    <w:rsid w:val="00941313"/>
    <w:rsid w:val="00943B69"/>
    <w:rsid w:val="00944F29"/>
    <w:rsid w:val="0094506B"/>
    <w:rsid w:val="00945AC3"/>
    <w:rsid w:val="00947347"/>
    <w:rsid w:val="009475F0"/>
    <w:rsid w:val="009476D1"/>
    <w:rsid w:val="00947C90"/>
    <w:rsid w:val="009505C9"/>
    <w:rsid w:val="009505DD"/>
    <w:rsid w:val="00950752"/>
    <w:rsid w:val="009507C4"/>
    <w:rsid w:val="009515FA"/>
    <w:rsid w:val="009516E4"/>
    <w:rsid w:val="009520F7"/>
    <w:rsid w:val="00955255"/>
    <w:rsid w:val="00955719"/>
    <w:rsid w:val="00955C17"/>
    <w:rsid w:val="00956F6D"/>
    <w:rsid w:val="00960E36"/>
    <w:rsid w:val="00961005"/>
    <w:rsid w:val="00966424"/>
    <w:rsid w:val="0096674C"/>
    <w:rsid w:val="00966913"/>
    <w:rsid w:val="00967357"/>
    <w:rsid w:val="009677EB"/>
    <w:rsid w:val="0096796F"/>
    <w:rsid w:val="009705E4"/>
    <w:rsid w:val="00970DF1"/>
    <w:rsid w:val="00971C15"/>
    <w:rsid w:val="00973B2A"/>
    <w:rsid w:val="0097406D"/>
    <w:rsid w:val="00974FE2"/>
    <w:rsid w:val="009754D6"/>
    <w:rsid w:val="00976AFD"/>
    <w:rsid w:val="00976D89"/>
    <w:rsid w:val="00983B7E"/>
    <w:rsid w:val="0098520D"/>
    <w:rsid w:val="00986E7B"/>
    <w:rsid w:val="00992667"/>
    <w:rsid w:val="009926DB"/>
    <w:rsid w:val="00992C3D"/>
    <w:rsid w:val="009934BF"/>
    <w:rsid w:val="00994A5A"/>
    <w:rsid w:val="00995EB3"/>
    <w:rsid w:val="00995FFD"/>
    <w:rsid w:val="00996B64"/>
    <w:rsid w:val="00997723"/>
    <w:rsid w:val="0099790F"/>
    <w:rsid w:val="009A1785"/>
    <w:rsid w:val="009A1B81"/>
    <w:rsid w:val="009A2300"/>
    <w:rsid w:val="009A28E5"/>
    <w:rsid w:val="009A2EC1"/>
    <w:rsid w:val="009A3245"/>
    <w:rsid w:val="009A36DD"/>
    <w:rsid w:val="009A5403"/>
    <w:rsid w:val="009A6C15"/>
    <w:rsid w:val="009A7179"/>
    <w:rsid w:val="009A7912"/>
    <w:rsid w:val="009B06A7"/>
    <w:rsid w:val="009B136C"/>
    <w:rsid w:val="009B1393"/>
    <w:rsid w:val="009B194A"/>
    <w:rsid w:val="009B1A4B"/>
    <w:rsid w:val="009B6151"/>
    <w:rsid w:val="009B7DDF"/>
    <w:rsid w:val="009C13B2"/>
    <w:rsid w:val="009C2DE6"/>
    <w:rsid w:val="009C55C7"/>
    <w:rsid w:val="009C6662"/>
    <w:rsid w:val="009C77F6"/>
    <w:rsid w:val="009D0AE5"/>
    <w:rsid w:val="009D0CD3"/>
    <w:rsid w:val="009D30C7"/>
    <w:rsid w:val="009D5983"/>
    <w:rsid w:val="009E0A91"/>
    <w:rsid w:val="009E1787"/>
    <w:rsid w:val="009E2736"/>
    <w:rsid w:val="009E287C"/>
    <w:rsid w:val="009E3E01"/>
    <w:rsid w:val="009E5944"/>
    <w:rsid w:val="009E5988"/>
    <w:rsid w:val="009E5E5B"/>
    <w:rsid w:val="009E6AF5"/>
    <w:rsid w:val="009E7756"/>
    <w:rsid w:val="009F0C3A"/>
    <w:rsid w:val="009F14F4"/>
    <w:rsid w:val="009F47C1"/>
    <w:rsid w:val="009F5BD2"/>
    <w:rsid w:val="009F61B1"/>
    <w:rsid w:val="009F679F"/>
    <w:rsid w:val="009F68F6"/>
    <w:rsid w:val="009F7441"/>
    <w:rsid w:val="009F7BC1"/>
    <w:rsid w:val="009F7CFB"/>
    <w:rsid w:val="00A0240C"/>
    <w:rsid w:val="00A030A9"/>
    <w:rsid w:val="00A03B12"/>
    <w:rsid w:val="00A03BB4"/>
    <w:rsid w:val="00A04564"/>
    <w:rsid w:val="00A05D53"/>
    <w:rsid w:val="00A064EC"/>
    <w:rsid w:val="00A07AEA"/>
    <w:rsid w:val="00A07FF3"/>
    <w:rsid w:val="00A1079D"/>
    <w:rsid w:val="00A10D39"/>
    <w:rsid w:val="00A10F41"/>
    <w:rsid w:val="00A111D1"/>
    <w:rsid w:val="00A117BC"/>
    <w:rsid w:val="00A13A70"/>
    <w:rsid w:val="00A146BD"/>
    <w:rsid w:val="00A15382"/>
    <w:rsid w:val="00A167BB"/>
    <w:rsid w:val="00A2062D"/>
    <w:rsid w:val="00A237CD"/>
    <w:rsid w:val="00A23812"/>
    <w:rsid w:val="00A2396D"/>
    <w:rsid w:val="00A24818"/>
    <w:rsid w:val="00A303DB"/>
    <w:rsid w:val="00A31CB2"/>
    <w:rsid w:val="00A31D7F"/>
    <w:rsid w:val="00A329AA"/>
    <w:rsid w:val="00A33B7F"/>
    <w:rsid w:val="00A367F0"/>
    <w:rsid w:val="00A367F2"/>
    <w:rsid w:val="00A37A0B"/>
    <w:rsid w:val="00A37C99"/>
    <w:rsid w:val="00A400E6"/>
    <w:rsid w:val="00A41A65"/>
    <w:rsid w:val="00A41B98"/>
    <w:rsid w:val="00A4381F"/>
    <w:rsid w:val="00A45C17"/>
    <w:rsid w:val="00A47183"/>
    <w:rsid w:val="00A474B4"/>
    <w:rsid w:val="00A50AEC"/>
    <w:rsid w:val="00A50D41"/>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46"/>
    <w:rsid w:val="00A707E6"/>
    <w:rsid w:val="00A70A30"/>
    <w:rsid w:val="00A7190D"/>
    <w:rsid w:val="00A72124"/>
    <w:rsid w:val="00A7357A"/>
    <w:rsid w:val="00A741B2"/>
    <w:rsid w:val="00A74F03"/>
    <w:rsid w:val="00A74F15"/>
    <w:rsid w:val="00A7572B"/>
    <w:rsid w:val="00A75AC4"/>
    <w:rsid w:val="00A80475"/>
    <w:rsid w:val="00A81397"/>
    <w:rsid w:val="00A82B4B"/>
    <w:rsid w:val="00A82C04"/>
    <w:rsid w:val="00A8462E"/>
    <w:rsid w:val="00A84709"/>
    <w:rsid w:val="00A847C6"/>
    <w:rsid w:val="00A85565"/>
    <w:rsid w:val="00A8677E"/>
    <w:rsid w:val="00A87153"/>
    <w:rsid w:val="00A87EA5"/>
    <w:rsid w:val="00A9034A"/>
    <w:rsid w:val="00A91368"/>
    <w:rsid w:val="00A914FB"/>
    <w:rsid w:val="00A91FDB"/>
    <w:rsid w:val="00A92028"/>
    <w:rsid w:val="00A9440C"/>
    <w:rsid w:val="00A9465E"/>
    <w:rsid w:val="00A9498C"/>
    <w:rsid w:val="00A9619F"/>
    <w:rsid w:val="00AA0150"/>
    <w:rsid w:val="00AA0FAA"/>
    <w:rsid w:val="00AA6356"/>
    <w:rsid w:val="00AA6E3C"/>
    <w:rsid w:val="00AA6F92"/>
    <w:rsid w:val="00AA7D29"/>
    <w:rsid w:val="00AB0286"/>
    <w:rsid w:val="00AB1ADE"/>
    <w:rsid w:val="00AB36C6"/>
    <w:rsid w:val="00AB6934"/>
    <w:rsid w:val="00AC1629"/>
    <w:rsid w:val="00AC2044"/>
    <w:rsid w:val="00AC2DB9"/>
    <w:rsid w:val="00AC6B90"/>
    <w:rsid w:val="00AC7B8E"/>
    <w:rsid w:val="00AC7DB0"/>
    <w:rsid w:val="00AD1E51"/>
    <w:rsid w:val="00AD3341"/>
    <w:rsid w:val="00AD3EE1"/>
    <w:rsid w:val="00AD4386"/>
    <w:rsid w:val="00AD4842"/>
    <w:rsid w:val="00AD501F"/>
    <w:rsid w:val="00AE1505"/>
    <w:rsid w:val="00AE1DDB"/>
    <w:rsid w:val="00AE3058"/>
    <w:rsid w:val="00AE30A8"/>
    <w:rsid w:val="00AE3520"/>
    <w:rsid w:val="00AE3A6B"/>
    <w:rsid w:val="00AE403B"/>
    <w:rsid w:val="00AE4792"/>
    <w:rsid w:val="00AE48FE"/>
    <w:rsid w:val="00AE63AF"/>
    <w:rsid w:val="00AE6F6F"/>
    <w:rsid w:val="00AF0C14"/>
    <w:rsid w:val="00AF2C50"/>
    <w:rsid w:val="00AF42DE"/>
    <w:rsid w:val="00AF46C9"/>
    <w:rsid w:val="00AF6182"/>
    <w:rsid w:val="00AF68B2"/>
    <w:rsid w:val="00AF7C13"/>
    <w:rsid w:val="00B0158A"/>
    <w:rsid w:val="00B019D6"/>
    <w:rsid w:val="00B0271A"/>
    <w:rsid w:val="00B039C7"/>
    <w:rsid w:val="00B03B00"/>
    <w:rsid w:val="00B03F4A"/>
    <w:rsid w:val="00B04F08"/>
    <w:rsid w:val="00B056C3"/>
    <w:rsid w:val="00B05904"/>
    <w:rsid w:val="00B06533"/>
    <w:rsid w:val="00B0698F"/>
    <w:rsid w:val="00B06DC6"/>
    <w:rsid w:val="00B113B9"/>
    <w:rsid w:val="00B118AC"/>
    <w:rsid w:val="00B13DD3"/>
    <w:rsid w:val="00B16C33"/>
    <w:rsid w:val="00B2133E"/>
    <w:rsid w:val="00B21592"/>
    <w:rsid w:val="00B22781"/>
    <w:rsid w:val="00B22CF4"/>
    <w:rsid w:val="00B23C14"/>
    <w:rsid w:val="00B2521B"/>
    <w:rsid w:val="00B25312"/>
    <w:rsid w:val="00B25D5D"/>
    <w:rsid w:val="00B271E0"/>
    <w:rsid w:val="00B30034"/>
    <w:rsid w:val="00B30A3A"/>
    <w:rsid w:val="00B30C6B"/>
    <w:rsid w:val="00B3369F"/>
    <w:rsid w:val="00B33A25"/>
    <w:rsid w:val="00B34F36"/>
    <w:rsid w:val="00B36EFF"/>
    <w:rsid w:val="00B4024E"/>
    <w:rsid w:val="00B4066D"/>
    <w:rsid w:val="00B41337"/>
    <w:rsid w:val="00B41D08"/>
    <w:rsid w:val="00B44651"/>
    <w:rsid w:val="00B447AF"/>
    <w:rsid w:val="00B47E4B"/>
    <w:rsid w:val="00B504D4"/>
    <w:rsid w:val="00B50FAE"/>
    <w:rsid w:val="00B51152"/>
    <w:rsid w:val="00B51C3D"/>
    <w:rsid w:val="00B53535"/>
    <w:rsid w:val="00B572E2"/>
    <w:rsid w:val="00B6288F"/>
    <w:rsid w:val="00B62FE9"/>
    <w:rsid w:val="00B63300"/>
    <w:rsid w:val="00B63D06"/>
    <w:rsid w:val="00B64193"/>
    <w:rsid w:val="00B712B1"/>
    <w:rsid w:val="00B74283"/>
    <w:rsid w:val="00B745A8"/>
    <w:rsid w:val="00B746CC"/>
    <w:rsid w:val="00B751C2"/>
    <w:rsid w:val="00B75387"/>
    <w:rsid w:val="00B831E5"/>
    <w:rsid w:val="00B85B8A"/>
    <w:rsid w:val="00B90149"/>
    <w:rsid w:val="00B90794"/>
    <w:rsid w:val="00B919EC"/>
    <w:rsid w:val="00B92B26"/>
    <w:rsid w:val="00B92B6F"/>
    <w:rsid w:val="00B93395"/>
    <w:rsid w:val="00B94E6C"/>
    <w:rsid w:val="00B95099"/>
    <w:rsid w:val="00B950AA"/>
    <w:rsid w:val="00B96ECC"/>
    <w:rsid w:val="00B97F9A"/>
    <w:rsid w:val="00BA0B23"/>
    <w:rsid w:val="00BA2E83"/>
    <w:rsid w:val="00BA5018"/>
    <w:rsid w:val="00BA6C2F"/>
    <w:rsid w:val="00BA7E76"/>
    <w:rsid w:val="00BB0E04"/>
    <w:rsid w:val="00BB1D3F"/>
    <w:rsid w:val="00BB1E5A"/>
    <w:rsid w:val="00BB2152"/>
    <w:rsid w:val="00BB4606"/>
    <w:rsid w:val="00BB4994"/>
    <w:rsid w:val="00BB7766"/>
    <w:rsid w:val="00BC01E2"/>
    <w:rsid w:val="00BC0D3C"/>
    <w:rsid w:val="00BC0D52"/>
    <w:rsid w:val="00BC26E8"/>
    <w:rsid w:val="00BC2D65"/>
    <w:rsid w:val="00BC6886"/>
    <w:rsid w:val="00BD0D64"/>
    <w:rsid w:val="00BD25D3"/>
    <w:rsid w:val="00BD2A1D"/>
    <w:rsid w:val="00BD327E"/>
    <w:rsid w:val="00BD666A"/>
    <w:rsid w:val="00BD6EA3"/>
    <w:rsid w:val="00BD7DD6"/>
    <w:rsid w:val="00BE08D4"/>
    <w:rsid w:val="00BE0C6D"/>
    <w:rsid w:val="00BE1D82"/>
    <w:rsid w:val="00BE24C4"/>
    <w:rsid w:val="00BE3F28"/>
    <w:rsid w:val="00BE4BD9"/>
    <w:rsid w:val="00BE6AF8"/>
    <w:rsid w:val="00BF1264"/>
    <w:rsid w:val="00BF401C"/>
    <w:rsid w:val="00BF4213"/>
    <w:rsid w:val="00BF5005"/>
    <w:rsid w:val="00BF6443"/>
    <w:rsid w:val="00BF6868"/>
    <w:rsid w:val="00BF72D0"/>
    <w:rsid w:val="00BF741A"/>
    <w:rsid w:val="00C0065C"/>
    <w:rsid w:val="00C01158"/>
    <w:rsid w:val="00C01D21"/>
    <w:rsid w:val="00C10ABB"/>
    <w:rsid w:val="00C11649"/>
    <w:rsid w:val="00C12FCF"/>
    <w:rsid w:val="00C16ADB"/>
    <w:rsid w:val="00C176C8"/>
    <w:rsid w:val="00C2052C"/>
    <w:rsid w:val="00C22B16"/>
    <w:rsid w:val="00C22CBA"/>
    <w:rsid w:val="00C23359"/>
    <w:rsid w:val="00C23778"/>
    <w:rsid w:val="00C23D2F"/>
    <w:rsid w:val="00C254E5"/>
    <w:rsid w:val="00C2735D"/>
    <w:rsid w:val="00C27853"/>
    <w:rsid w:val="00C31448"/>
    <w:rsid w:val="00C31F0E"/>
    <w:rsid w:val="00C3362B"/>
    <w:rsid w:val="00C3382F"/>
    <w:rsid w:val="00C36084"/>
    <w:rsid w:val="00C3680B"/>
    <w:rsid w:val="00C37B68"/>
    <w:rsid w:val="00C37BA9"/>
    <w:rsid w:val="00C37C3C"/>
    <w:rsid w:val="00C422FF"/>
    <w:rsid w:val="00C42922"/>
    <w:rsid w:val="00C443BD"/>
    <w:rsid w:val="00C44964"/>
    <w:rsid w:val="00C451C5"/>
    <w:rsid w:val="00C466B0"/>
    <w:rsid w:val="00C466CA"/>
    <w:rsid w:val="00C47316"/>
    <w:rsid w:val="00C47618"/>
    <w:rsid w:val="00C478BE"/>
    <w:rsid w:val="00C478CF"/>
    <w:rsid w:val="00C4790C"/>
    <w:rsid w:val="00C51A3F"/>
    <w:rsid w:val="00C5337F"/>
    <w:rsid w:val="00C550EE"/>
    <w:rsid w:val="00C56344"/>
    <w:rsid w:val="00C56F71"/>
    <w:rsid w:val="00C60CD8"/>
    <w:rsid w:val="00C62728"/>
    <w:rsid w:val="00C64050"/>
    <w:rsid w:val="00C64070"/>
    <w:rsid w:val="00C649DA"/>
    <w:rsid w:val="00C65CF8"/>
    <w:rsid w:val="00C65F6A"/>
    <w:rsid w:val="00C6673C"/>
    <w:rsid w:val="00C66AF0"/>
    <w:rsid w:val="00C67541"/>
    <w:rsid w:val="00C70B3E"/>
    <w:rsid w:val="00C711BB"/>
    <w:rsid w:val="00C718EC"/>
    <w:rsid w:val="00C745AF"/>
    <w:rsid w:val="00C74629"/>
    <w:rsid w:val="00C74B75"/>
    <w:rsid w:val="00C75376"/>
    <w:rsid w:val="00C75CD8"/>
    <w:rsid w:val="00C76B1B"/>
    <w:rsid w:val="00C77FA4"/>
    <w:rsid w:val="00C81DC4"/>
    <w:rsid w:val="00C8274D"/>
    <w:rsid w:val="00C83FE6"/>
    <w:rsid w:val="00C843EE"/>
    <w:rsid w:val="00C84D60"/>
    <w:rsid w:val="00C850E6"/>
    <w:rsid w:val="00C85936"/>
    <w:rsid w:val="00C87CDD"/>
    <w:rsid w:val="00C87E41"/>
    <w:rsid w:val="00C903D6"/>
    <w:rsid w:val="00C909BB"/>
    <w:rsid w:val="00C9161D"/>
    <w:rsid w:val="00C91AE8"/>
    <w:rsid w:val="00C91C4B"/>
    <w:rsid w:val="00C92B0D"/>
    <w:rsid w:val="00C93B78"/>
    <w:rsid w:val="00C93CDC"/>
    <w:rsid w:val="00C947E8"/>
    <w:rsid w:val="00C952E5"/>
    <w:rsid w:val="00C957DD"/>
    <w:rsid w:val="00C96BC0"/>
    <w:rsid w:val="00C96C78"/>
    <w:rsid w:val="00C96FEC"/>
    <w:rsid w:val="00C97861"/>
    <w:rsid w:val="00CA0C1D"/>
    <w:rsid w:val="00CA1416"/>
    <w:rsid w:val="00CA26C9"/>
    <w:rsid w:val="00CA2DA6"/>
    <w:rsid w:val="00CA33B7"/>
    <w:rsid w:val="00CA4044"/>
    <w:rsid w:val="00CA4DBB"/>
    <w:rsid w:val="00CA5BFA"/>
    <w:rsid w:val="00CA5CBA"/>
    <w:rsid w:val="00CA6F44"/>
    <w:rsid w:val="00CA750B"/>
    <w:rsid w:val="00CB075B"/>
    <w:rsid w:val="00CB2DEF"/>
    <w:rsid w:val="00CB2E9A"/>
    <w:rsid w:val="00CB35EB"/>
    <w:rsid w:val="00CB4386"/>
    <w:rsid w:val="00CB4678"/>
    <w:rsid w:val="00CB4974"/>
    <w:rsid w:val="00CB51A5"/>
    <w:rsid w:val="00CB662C"/>
    <w:rsid w:val="00CC1380"/>
    <w:rsid w:val="00CC2CC8"/>
    <w:rsid w:val="00CC3488"/>
    <w:rsid w:val="00CC4785"/>
    <w:rsid w:val="00CC4FF9"/>
    <w:rsid w:val="00CC6074"/>
    <w:rsid w:val="00CC66B6"/>
    <w:rsid w:val="00CD08A4"/>
    <w:rsid w:val="00CD2576"/>
    <w:rsid w:val="00CD2ADC"/>
    <w:rsid w:val="00CD669D"/>
    <w:rsid w:val="00CE1133"/>
    <w:rsid w:val="00CE17E9"/>
    <w:rsid w:val="00CE4355"/>
    <w:rsid w:val="00CE61D1"/>
    <w:rsid w:val="00CE65E6"/>
    <w:rsid w:val="00CE67A6"/>
    <w:rsid w:val="00CF16BA"/>
    <w:rsid w:val="00CF1848"/>
    <w:rsid w:val="00CF1CF8"/>
    <w:rsid w:val="00CF4270"/>
    <w:rsid w:val="00CF443D"/>
    <w:rsid w:val="00CF4849"/>
    <w:rsid w:val="00CF5138"/>
    <w:rsid w:val="00CF56C9"/>
    <w:rsid w:val="00CF686B"/>
    <w:rsid w:val="00CF7317"/>
    <w:rsid w:val="00CF7EA8"/>
    <w:rsid w:val="00D011DE"/>
    <w:rsid w:val="00D01C28"/>
    <w:rsid w:val="00D021D2"/>
    <w:rsid w:val="00D031AD"/>
    <w:rsid w:val="00D04AE8"/>
    <w:rsid w:val="00D056D9"/>
    <w:rsid w:val="00D06761"/>
    <w:rsid w:val="00D12044"/>
    <w:rsid w:val="00D121D3"/>
    <w:rsid w:val="00D13C8D"/>
    <w:rsid w:val="00D14C80"/>
    <w:rsid w:val="00D152A3"/>
    <w:rsid w:val="00D16ADD"/>
    <w:rsid w:val="00D170D9"/>
    <w:rsid w:val="00D1767C"/>
    <w:rsid w:val="00D1790C"/>
    <w:rsid w:val="00D22827"/>
    <w:rsid w:val="00D23197"/>
    <w:rsid w:val="00D233CC"/>
    <w:rsid w:val="00D26189"/>
    <w:rsid w:val="00D264E0"/>
    <w:rsid w:val="00D2654A"/>
    <w:rsid w:val="00D268AE"/>
    <w:rsid w:val="00D273B9"/>
    <w:rsid w:val="00D32CC3"/>
    <w:rsid w:val="00D33630"/>
    <w:rsid w:val="00D338B3"/>
    <w:rsid w:val="00D33EFC"/>
    <w:rsid w:val="00D349E4"/>
    <w:rsid w:val="00D36D2B"/>
    <w:rsid w:val="00D401D9"/>
    <w:rsid w:val="00D40DBC"/>
    <w:rsid w:val="00D410E7"/>
    <w:rsid w:val="00D42F88"/>
    <w:rsid w:val="00D42FD3"/>
    <w:rsid w:val="00D432C9"/>
    <w:rsid w:val="00D44F24"/>
    <w:rsid w:val="00D4540F"/>
    <w:rsid w:val="00D45B95"/>
    <w:rsid w:val="00D46E28"/>
    <w:rsid w:val="00D47581"/>
    <w:rsid w:val="00D5049D"/>
    <w:rsid w:val="00D512F6"/>
    <w:rsid w:val="00D51A0D"/>
    <w:rsid w:val="00D51B84"/>
    <w:rsid w:val="00D51E0E"/>
    <w:rsid w:val="00D52102"/>
    <w:rsid w:val="00D52EEB"/>
    <w:rsid w:val="00D52F8D"/>
    <w:rsid w:val="00D531EE"/>
    <w:rsid w:val="00D537F0"/>
    <w:rsid w:val="00D53F5B"/>
    <w:rsid w:val="00D54B27"/>
    <w:rsid w:val="00D54C33"/>
    <w:rsid w:val="00D54FC4"/>
    <w:rsid w:val="00D55D3B"/>
    <w:rsid w:val="00D577AB"/>
    <w:rsid w:val="00D579F1"/>
    <w:rsid w:val="00D60349"/>
    <w:rsid w:val="00D60BB0"/>
    <w:rsid w:val="00D60E93"/>
    <w:rsid w:val="00D61483"/>
    <w:rsid w:val="00D61B59"/>
    <w:rsid w:val="00D61C85"/>
    <w:rsid w:val="00D6258A"/>
    <w:rsid w:val="00D62C17"/>
    <w:rsid w:val="00D6399C"/>
    <w:rsid w:val="00D659D2"/>
    <w:rsid w:val="00D65A26"/>
    <w:rsid w:val="00D70044"/>
    <w:rsid w:val="00D7086A"/>
    <w:rsid w:val="00D7306A"/>
    <w:rsid w:val="00D73EB7"/>
    <w:rsid w:val="00D74860"/>
    <w:rsid w:val="00D74FDD"/>
    <w:rsid w:val="00D757F0"/>
    <w:rsid w:val="00D75CA6"/>
    <w:rsid w:val="00D75D31"/>
    <w:rsid w:val="00D76A18"/>
    <w:rsid w:val="00D77332"/>
    <w:rsid w:val="00D80849"/>
    <w:rsid w:val="00D82B33"/>
    <w:rsid w:val="00D82E8F"/>
    <w:rsid w:val="00D83B04"/>
    <w:rsid w:val="00D841F7"/>
    <w:rsid w:val="00D84C61"/>
    <w:rsid w:val="00D851C2"/>
    <w:rsid w:val="00D855BD"/>
    <w:rsid w:val="00D872EC"/>
    <w:rsid w:val="00D873AC"/>
    <w:rsid w:val="00D87543"/>
    <w:rsid w:val="00D917A6"/>
    <w:rsid w:val="00D9225C"/>
    <w:rsid w:val="00D9323B"/>
    <w:rsid w:val="00D93A3F"/>
    <w:rsid w:val="00D953DC"/>
    <w:rsid w:val="00DA1A6C"/>
    <w:rsid w:val="00DA229E"/>
    <w:rsid w:val="00DA3A27"/>
    <w:rsid w:val="00DA3CD8"/>
    <w:rsid w:val="00DA53FE"/>
    <w:rsid w:val="00DA6886"/>
    <w:rsid w:val="00DA7E80"/>
    <w:rsid w:val="00DB0296"/>
    <w:rsid w:val="00DB1F80"/>
    <w:rsid w:val="00DB380D"/>
    <w:rsid w:val="00DB4612"/>
    <w:rsid w:val="00DB5E0F"/>
    <w:rsid w:val="00DB693B"/>
    <w:rsid w:val="00DB6A23"/>
    <w:rsid w:val="00DB6D21"/>
    <w:rsid w:val="00DC0048"/>
    <w:rsid w:val="00DC1163"/>
    <w:rsid w:val="00DC1F7D"/>
    <w:rsid w:val="00DC2A7C"/>
    <w:rsid w:val="00DC3093"/>
    <w:rsid w:val="00DC7938"/>
    <w:rsid w:val="00DD0949"/>
    <w:rsid w:val="00DD118C"/>
    <w:rsid w:val="00DD1D0B"/>
    <w:rsid w:val="00DD286D"/>
    <w:rsid w:val="00DD7E92"/>
    <w:rsid w:val="00DE0218"/>
    <w:rsid w:val="00DE02A8"/>
    <w:rsid w:val="00DE0385"/>
    <w:rsid w:val="00DE08E8"/>
    <w:rsid w:val="00DE41C7"/>
    <w:rsid w:val="00DE4C7F"/>
    <w:rsid w:val="00DE6D16"/>
    <w:rsid w:val="00DE765C"/>
    <w:rsid w:val="00DF19A9"/>
    <w:rsid w:val="00DF1D69"/>
    <w:rsid w:val="00DF24A4"/>
    <w:rsid w:val="00DF2DFC"/>
    <w:rsid w:val="00DF3601"/>
    <w:rsid w:val="00DF4992"/>
    <w:rsid w:val="00DF54CD"/>
    <w:rsid w:val="00DF5587"/>
    <w:rsid w:val="00DF5A80"/>
    <w:rsid w:val="00DF65B7"/>
    <w:rsid w:val="00DF7561"/>
    <w:rsid w:val="00E00661"/>
    <w:rsid w:val="00E0086A"/>
    <w:rsid w:val="00E014ED"/>
    <w:rsid w:val="00E01EC4"/>
    <w:rsid w:val="00E02371"/>
    <w:rsid w:val="00E02AD0"/>
    <w:rsid w:val="00E0359C"/>
    <w:rsid w:val="00E041C6"/>
    <w:rsid w:val="00E063AD"/>
    <w:rsid w:val="00E101FC"/>
    <w:rsid w:val="00E10477"/>
    <w:rsid w:val="00E10D6F"/>
    <w:rsid w:val="00E111B2"/>
    <w:rsid w:val="00E11783"/>
    <w:rsid w:val="00E11C2A"/>
    <w:rsid w:val="00E12434"/>
    <w:rsid w:val="00E13202"/>
    <w:rsid w:val="00E134CE"/>
    <w:rsid w:val="00E14F8D"/>
    <w:rsid w:val="00E150D5"/>
    <w:rsid w:val="00E163AE"/>
    <w:rsid w:val="00E21F5A"/>
    <w:rsid w:val="00E21FF4"/>
    <w:rsid w:val="00E23AA8"/>
    <w:rsid w:val="00E25187"/>
    <w:rsid w:val="00E25AAB"/>
    <w:rsid w:val="00E27DF5"/>
    <w:rsid w:val="00E31A81"/>
    <w:rsid w:val="00E3283A"/>
    <w:rsid w:val="00E33AD6"/>
    <w:rsid w:val="00E34AB2"/>
    <w:rsid w:val="00E3607D"/>
    <w:rsid w:val="00E360C3"/>
    <w:rsid w:val="00E364CB"/>
    <w:rsid w:val="00E36841"/>
    <w:rsid w:val="00E36C3E"/>
    <w:rsid w:val="00E40148"/>
    <w:rsid w:val="00E403A3"/>
    <w:rsid w:val="00E40C48"/>
    <w:rsid w:val="00E4118F"/>
    <w:rsid w:val="00E42D45"/>
    <w:rsid w:val="00E4315E"/>
    <w:rsid w:val="00E44932"/>
    <w:rsid w:val="00E45E44"/>
    <w:rsid w:val="00E5027A"/>
    <w:rsid w:val="00E522AC"/>
    <w:rsid w:val="00E5420C"/>
    <w:rsid w:val="00E55353"/>
    <w:rsid w:val="00E559A9"/>
    <w:rsid w:val="00E56958"/>
    <w:rsid w:val="00E56D89"/>
    <w:rsid w:val="00E57404"/>
    <w:rsid w:val="00E60909"/>
    <w:rsid w:val="00E612A5"/>
    <w:rsid w:val="00E61C9D"/>
    <w:rsid w:val="00E62369"/>
    <w:rsid w:val="00E625F2"/>
    <w:rsid w:val="00E639E1"/>
    <w:rsid w:val="00E6454D"/>
    <w:rsid w:val="00E65285"/>
    <w:rsid w:val="00E66235"/>
    <w:rsid w:val="00E6767D"/>
    <w:rsid w:val="00E678F8"/>
    <w:rsid w:val="00E67D4E"/>
    <w:rsid w:val="00E71013"/>
    <w:rsid w:val="00E71E2D"/>
    <w:rsid w:val="00E743BC"/>
    <w:rsid w:val="00E7566B"/>
    <w:rsid w:val="00E75CF4"/>
    <w:rsid w:val="00E75DA1"/>
    <w:rsid w:val="00E765FC"/>
    <w:rsid w:val="00E80E0F"/>
    <w:rsid w:val="00E83C24"/>
    <w:rsid w:val="00E8461A"/>
    <w:rsid w:val="00E851D7"/>
    <w:rsid w:val="00E85538"/>
    <w:rsid w:val="00E8673B"/>
    <w:rsid w:val="00E86769"/>
    <w:rsid w:val="00E87881"/>
    <w:rsid w:val="00E87B45"/>
    <w:rsid w:val="00E90021"/>
    <w:rsid w:val="00E91AC7"/>
    <w:rsid w:val="00E91EAF"/>
    <w:rsid w:val="00E91EBE"/>
    <w:rsid w:val="00E9318D"/>
    <w:rsid w:val="00E93546"/>
    <w:rsid w:val="00E93F3E"/>
    <w:rsid w:val="00E9556F"/>
    <w:rsid w:val="00E96948"/>
    <w:rsid w:val="00E96CA8"/>
    <w:rsid w:val="00E97048"/>
    <w:rsid w:val="00E9717A"/>
    <w:rsid w:val="00E97429"/>
    <w:rsid w:val="00EA25C2"/>
    <w:rsid w:val="00EA2C6F"/>
    <w:rsid w:val="00EA3733"/>
    <w:rsid w:val="00EA4B1F"/>
    <w:rsid w:val="00EB426F"/>
    <w:rsid w:val="00EB496C"/>
    <w:rsid w:val="00EC169C"/>
    <w:rsid w:val="00EC23B0"/>
    <w:rsid w:val="00EC2A3A"/>
    <w:rsid w:val="00EC2C30"/>
    <w:rsid w:val="00EC3101"/>
    <w:rsid w:val="00EC420A"/>
    <w:rsid w:val="00EC44FB"/>
    <w:rsid w:val="00EC45C6"/>
    <w:rsid w:val="00EC48E2"/>
    <w:rsid w:val="00EC592B"/>
    <w:rsid w:val="00ED0822"/>
    <w:rsid w:val="00ED0970"/>
    <w:rsid w:val="00ED15A3"/>
    <w:rsid w:val="00ED1E35"/>
    <w:rsid w:val="00ED242A"/>
    <w:rsid w:val="00ED3A0B"/>
    <w:rsid w:val="00ED4D0E"/>
    <w:rsid w:val="00ED513E"/>
    <w:rsid w:val="00ED5D7A"/>
    <w:rsid w:val="00ED61AD"/>
    <w:rsid w:val="00ED664D"/>
    <w:rsid w:val="00EE04BF"/>
    <w:rsid w:val="00EE0630"/>
    <w:rsid w:val="00EE0761"/>
    <w:rsid w:val="00EE0C6F"/>
    <w:rsid w:val="00EE2D96"/>
    <w:rsid w:val="00EE6613"/>
    <w:rsid w:val="00EE76C7"/>
    <w:rsid w:val="00EF0B5F"/>
    <w:rsid w:val="00EF0C67"/>
    <w:rsid w:val="00EF13F2"/>
    <w:rsid w:val="00EF17DC"/>
    <w:rsid w:val="00EF23D5"/>
    <w:rsid w:val="00EF353A"/>
    <w:rsid w:val="00EF3BF9"/>
    <w:rsid w:val="00EF50F4"/>
    <w:rsid w:val="00EF5B6A"/>
    <w:rsid w:val="00EF6D04"/>
    <w:rsid w:val="00EF714F"/>
    <w:rsid w:val="00F006CE"/>
    <w:rsid w:val="00F04A54"/>
    <w:rsid w:val="00F05639"/>
    <w:rsid w:val="00F05AA7"/>
    <w:rsid w:val="00F06213"/>
    <w:rsid w:val="00F063C2"/>
    <w:rsid w:val="00F0726C"/>
    <w:rsid w:val="00F0731B"/>
    <w:rsid w:val="00F07E79"/>
    <w:rsid w:val="00F1070B"/>
    <w:rsid w:val="00F10FBE"/>
    <w:rsid w:val="00F115C9"/>
    <w:rsid w:val="00F15333"/>
    <w:rsid w:val="00F15887"/>
    <w:rsid w:val="00F161C5"/>
    <w:rsid w:val="00F16DB5"/>
    <w:rsid w:val="00F17416"/>
    <w:rsid w:val="00F17AEF"/>
    <w:rsid w:val="00F20AAC"/>
    <w:rsid w:val="00F22085"/>
    <w:rsid w:val="00F23FBA"/>
    <w:rsid w:val="00F24853"/>
    <w:rsid w:val="00F25C60"/>
    <w:rsid w:val="00F26205"/>
    <w:rsid w:val="00F26FCA"/>
    <w:rsid w:val="00F3279B"/>
    <w:rsid w:val="00F342C8"/>
    <w:rsid w:val="00F35A6B"/>
    <w:rsid w:val="00F36DAB"/>
    <w:rsid w:val="00F371A1"/>
    <w:rsid w:val="00F417D3"/>
    <w:rsid w:val="00F41FE7"/>
    <w:rsid w:val="00F42177"/>
    <w:rsid w:val="00F4334F"/>
    <w:rsid w:val="00F4348C"/>
    <w:rsid w:val="00F435B2"/>
    <w:rsid w:val="00F43E92"/>
    <w:rsid w:val="00F45400"/>
    <w:rsid w:val="00F45522"/>
    <w:rsid w:val="00F46CF1"/>
    <w:rsid w:val="00F46D05"/>
    <w:rsid w:val="00F508D6"/>
    <w:rsid w:val="00F50FAC"/>
    <w:rsid w:val="00F512CF"/>
    <w:rsid w:val="00F51588"/>
    <w:rsid w:val="00F518A4"/>
    <w:rsid w:val="00F51950"/>
    <w:rsid w:val="00F525D9"/>
    <w:rsid w:val="00F53193"/>
    <w:rsid w:val="00F5357E"/>
    <w:rsid w:val="00F542C1"/>
    <w:rsid w:val="00F55FAC"/>
    <w:rsid w:val="00F563C7"/>
    <w:rsid w:val="00F5645C"/>
    <w:rsid w:val="00F56646"/>
    <w:rsid w:val="00F56B02"/>
    <w:rsid w:val="00F5788A"/>
    <w:rsid w:val="00F607FF"/>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5BE2"/>
    <w:rsid w:val="00F7653B"/>
    <w:rsid w:val="00F7691B"/>
    <w:rsid w:val="00F76D88"/>
    <w:rsid w:val="00F807AA"/>
    <w:rsid w:val="00F813BB"/>
    <w:rsid w:val="00F81FB8"/>
    <w:rsid w:val="00F827B1"/>
    <w:rsid w:val="00F83F8B"/>
    <w:rsid w:val="00F84839"/>
    <w:rsid w:val="00F857A4"/>
    <w:rsid w:val="00F86392"/>
    <w:rsid w:val="00F866CD"/>
    <w:rsid w:val="00F86BCE"/>
    <w:rsid w:val="00F9038B"/>
    <w:rsid w:val="00F90AB8"/>
    <w:rsid w:val="00F915D6"/>
    <w:rsid w:val="00F91F7B"/>
    <w:rsid w:val="00F9332E"/>
    <w:rsid w:val="00F93BBE"/>
    <w:rsid w:val="00F94774"/>
    <w:rsid w:val="00F97A59"/>
    <w:rsid w:val="00F97A5D"/>
    <w:rsid w:val="00FA0537"/>
    <w:rsid w:val="00FA06D4"/>
    <w:rsid w:val="00FA2BD0"/>
    <w:rsid w:val="00FA2D3A"/>
    <w:rsid w:val="00FA2EED"/>
    <w:rsid w:val="00FA322D"/>
    <w:rsid w:val="00FA369E"/>
    <w:rsid w:val="00FA3758"/>
    <w:rsid w:val="00FA43AE"/>
    <w:rsid w:val="00FA5C43"/>
    <w:rsid w:val="00FA6161"/>
    <w:rsid w:val="00FA663B"/>
    <w:rsid w:val="00FA7855"/>
    <w:rsid w:val="00FA7A8D"/>
    <w:rsid w:val="00FB0927"/>
    <w:rsid w:val="00FB1409"/>
    <w:rsid w:val="00FB1BA5"/>
    <w:rsid w:val="00FB32D8"/>
    <w:rsid w:val="00FB3E5C"/>
    <w:rsid w:val="00FB4E81"/>
    <w:rsid w:val="00FB4EF2"/>
    <w:rsid w:val="00FB5762"/>
    <w:rsid w:val="00FB580D"/>
    <w:rsid w:val="00FB777F"/>
    <w:rsid w:val="00FB7AAE"/>
    <w:rsid w:val="00FC1A2D"/>
    <w:rsid w:val="00FC1B7B"/>
    <w:rsid w:val="00FC1D72"/>
    <w:rsid w:val="00FC3D89"/>
    <w:rsid w:val="00FC4DC0"/>
    <w:rsid w:val="00FC5312"/>
    <w:rsid w:val="00FC53DB"/>
    <w:rsid w:val="00FC59BB"/>
    <w:rsid w:val="00FC5A9E"/>
    <w:rsid w:val="00FC68FE"/>
    <w:rsid w:val="00FC76CA"/>
    <w:rsid w:val="00FC7C1F"/>
    <w:rsid w:val="00FC7FDE"/>
    <w:rsid w:val="00FD02F7"/>
    <w:rsid w:val="00FD0BD5"/>
    <w:rsid w:val="00FD2144"/>
    <w:rsid w:val="00FD26E6"/>
    <w:rsid w:val="00FD356D"/>
    <w:rsid w:val="00FD4C4A"/>
    <w:rsid w:val="00FD4F54"/>
    <w:rsid w:val="00FD6CB6"/>
    <w:rsid w:val="00FD700F"/>
    <w:rsid w:val="00FE0520"/>
    <w:rsid w:val="00FE0A4E"/>
    <w:rsid w:val="00FE5AFE"/>
    <w:rsid w:val="00FE68F2"/>
    <w:rsid w:val="00FE6BCA"/>
    <w:rsid w:val="00FE71E3"/>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2E2C3A7D-6332-4F03-A0AC-8AF47D9C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Simplified Arabic"/>
      <w:sz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bCs/>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6"/>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bCs/>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bCs/>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sz w:val="18"/>
      <w:szCs w:val="20"/>
    </w:rPr>
  </w:style>
  <w:style w:type="character" w:customStyle="1" w:styleId="BalloonTextChar">
    <w:name w:val="Balloon Text Char"/>
    <w:basedOn w:val="DefaultParagraphFont"/>
    <w:link w:val="BalloonText"/>
    <w:uiPriority w:val="99"/>
    <w:semiHidden/>
    <w:rsid w:val="00C9161D"/>
    <w:rPr>
      <w:rFonts w:ascii="Lucida Grande" w:eastAsia="SimSun" w:hAnsi="Lucida Grande" w:cs="Simplified Arabic"/>
      <w:sz w:val="18"/>
      <w:szCs w:val="20"/>
      <w:lang w:val="en-GB"/>
    </w:rPr>
  </w:style>
  <w:style w:type="character" w:styleId="PlaceholderText">
    <w:name w:val="Placeholder Text"/>
    <w:basedOn w:val="DefaultParagraphFont"/>
    <w:uiPriority w:val="99"/>
    <w:semiHidden/>
    <w:rsid w:val="00105372"/>
    <w:rPr>
      <w:rFonts w:cs="Simplified Arabic"/>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szCs w:val="22"/>
    </w:rPr>
  </w:style>
  <w:style w:type="character" w:customStyle="1" w:styleId="HeaderChar">
    <w:name w:val="Header Char"/>
    <w:basedOn w:val="DefaultParagraphFont"/>
    <w:link w:val="Header"/>
    <w:rsid w:val="0025501A"/>
    <w:rPr>
      <w:rFonts w:ascii="Times New Roman" w:eastAsia="SimSun" w:hAnsi="Times New Roman" w:cs="Simplified Arabic"/>
      <w:sz w:val="20"/>
      <w:szCs w:val="22"/>
      <w:lang w:val="en-GB"/>
    </w:rPr>
  </w:style>
  <w:style w:type="paragraph" w:styleId="Footer">
    <w:name w:val="footer"/>
    <w:basedOn w:val="Normal"/>
    <w:link w:val="FooterChar"/>
    <w:uiPriority w:val="99"/>
    <w:rsid w:val="0025501A"/>
    <w:pPr>
      <w:tabs>
        <w:tab w:val="center" w:pos="4680"/>
        <w:tab w:val="right" w:pos="9360"/>
      </w:tabs>
    </w:pPr>
    <w:rPr>
      <w:sz w:val="20"/>
      <w:szCs w:val="22"/>
    </w:rPr>
  </w:style>
  <w:style w:type="character" w:customStyle="1" w:styleId="FooterChar">
    <w:name w:val="Footer Char"/>
    <w:basedOn w:val="DefaultParagraphFont"/>
    <w:link w:val="Footer"/>
    <w:uiPriority w:val="99"/>
    <w:rsid w:val="0025501A"/>
    <w:rPr>
      <w:rFonts w:ascii="Times New Roman" w:eastAsia="SimSun" w:hAnsi="Times New Roman" w:cs="Simplified Arabic"/>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4"/>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4"/>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szCs w:val="26"/>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cs="Simplified Arabic"/>
      <w:kern w:val="2"/>
      <w:sz w:val="22"/>
      <w:szCs w:val="24"/>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Simplified Arabic"/>
      <w:sz w:val="22"/>
      <w:szCs w:val="24"/>
      <w:lang w:val="en-GB"/>
    </w:rPr>
  </w:style>
  <w:style w:type="character" w:styleId="CommentReference">
    <w:name w:val="annotation reference"/>
    <w:basedOn w:val="DefaultParagraphFont"/>
    <w:uiPriority w:val="99"/>
    <w:semiHidden/>
    <w:unhideWhenUsed/>
    <w:rsid w:val="0025501A"/>
    <w:rPr>
      <w:rFonts w:cs="Simplified Arabic"/>
      <w:sz w:val="16"/>
      <w:szCs w:val="18"/>
      <w:lang w:val="en-GB"/>
    </w:rPr>
  </w:style>
  <w:style w:type="paragraph" w:styleId="CommentText">
    <w:name w:val="annotation text"/>
    <w:basedOn w:val="Normal"/>
    <w:link w:val="CommentTextChar"/>
    <w:uiPriority w:val="99"/>
    <w:semiHidden/>
    <w:rsid w:val="0025501A"/>
    <w:rPr>
      <w:sz w:val="20"/>
      <w:szCs w:val="22"/>
    </w:rPr>
  </w:style>
  <w:style w:type="character" w:customStyle="1" w:styleId="CommentTextChar">
    <w:name w:val="Comment Text Char"/>
    <w:basedOn w:val="DefaultParagraphFont"/>
    <w:link w:val="CommentText"/>
    <w:uiPriority w:val="99"/>
    <w:semiHidden/>
    <w:rsid w:val="0025501A"/>
    <w:rPr>
      <w:rFonts w:ascii="Times New Roman" w:eastAsia="SimSun" w:hAnsi="Times New Roman" w:cs="Simplified Arabic"/>
      <w:sz w:val="20"/>
      <w:szCs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rFonts w:cs="Simplified Arabic"/>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Simplified Arabic"/>
      <w:sz w:val="22"/>
      <w:szCs w:val="24"/>
      <w:lang w:val="en-GB"/>
    </w:rPr>
  </w:style>
  <w:style w:type="character" w:styleId="FollowedHyperlink">
    <w:name w:val="FollowedHyperlink"/>
    <w:rsid w:val="007E09DA"/>
    <w:rPr>
      <w:rFonts w:cs="Simplified Arabic"/>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5501A"/>
    <w:rPr>
      <w:rFonts w:cs="Simplified Arabic"/>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Simplified Arabic"/>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bCs/>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rFonts w:cs="Simplified Arabic"/>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Simplified Arabic"/>
      <w:b/>
      <w:b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Simplified Arabic"/>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25501A"/>
    <w:rPr>
      <w:rFonts w:ascii="Times New Roman" w:eastAsiaTheme="majorEastAsia" w:hAnsi="Times New Roman" w:cs="Simplified Arabic"/>
      <w:i/>
      <w:iCs/>
      <w:sz w:val="22"/>
      <w:lang w:val="en-GB"/>
    </w:rPr>
  </w:style>
  <w:style w:type="character" w:customStyle="1" w:styleId="Heading6Char">
    <w:name w:val="Heading 6 Char"/>
    <w:basedOn w:val="DefaultParagraphFont"/>
    <w:link w:val="Heading6"/>
    <w:rsid w:val="0025501A"/>
    <w:rPr>
      <w:rFonts w:ascii="Times New Roman" w:eastAsia="SimSun" w:hAnsi="Times New Roman" w:cs="Simplified Arabic"/>
      <w:bCs/>
      <w:szCs w:val="26"/>
      <w:lang w:val="en-GB"/>
    </w:rPr>
  </w:style>
  <w:style w:type="character" w:customStyle="1" w:styleId="Heading7Char">
    <w:name w:val="Heading 7 Char"/>
    <w:basedOn w:val="DefaultParagraphFont"/>
    <w:link w:val="Heading7"/>
    <w:rsid w:val="0025501A"/>
    <w:rPr>
      <w:rFonts w:ascii="Times New Roman" w:eastAsia="SimSun" w:hAnsi="Times New Roman" w:cs="Simplified Arabic"/>
      <w:b/>
      <w:bCs/>
      <w:snapToGrid w:val="0"/>
      <w:sz w:val="22"/>
      <w:u w:val="single"/>
      <w:lang w:val="en-GB"/>
    </w:rPr>
  </w:style>
  <w:style w:type="character" w:customStyle="1" w:styleId="Heading8Char">
    <w:name w:val="Heading 8 Char"/>
    <w:basedOn w:val="DefaultParagraphFont"/>
    <w:link w:val="Heading8"/>
    <w:rsid w:val="0025501A"/>
    <w:rPr>
      <w:rFonts w:ascii="Times New Roman" w:eastAsia="SimSun" w:hAnsi="Times New Roman" w:cs="Simplified Arabic"/>
      <w:b/>
      <w:bCs/>
      <w:snapToGrid w:val="0"/>
      <w:sz w:val="22"/>
      <w:u w:val="single"/>
      <w:lang w:val="en-GB"/>
    </w:rPr>
  </w:style>
  <w:style w:type="character" w:customStyle="1" w:styleId="Heading9Char">
    <w:name w:val="Heading 9 Char"/>
    <w:basedOn w:val="DefaultParagraphFont"/>
    <w:link w:val="Heading9"/>
    <w:rsid w:val="0025501A"/>
    <w:rPr>
      <w:rFonts w:ascii="Times New Roman" w:eastAsia="SimSun" w:hAnsi="Times New Roman" w:cs="Simplified Arabic"/>
      <w:snapToGrid w:val="0"/>
      <w:sz w:val="22"/>
      <w:u w:val="single"/>
      <w:lang w:val="en-GB"/>
    </w:rPr>
  </w:style>
  <w:style w:type="character" w:styleId="PageNumber">
    <w:name w:val="page number"/>
    <w:rsid w:val="007E09DA"/>
    <w:rPr>
      <w:rFonts w:ascii="Times New Roman" w:hAnsi="Times New Roman" w:cs="Simplified Arabic"/>
      <w:sz w:val="22"/>
      <w:szCs w:val="24"/>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2"/>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iCs/>
      <w:sz w:val="18"/>
      <w:szCs w:val="20"/>
    </w:rPr>
  </w:style>
  <w:style w:type="character" w:customStyle="1" w:styleId="StyleFootnoteReferenceNounderline">
    <w:name w:val="Style Footnote Reference + No underline"/>
    <w:rsid w:val="007E09DA"/>
    <w:rPr>
      <w:rFonts w:cs="Simplified Arabic"/>
      <w:sz w:val="18"/>
      <w:szCs w:val="20"/>
      <w:u w:val="none"/>
      <w:vertAlign w:val="baseline"/>
      <w:lang w:val="en-GB"/>
    </w:rPr>
  </w:style>
  <w:style w:type="paragraph" w:customStyle="1" w:styleId="tabletitle">
    <w:name w:val="table title"/>
    <w:basedOn w:val="Heading2"/>
    <w:qFormat/>
    <w:rsid w:val="0093169E"/>
    <w:pPr>
      <w:outlineLvl w:val="9"/>
    </w:pPr>
    <w:rPr>
      <w:rFonts w:cs="Simplified Arabic"/>
      <w:i/>
      <w:iCs/>
    </w:rPr>
  </w:style>
  <w:style w:type="paragraph" w:styleId="TOAHeading">
    <w:name w:val="toa heading"/>
    <w:basedOn w:val="Normal"/>
    <w:next w:val="Normal"/>
    <w:semiHidden/>
    <w:rsid w:val="007E09DA"/>
    <w:pPr>
      <w:spacing w:before="120"/>
    </w:pPr>
    <w:rPr>
      <w:b/>
      <w:bCs/>
      <w:sz w:val="24"/>
      <w:szCs w:val="26"/>
    </w:rPr>
  </w:style>
  <w:style w:type="paragraph" w:styleId="TOC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20"/>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20"/>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20"/>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20"/>
    </w:rPr>
  </w:style>
  <w:style w:type="character" w:styleId="Hyperlink">
    <w:name w:val="Hyperlink"/>
    <w:basedOn w:val="DefaultParagraphFont"/>
    <w:uiPriority w:val="99"/>
    <w:unhideWhenUsed/>
    <w:qFormat/>
    <w:rsid w:val="0025501A"/>
    <w:rPr>
      <w:rFonts w:ascii="Times New Roman" w:hAnsi="Times New Roman" w:cs="Simplified Arabic"/>
      <w:color w:val="0000FF" w:themeColor="hyperlink"/>
      <w:u w:val="single"/>
      <w:lang w:val="en-GB"/>
    </w:rPr>
  </w:style>
  <w:style w:type="character" w:customStyle="1" w:styleId="Para1Char">
    <w:name w:val="Para1 Char"/>
    <w:link w:val="Para1"/>
    <w:locked/>
    <w:rsid w:val="005B35E2"/>
    <w:rPr>
      <w:rFonts w:ascii="Times New Roman" w:eastAsia="SimSun" w:hAnsi="Times New Roman" w:cs="Simplified Arabic"/>
      <w:snapToGrid w:val="0"/>
      <w:sz w:val="22"/>
      <w:szCs w:val="18"/>
      <w:lang w:val="en-GB"/>
    </w:rPr>
  </w:style>
  <w:style w:type="paragraph" w:customStyle="1" w:styleId="CBD-Doc-Type">
    <w:name w:val="CBD-Doc-Type"/>
    <w:basedOn w:val="Normal"/>
    <w:rsid w:val="00172AF6"/>
    <w:pPr>
      <w:keepLines/>
      <w:spacing w:before="240" w:after="120"/>
    </w:pPr>
    <w:rPr>
      <w:b/>
      <w:bCs/>
      <w:i/>
      <w:iCs/>
      <w:sz w:val="24"/>
      <w:szCs w:val="26"/>
    </w:rPr>
  </w:style>
  <w:style w:type="paragraph" w:customStyle="1" w:styleId="CBD-Doc">
    <w:name w:val="CBD-Doc"/>
    <w:basedOn w:val="Normal"/>
    <w:rsid w:val="00172AF6"/>
    <w:pPr>
      <w:keepLines/>
      <w:numPr>
        <w:numId w:val="3"/>
      </w:numPr>
      <w:spacing w:after="120"/>
    </w:pPr>
  </w:style>
  <w:style w:type="paragraph" w:styleId="ListParagraph">
    <w:name w:val="List Paragraph"/>
    <w:basedOn w:val="Normal"/>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bCs/>
      <w:iCs/>
      <w:szCs w:val="18"/>
    </w:rPr>
  </w:style>
  <w:style w:type="paragraph" w:customStyle="1" w:styleId="Style1">
    <w:name w:val="Style1"/>
    <w:basedOn w:val="Heading2"/>
    <w:qFormat/>
    <w:rsid w:val="00F6586C"/>
    <w:rPr>
      <w:rFonts w:cs="Simplified Arabic"/>
      <w:i/>
      <w:iCs/>
    </w:rPr>
  </w:style>
  <w:style w:type="table" w:customStyle="1" w:styleId="TableGrid1">
    <w:name w:val="Table Grid1"/>
    <w:basedOn w:val="TableNormal"/>
    <w:next w:val="TableGrid"/>
    <w:uiPriority w:val="59"/>
    <w:rsid w:val="00726A43"/>
    <w:rPr>
      <w:rFonts w:cs="Simplified Arabic"/>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Simplified Arabic"/>
      <w:sz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bCs/>
      <w:sz w:val="28"/>
      <w:szCs w:val="30"/>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2"/>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szCs w:val="6"/>
    </w:rPr>
  </w:style>
  <w:style w:type="paragraph" w:customStyle="1" w:styleId="ACLargeLogo">
    <w:name w:val="AC_LargeLogo"/>
    <w:basedOn w:val="AFCorNNormal"/>
    <w:next w:val="AISpacer"/>
    <w:unhideWhenUsed/>
    <w:rsid w:val="0025501A"/>
    <w:pPr>
      <w:spacing w:before="120"/>
      <w:contextualSpacing/>
    </w:pPr>
    <w:rPr>
      <w:sz w:val="8"/>
      <w:szCs w:val="10"/>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Simplified Arabic"/>
      <w:b/>
      <w:bCs/>
      <w:sz w:val="20"/>
      <w:szCs w:val="22"/>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bCs/>
      <w:iCs/>
      <w:snapToGrid w:val="0"/>
      <w:kern w:val="22"/>
      <w:sz w:val="24"/>
      <w:szCs w:val="26"/>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Simplified Arabic"/>
      <w:sz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Simplified Arabic"/>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bCs/>
    </w:rPr>
  </w:style>
  <w:style w:type="paragraph" w:customStyle="1" w:styleId="AFCorN12Bold">
    <w:name w:val="AF_CorN12Bold"/>
    <w:basedOn w:val="AFCorNNormal"/>
    <w:next w:val="AFCorNNormal"/>
    <w:unhideWhenUsed/>
    <w:qFormat/>
    <w:rsid w:val="0025501A"/>
    <w:rPr>
      <w:b/>
      <w:bCs/>
      <w:sz w:val="24"/>
      <w:szCs w:val="26"/>
    </w:rPr>
  </w:style>
  <w:style w:type="paragraph" w:customStyle="1" w:styleId="CBDAgendaItem">
    <w:name w:val="CBD_AgendaItem"/>
    <w:basedOn w:val="Normal"/>
    <w:qFormat/>
    <w:rsid w:val="0025501A"/>
    <w:pPr>
      <w:keepNext/>
      <w:spacing w:before="240" w:after="120"/>
      <w:jc w:val="left"/>
    </w:pPr>
    <w:rPr>
      <w:rFonts w:ascii="Times New Roman Bold" w:hAnsi="Times New Roman Bold"/>
      <w:b/>
      <w:bCs/>
      <w:sz w:val="24"/>
      <w:szCs w:val="26"/>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b/>
      <w:bCs/>
      <w:sz w:val="24"/>
      <w:szCs w:val="26"/>
    </w:rPr>
  </w:style>
  <w:style w:type="paragraph" w:customStyle="1" w:styleId="CBDAnnex">
    <w:name w:val="CBD_Annex"/>
    <w:basedOn w:val="CBDNormal"/>
    <w:next w:val="CBDTitle"/>
    <w:qFormat/>
    <w:rsid w:val="0025501A"/>
    <w:pPr>
      <w:keepNext/>
      <w:keepLines/>
      <w:spacing w:after="240"/>
      <w:jc w:val="left"/>
    </w:pPr>
    <w:rPr>
      <w:b/>
      <w:bCs/>
      <w:sz w:val="28"/>
      <w:szCs w:val="30"/>
      <w:lang w:bidi="ar-SY"/>
    </w:rPr>
  </w:style>
  <w:style w:type="paragraph" w:customStyle="1" w:styleId="CBDSubTitle">
    <w:name w:val="CBD_SubTitle"/>
    <w:basedOn w:val="CBDNormal"/>
    <w:qFormat/>
    <w:rsid w:val="0025501A"/>
    <w:pPr>
      <w:keepNext/>
      <w:keepLines/>
      <w:spacing w:before="240" w:after="240"/>
      <w:ind w:left="567"/>
      <w:jc w:val="left"/>
    </w:pPr>
    <w:rPr>
      <w:b/>
      <w:bCs/>
    </w:rPr>
  </w:style>
  <w:style w:type="paragraph" w:customStyle="1" w:styleId="CBDTitle">
    <w:name w:val="CBD_Title"/>
    <w:basedOn w:val="CBDNormal"/>
    <w:next w:val="CBDSubTitle"/>
    <w:qFormat/>
    <w:rsid w:val="0025501A"/>
    <w:pPr>
      <w:keepNext/>
      <w:keepLines/>
      <w:spacing w:before="240" w:after="240"/>
      <w:ind w:left="567"/>
      <w:jc w:val="left"/>
    </w:pPr>
    <w:rPr>
      <w:b/>
      <w:bCs/>
      <w:sz w:val="28"/>
      <w:szCs w:val="30"/>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bCs/>
      <w:sz w:val="28"/>
      <w:szCs w:val="30"/>
    </w:rPr>
  </w:style>
  <w:style w:type="paragraph" w:customStyle="1" w:styleId="CBDH2">
    <w:name w:val="CBD_H2"/>
    <w:basedOn w:val="CBDNormal"/>
    <w:qFormat/>
    <w:rsid w:val="0025501A"/>
    <w:pPr>
      <w:keepNext/>
      <w:keepLines/>
      <w:ind w:left="567" w:hanging="567"/>
    </w:pPr>
    <w:rPr>
      <w:b/>
      <w:bCs/>
      <w:sz w:val="24"/>
      <w:szCs w:val="26"/>
    </w:rPr>
  </w:style>
  <w:style w:type="paragraph" w:customStyle="1" w:styleId="CBDFootnoteText">
    <w:name w:val="CBD_Footnote_Text"/>
    <w:basedOn w:val="CBDNormal"/>
    <w:qFormat/>
    <w:rsid w:val="0025501A"/>
    <w:pPr>
      <w:jc w:val="left"/>
    </w:pPr>
    <w:rPr>
      <w:sz w:val="18"/>
      <w:szCs w:val="20"/>
    </w:rPr>
  </w:style>
  <w:style w:type="paragraph" w:customStyle="1" w:styleId="CBDFooter">
    <w:name w:val="CBD_Footer"/>
    <w:basedOn w:val="CBDNormal"/>
    <w:qFormat/>
    <w:rsid w:val="0025501A"/>
    <w:rPr>
      <w:sz w:val="20"/>
      <w:szCs w:val="22"/>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2"/>
    </w:rPr>
  </w:style>
  <w:style w:type="paragraph" w:customStyle="1" w:styleId="CBDH3">
    <w:name w:val="CBD_H3"/>
    <w:basedOn w:val="CBDNormal"/>
    <w:qFormat/>
    <w:rsid w:val="0025501A"/>
    <w:pPr>
      <w:keepNext/>
      <w:keepLines/>
      <w:spacing w:before="120" w:after="120"/>
      <w:ind w:left="567" w:hanging="567"/>
      <w:jc w:val="left"/>
    </w:pPr>
    <w:rPr>
      <w:b/>
      <w:bCs/>
    </w:rPr>
  </w:style>
  <w:style w:type="paragraph" w:customStyle="1" w:styleId="CBDH4">
    <w:name w:val="CBD_H4"/>
    <w:basedOn w:val="CBDNormal"/>
    <w:rsid w:val="0025501A"/>
    <w:pPr>
      <w:keepNext/>
      <w:keepLines/>
      <w:spacing w:before="120" w:after="120"/>
      <w:ind w:left="567" w:hanging="567"/>
      <w:jc w:val="left"/>
    </w:pPr>
    <w:rPr>
      <w:b/>
      <w:bCs/>
    </w:rPr>
  </w:style>
  <w:style w:type="paragraph" w:customStyle="1" w:styleId="CBDH5">
    <w:name w:val="CBD_H5"/>
    <w:basedOn w:val="CBDNormal"/>
    <w:qFormat/>
    <w:rsid w:val="0025501A"/>
    <w:pPr>
      <w:keepNext/>
      <w:keepLines/>
      <w:spacing w:before="120" w:after="120"/>
      <w:ind w:left="567" w:hanging="567"/>
      <w:jc w:val="left"/>
    </w:pPr>
    <w:rPr>
      <w:i/>
      <w:iCs/>
    </w:rPr>
  </w:style>
  <w:style w:type="paragraph" w:customStyle="1" w:styleId="CBDTableNormal">
    <w:name w:val="CBD_TableNormal"/>
    <w:basedOn w:val="CBDNormal"/>
    <w:qFormat/>
    <w:rsid w:val="0025501A"/>
    <w:pPr>
      <w:spacing w:before="40" w:after="80"/>
      <w:jc w:val="left"/>
    </w:pPr>
    <w:rPr>
      <w:sz w:val="20"/>
      <w:szCs w:val="22"/>
    </w:rPr>
  </w:style>
  <w:style w:type="paragraph" w:customStyle="1" w:styleId="CBDTableTitle">
    <w:name w:val="CBD_TableTitle"/>
    <w:basedOn w:val="CBDNormal"/>
    <w:qFormat/>
    <w:rsid w:val="0025501A"/>
    <w:pPr>
      <w:keepNext/>
      <w:keepLines/>
      <w:spacing w:before="120" w:after="60"/>
      <w:ind w:left="567"/>
      <w:jc w:val="left"/>
    </w:pPr>
    <w:rPr>
      <w:b/>
      <w:bCs/>
    </w:rPr>
  </w:style>
  <w:style w:type="paragraph" w:customStyle="1" w:styleId="CBDFigureTitle">
    <w:name w:val="CBD_FigureTitle"/>
    <w:basedOn w:val="CBDNormal"/>
    <w:next w:val="CBDNormalNoNumber"/>
    <w:qFormat/>
    <w:rsid w:val="0025501A"/>
    <w:pPr>
      <w:keepNext/>
      <w:keepLines/>
      <w:spacing w:before="120" w:after="60"/>
      <w:ind w:left="567"/>
      <w:jc w:val="left"/>
    </w:pPr>
    <w:rPr>
      <w:b/>
      <w:bCs/>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Simplified Arabic"/>
      <w:sz w:val="22"/>
      <w:szCs w:val="24"/>
      <w:lang w:val="en-GB"/>
    </w:rPr>
  </w:style>
  <w:style w:type="paragraph" w:styleId="BodyText3">
    <w:name w:val="Body Text 3"/>
    <w:basedOn w:val="Normal"/>
    <w:link w:val="BodyText3Char"/>
    <w:uiPriority w:val="99"/>
    <w:semiHidden/>
    <w:unhideWhenUsed/>
    <w:rsid w:val="00A111D1"/>
    <w:pPr>
      <w:spacing w:after="120"/>
    </w:pPr>
    <w:rPr>
      <w:sz w:val="16"/>
      <w:szCs w:val="18"/>
    </w:rPr>
  </w:style>
  <w:style w:type="character" w:customStyle="1" w:styleId="BodyText3Char">
    <w:name w:val="Body Text 3 Char"/>
    <w:basedOn w:val="DefaultParagraphFont"/>
    <w:link w:val="BodyText3"/>
    <w:uiPriority w:val="99"/>
    <w:semiHidden/>
    <w:rsid w:val="00A111D1"/>
    <w:rPr>
      <w:rFonts w:ascii="Times New Roman" w:eastAsia="SimSun" w:hAnsi="Times New Roman" w:cs="Simplified Arabic"/>
      <w:sz w:val="16"/>
      <w:szCs w:val="18"/>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Simplified Arabic"/>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Simplified Arabic"/>
      <w:kern w:val="2"/>
      <w:sz w:val="22"/>
      <w:szCs w:val="24"/>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Simplified Arabic"/>
      <w:sz w:val="22"/>
      <w:szCs w:val="24"/>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Simplified Arabic"/>
      <w:sz w:val="22"/>
      <w:szCs w:val="24"/>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8"/>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Simplified Arabic"/>
      <w:sz w:val="16"/>
      <w:szCs w:val="18"/>
      <w:lang w:val="en-GB"/>
    </w:rPr>
  </w:style>
  <w:style w:type="character" w:styleId="BookTitle">
    <w:name w:val="Book Title"/>
    <w:basedOn w:val="DefaultParagraphFont"/>
    <w:uiPriority w:val="33"/>
    <w:qFormat/>
    <w:rsid w:val="00A111D1"/>
    <w:rPr>
      <w:rFonts w:cs="Simplified Arabic"/>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Simplified Arabic"/>
      <w:sz w:val="22"/>
      <w:szCs w:val="24"/>
      <w:lang w:val="en-GB"/>
    </w:rPr>
  </w:style>
  <w:style w:type="table" w:styleId="ColorfulGrid">
    <w:name w:val="Colorful Grid"/>
    <w:basedOn w:val="TableNormal"/>
    <w:uiPriority w:val="73"/>
    <w:semiHidden/>
    <w:unhideWhenUsed/>
    <w:rsid w:val="00A111D1"/>
    <w:rPr>
      <w:rFonts w:cs="Simplified Arabic"/>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rFonts w:cs="Simplified Arabic"/>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rFonts w:cs="Simplified Arabic"/>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rFonts w:cs="Simplified Arabic"/>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rFonts w:cs="Simplified Arabic"/>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rFonts w:cs="Simplified Arabic"/>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rFonts w:cs="Simplified Arabic"/>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rFonts w:cs="Simplified Arabic"/>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rFonts w:cs="Simplified Arabic"/>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rFonts w:cs="Simplified Arabic"/>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rFonts w:cs="Simplified Arabic"/>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rFonts w:cs="Simplified Arabic"/>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rFonts w:cs="Simplified Arabic"/>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rFonts w:cs="Simplified Arabic"/>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rFonts w:cs="Simplified Arabic"/>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rFonts w:cs="Simplified Arabic"/>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rFonts w:cs="Simplified Arabic"/>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rFonts w:cs="Simplified Arabic"/>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rFonts w:cs="Simplified Arabic"/>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rFonts w:cs="Simplified Arabic"/>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rFonts w:cs="Simplified Arabic"/>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rFonts w:cs="Simplified Arabic"/>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rFonts w:cs="Simplified Arabic"/>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rFonts w:cs="Simplified Arabic"/>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rFonts w:cs="Simplified Arabic"/>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rFonts w:cs="Simplified Arabic"/>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rFonts w:cs="Simplified Arabic"/>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rFonts w:cs="Simplified Arabic"/>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Simplified Arabic"/>
      <w:sz w:val="22"/>
      <w:szCs w:val="24"/>
      <w:lang w:val="en-GB"/>
    </w:rPr>
  </w:style>
  <w:style w:type="paragraph" w:styleId="DocumentMap">
    <w:name w:val="Document Map"/>
    <w:basedOn w:val="Normal"/>
    <w:link w:val="DocumentMapChar"/>
    <w:uiPriority w:val="99"/>
    <w:semiHidden/>
    <w:unhideWhenUsed/>
    <w:rsid w:val="00A111D1"/>
    <w:rPr>
      <w:rFonts w:ascii="Segoe UI" w:hAnsi="Segoe UI"/>
      <w:sz w:val="16"/>
      <w:szCs w:val="18"/>
    </w:rPr>
  </w:style>
  <w:style w:type="character" w:customStyle="1" w:styleId="DocumentMapChar">
    <w:name w:val="Document Map Char"/>
    <w:basedOn w:val="DefaultParagraphFont"/>
    <w:link w:val="DocumentMap"/>
    <w:uiPriority w:val="99"/>
    <w:semiHidden/>
    <w:rsid w:val="00A111D1"/>
    <w:rPr>
      <w:rFonts w:ascii="Segoe UI" w:eastAsia="SimSun" w:hAnsi="Segoe UI" w:cs="Simplified Arabic"/>
      <w:sz w:val="16"/>
      <w:szCs w:val="18"/>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Simplified Arabic"/>
      <w:sz w:val="22"/>
      <w:szCs w:val="24"/>
      <w:lang w:val="en-GB"/>
    </w:rPr>
  </w:style>
  <w:style w:type="character" w:styleId="Emphasis">
    <w:name w:val="Emphasis"/>
    <w:basedOn w:val="DefaultParagraphFont"/>
    <w:uiPriority w:val="20"/>
    <w:qFormat/>
    <w:rsid w:val="00A111D1"/>
    <w:rPr>
      <w:rFonts w:cs="Simplified Arabic"/>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6"/>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2"/>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rFonts w:cs="Simplified Arabic"/>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rFonts w:cs="Simplified Arabic"/>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rFonts w:cs="Simplified Arabic"/>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rFonts w:cs="Simplified Arabic"/>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rFonts w:cs="Simplified Arabic"/>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rFonts w:cs="Simplified Arabic"/>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rFonts w:cs="Simplified Arabic"/>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rFonts w:cs="Simplified Arabic"/>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rFonts w:cs="Simplified Arabic"/>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rFonts w:cs="Simplified Arabic"/>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rFonts w:cs="Simplified Arabic"/>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rFonts w:cs="Simplified Arabic"/>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rFonts w:cs="Simplified Arabic"/>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rFonts w:cs="Simplified Arabic"/>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rFonts w:cs="Simplified Arabic"/>
      <w:color w:val="2B579A"/>
      <w:shd w:val="clear" w:color="auto" w:fill="E1DFDD"/>
      <w:lang w:val="en-GB"/>
    </w:rPr>
  </w:style>
  <w:style w:type="character" w:styleId="HTMLAcronym">
    <w:name w:val="HTML Acronym"/>
    <w:basedOn w:val="DefaultParagraphFont"/>
    <w:uiPriority w:val="99"/>
    <w:semiHidden/>
    <w:unhideWhenUsed/>
    <w:rsid w:val="00A111D1"/>
    <w:rPr>
      <w:rFonts w:cs="Simplified Arabic"/>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Simplified Arabic"/>
      <w:i/>
      <w:iCs/>
      <w:sz w:val="22"/>
      <w:szCs w:val="24"/>
      <w:lang w:val="en-GB"/>
    </w:rPr>
  </w:style>
  <w:style w:type="character" w:styleId="HTMLCite">
    <w:name w:val="HTML Cite"/>
    <w:basedOn w:val="DefaultParagraphFont"/>
    <w:uiPriority w:val="99"/>
    <w:semiHidden/>
    <w:unhideWhenUsed/>
    <w:rsid w:val="00A111D1"/>
    <w:rPr>
      <w:rFonts w:cs="Simplified Arabic"/>
      <w:i/>
      <w:iCs/>
      <w:lang w:val="en-GB"/>
    </w:rPr>
  </w:style>
  <w:style w:type="character" w:styleId="HTMLCode">
    <w:name w:val="HTML Code"/>
    <w:basedOn w:val="DefaultParagraphFont"/>
    <w:uiPriority w:val="99"/>
    <w:semiHidden/>
    <w:unhideWhenUsed/>
    <w:rsid w:val="00A111D1"/>
    <w:rPr>
      <w:rFonts w:ascii="Consolas" w:hAnsi="Consolas" w:cs="Simplified Arabic"/>
      <w:sz w:val="20"/>
      <w:szCs w:val="22"/>
      <w:lang w:val="en-GB"/>
    </w:rPr>
  </w:style>
  <w:style w:type="character" w:styleId="HTMLDefinition">
    <w:name w:val="HTML Definition"/>
    <w:basedOn w:val="DefaultParagraphFont"/>
    <w:uiPriority w:val="99"/>
    <w:semiHidden/>
    <w:unhideWhenUsed/>
    <w:rsid w:val="00A111D1"/>
    <w:rPr>
      <w:rFonts w:cs="Simplified Arabic"/>
      <w:i/>
      <w:iCs/>
      <w:lang w:val="en-GB"/>
    </w:rPr>
  </w:style>
  <w:style w:type="character" w:styleId="HTMLKeyboard">
    <w:name w:val="HTML Keyboard"/>
    <w:basedOn w:val="DefaultParagraphFont"/>
    <w:uiPriority w:val="99"/>
    <w:semiHidden/>
    <w:unhideWhenUsed/>
    <w:rsid w:val="00A111D1"/>
    <w:rPr>
      <w:rFonts w:ascii="Consolas" w:hAnsi="Consolas" w:cs="Simplified Arabic"/>
      <w:sz w:val="20"/>
      <w:szCs w:val="22"/>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2"/>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Simplified Arabic"/>
      <w:sz w:val="20"/>
      <w:szCs w:val="22"/>
      <w:lang w:val="en-GB"/>
    </w:rPr>
  </w:style>
  <w:style w:type="character" w:styleId="HTMLSample">
    <w:name w:val="HTML Sample"/>
    <w:basedOn w:val="DefaultParagraphFont"/>
    <w:uiPriority w:val="99"/>
    <w:semiHidden/>
    <w:unhideWhenUsed/>
    <w:rsid w:val="00A111D1"/>
    <w:rPr>
      <w:rFonts w:ascii="Consolas" w:hAnsi="Consolas" w:cs="Simplified Arabic"/>
      <w:sz w:val="24"/>
      <w:szCs w:val="26"/>
      <w:lang w:val="en-GB"/>
    </w:rPr>
  </w:style>
  <w:style w:type="character" w:styleId="HTMLTypewriter">
    <w:name w:val="HTML Typewriter"/>
    <w:basedOn w:val="DefaultParagraphFont"/>
    <w:uiPriority w:val="99"/>
    <w:semiHidden/>
    <w:unhideWhenUsed/>
    <w:rsid w:val="00A111D1"/>
    <w:rPr>
      <w:rFonts w:ascii="Consolas" w:hAnsi="Consolas" w:cs="Simplified Arabic"/>
      <w:sz w:val="20"/>
      <w:szCs w:val="22"/>
      <w:lang w:val="en-GB"/>
    </w:rPr>
  </w:style>
  <w:style w:type="character" w:styleId="HTMLVariable">
    <w:name w:val="HTML Variable"/>
    <w:basedOn w:val="DefaultParagraphFont"/>
    <w:uiPriority w:val="99"/>
    <w:semiHidden/>
    <w:unhideWhenUsed/>
    <w:rsid w:val="00A111D1"/>
    <w:rPr>
      <w:rFonts w:cs="Simplified Arabic"/>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rFonts w:cs="Simplified Arabic"/>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Simplified Arabic"/>
      <w:i/>
      <w:iCs/>
      <w:color w:val="4F81BD" w:themeColor="accent1"/>
      <w:sz w:val="22"/>
      <w:szCs w:val="24"/>
      <w:lang w:val="en-GB"/>
    </w:rPr>
  </w:style>
  <w:style w:type="character" w:styleId="IntenseReference">
    <w:name w:val="Intense Reference"/>
    <w:basedOn w:val="DefaultParagraphFont"/>
    <w:uiPriority w:val="32"/>
    <w:qFormat/>
    <w:rsid w:val="00A111D1"/>
    <w:rPr>
      <w:rFonts w:cs="Simplified Arabic"/>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rFonts w:cs="Simplified Arabic"/>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rFonts w:cs="Simplified Arabic"/>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rFonts w:cs="Simplified Arabic"/>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rFonts w:cs="Simplified Arabic"/>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rFonts w:cs="Simplified Arabic"/>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rFonts w:cs="Simplified Arabic"/>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rFonts w:cs="Simplified Arabic"/>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rFonts w:cs="Simplified Arabic"/>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rFonts w:cs="Simplified Arabic"/>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rFonts w:cs="Simplified Arabic"/>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rFonts w:cs="Simplified Arabic"/>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rFonts w:cs="Simplified Arabic"/>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rFonts w:cs="Simplified Arabic"/>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rFonts w:cs="Simplified Arabic"/>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rFonts w:cs="Simplified Arabic"/>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rFonts w:cs="Simplified Arabic"/>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rFonts w:cs="Simplified Arabic"/>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rFonts w:cs="Simplified Arabic"/>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rFonts w:cs="Simplified Arabic"/>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rFonts w:cs="Simplified Arabic"/>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rFonts w:cs="Simplified Arabic"/>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rFonts w:cs="Simplified Arabic"/>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rFonts w:cs="Simplified Arabic"/>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rFonts w:cs="Simplified Arabic"/>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rFonts w:cs="Simplified Arabic"/>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rFonts w:cs="Simplified Arabic"/>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rFonts w:cs="Simplified Arabic"/>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rFonts w:cs="Simplified Arabic"/>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rFonts w:cs="Simplified Arabic"/>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Simplified Arabic"/>
      <w:sz w:val="20"/>
      <w:szCs w:val="22"/>
      <w:lang w:val="en-GB"/>
    </w:rPr>
  </w:style>
  <w:style w:type="character" w:customStyle="1" w:styleId="MacroTextChar">
    <w:name w:val="Macro Text Char"/>
    <w:basedOn w:val="DefaultParagraphFont"/>
    <w:link w:val="MacroText"/>
    <w:uiPriority w:val="99"/>
    <w:semiHidden/>
    <w:rsid w:val="00A111D1"/>
    <w:rPr>
      <w:rFonts w:ascii="Consolas" w:eastAsia="SimSun" w:hAnsi="Consolas" w:cs="Simplified Arabic"/>
      <w:sz w:val="20"/>
      <w:szCs w:val="22"/>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rFonts w:cs="Simplified Arabic"/>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rFonts w:cs="Simplified Arabic"/>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rFonts w:cs="Simplified Arabic"/>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rFonts w:cs="Simplified Arabic"/>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rFonts w:cs="Simplified Arabic"/>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rFonts w:cs="Simplified Arabic"/>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rFonts w:cs="Simplified Arabic"/>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rFonts w:cs="Simplified Arabic"/>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6"/>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Simplified Arabic"/>
      <w:sz w:val="22"/>
      <w:lang w:val="en-GB"/>
    </w:rPr>
  </w:style>
  <w:style w:type="paragraph" w:styleId="NormalWeb">
    <w:name w:val="Normal (Web)"/>
    <w:basedOn w:val="Normal"/>
    <w:uiPriority w:val="99"/>
    <w:semiHidden/>
    <w:unhideWhenUsed/>
    <w:rsid w:val="00A111D1"/>
    <w:rPr>
      <w:sz w:val="24"/>
      <w:szCs w:val="26"/>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Simplified Arabic"/>
      <w:sz w:val="22"/>
      <w:szCs w:val="24"/>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3"/>
    </w:rPr>
  </w:style>
  <w:style w:type="character" w:customStyle="1" w:styleId="PlainTextChar">
    <w:name w:val="Plain Text Char"/>
    <w:basedOn w:val="DefaultParagraphFont"/>
    <w:link w:val="PlainText"/>
    <w:uiPriority w:val="99"/>
    <w:semiHidden/>
    <w:rsid w:val="00A111D1"/>
    <w:rPr>
      <w:rFonts w:ascii="Consolas" w:eastAsia="SimSun" w:hAnsi="Consolas" w:cs="Simplified Arabic"/>
      <w:sz w:val="21"/>
      <w:szCs w:val="23"/>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Simplified Arabic"/>
      <w:i/>
      <w:iCs/>
      <w:color w:val="404040" w:themeColor="text1" w:themeTint="BF"/>
      <w:sz w:val="22"/>
      <w:szCs w:val="24"/>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Simplified Arabic"/>
      <w:sz w:val="22"/>
      <w:szCs w:val="24"/>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Simplified Arabic"/>
      <w:sz w:val="22"/>
      <w:szCs w:val="24"/>
      <w:lang w:val="en-GB"/>
    </w:rPr>
  </w:style>
  <w:style w:type="character" w:styleId="SmartHyperlink">
    <w:name w:val="Smart Hyperlink"/>
    <w:basedOn w:val="DefaultParagraphFont"/>
    <w:uiPriority w:val="99"/>
    <w:semiHidden/>
    <w:unhideWhenUsed/>
    <w:rsid w:val="00A111D1"/>
    <w:rPr>
      <w:rFonts w:cs="Simplified Arabic"/>
      <w:u w:val="dotted"/>
      <w:lang w:val="en-GB"/>
    </w:rPr>
  </w:style>
  <w:style w:type="character" w:styleId="SmartLink">
    <w:name w:val="Smart Link"/>
    <w:basedOn w:val="DefaultParagraphFont"/>
    <w:uiPriority w:val="99"/>
    <w:semiHidden/>
    <w:unhideWhenUsed/>
    <w:rsid w:val="00A111D1"/>
    <w:rPr>
      <w:rFonts w:cs="Simplified Arabic"/>
      <w:color w:val="0000FF"/>
      <w:u w:val="single"/>
      <w:shd w:val="clear" w:color="auto" w:fill="F3F2F1"/>
      <w:lang w:val="en-GB"/>
    </w:rPr>
  </w:style>
  <w:style w:type="character" w:styleId="Strong">
    <w:name w:val="Strong"/>
    <w:basedOn w:val="DefaultParagraphFont"/>
    <w:uiPriority w:val="22"/>
    <w:qFormat/>
    <w:rsid w:val="00A111D1"/>
    <w:rPr>
      <w:rFonts w:cs="Simplified Arabic"/>
      <w:b/>
      <w:bCs/>
      <w:lang w:val="en-GB"/>
    </w:rPr>
  </w:style>
  <w:style w:type="character" w:styleId="SubtleEmphasis">
    <w:name w:val="Subtle Emphasis"/>
    <w:basedOn w:val="DefaultParagraphFont"/>
    <w:uiPriority w:val="19"/>
    <w:qFormat/>
    <w:rsid w:val="00A111D1"/>
    <w:rPr>
      <w:rFonts w:cs="Simplified Arabic"/>
      <w:i/>
      <w:iCs/>
      <w:color w:val="404040" w:themeColor="text1" w:themeTint="BF"/>
      <w:lang w:val="en-GB"/>
    </w:rPr>
  </w:style>
  <w:style w:type="character" w:styleId="SubtleReference">
    <w:name w:val="Subtle Reference"/>
    <w:basedOn w:val="DefaultParagraphFont"/>
    <w:uiPriority w:val="31"/>
    <w:qFormat/>
    <w:rsid w:val="00A111D1"/>
    <w:rPr>
      <w:rFonts w:cs="Simplified Arabic"/>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rFonts w:cs="Simplified Arabic"/>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rFonts w:cs="Simplified Arabic"/>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rFonts w:cs="Simplified Arabic"/>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rFonts w:cs="Simplified Arabic"/>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rFonts w:cs="Simplified Arabic"/>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rFonts w:cs="Simplified Arabic"/>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cs="Simplified Arabic"/>
      <w:b w:val="0"/>
      <w:bCs w:val="0"/>
      <w:color w:val="365F91" w:themeColor="accent1" w:themeShade="BF"/>
      <w:kern w:val="0"/>
      <w:sz w:val="32"/>
      <w:szCs w:val="34"/>
      <w14:ligatures w14:val="none"/>
    </w:rPr>
  </w:style>
  <w:style w:type="character" w:styleId="UnresolvedMention">
    <w:name w:val="Unresolved Mention"/>
    <w:basedOn w:val="DefaultParagraphFont"/>
    <w:uiPriority w:val="99"/>
    <w:semiHidden/>
    <w:unhideWhenUsed/>
    <w:rsid w:val="00A111D1"/>
    <w:rPr>
      <w:rFonts w:cs="Simplified Arabic"/>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bCs/>
      <w:sz w:val="24"/>
      <w:szCs w:val="26"/>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Simplified Arabic"/>
      <w:color w:val="000000"/>
      <w:sz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szCs w:val="24"/>
    </w:rPr>
  </w:style>
  <w:style w:type="paragraph" w:customStyle="1" w:styleId="CBDAgendaItem-3i">
    <w:name w:val="CBD_AgendaItem-3(i)"/>
    <w:basedOn w:val="CBDAgendaItem-2a"/>
    <w:qFormat/>
    <w:rsid w:val="0025501A"/>
    <w:pPr>
      <w:numPr>
        <w:numId w:val="8"/>
      </w:numPr>
      <w:ind w:left="567" w:hanging="567"/>
    </w:pPr>
    <w:rPr>
      <w:sz w:val="20"/>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F0C14"/>
    <w:pPr>
      <w:spacing w:after="160" w:line="240" w:lineRule="exact"/>
      <w:jc w:val="left"/>
    </w:pPr>
    <w:rPr>
      <w:rFonts w:asciiTheme="minorHAnsi" w:eastAsiaTheme="minorEastAsia" w:hAnsiTheme="minorHAnsi" w:cstheme="minorBidi"/>
      <w:sz w:val="24"/>
      <w:szCs w:val="2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ocuments/CBD/CP/MOP/12/L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CP/MOP/12/L7"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cbd.int/documents/CBD/CP/MOP/12/L1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P/MOP/12/L6" TargetMode="External"/><Relationship Id="rId20" Type="http://schemas.openxmlformats.org/officeDocument/2006/relationships/hyperlink" Target="https://www.cbd.int/documents/CBD/CP/MOP/12/L1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P/MOP/12/L3" TargetMode="External"/><Relationship Id="rId5" Type="http://schemas.openxmlformats.org/officeDocument/2006/relationships/customXml" Target="../customXml/item5.xml"/><Relationship Id="rId15" Type="http://schemas.openxmlformats.org/officeDocument/2006/relationships/hyperlink" Target="https://www.cbd.int/documents/CBD/CP/MOP/12/L2" TargetMode="External"/><Relationship Id="rId23" Type="http://schemas.openxmlformats.org/officeDocument/2006/relationships/hyperlink" Target="https://www.cbd.int/documents/CBD/CP/MOP/12/L8"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CP/MOP/12/L5"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L4"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CP/MOP/12/4"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ocuments/CBD/SBSTTA/27/10" TargetMode="External"/><Relationship Id="rId12" Type="http://schemas.openxmlformats.org/officeDocument/2006/relationships/hyperlink" Target="https://www.cbd.int/documents/CBD/CP/MOP/12/2" TargetMode="External"/><Relationship Id="rId17" Type="http://schemas.openxmlformats.org/officeDocument/2006/relationships/hyperlink" Target="https://www.cbd.int/documents/CBD/CP/MOP/12/INF/9" TargetMode="External"/><Relationship Id="rId2" Type="http://schemas.openxmlformats.org/officeDocument/2006/relationships/hyperlink" Target="https://www.cbd.int/meetings/IMP-OM-2026-02" TargetMode="External"/><Relationship Id="rId16" Type="http://schemas.openxmlformats.org/officeDocument/2006/relationships/hyperlink" Target="https://www.cbd.int/documents/CBD/CP/MOP/12/5/ADD2" TargetMode="External"/><Relationship Id="rId1" Type="http://schemas.openxmlformats.org/officeDocument/2006/relationships/hyperlink" Target="file:///C:/Users/hdn/AppData/Local/Microsoft/Windows/INetCache/Content.Outlook/GTZ7H48R/C" TargetMode="External"/><Relationship Id="rId6" Type="http://schemas.openxmlformats.org/officeDocument/2006/relationships/hyperlink" Target="https://www.cbd.int/documents/CBD/CP/MOP/12/INF/10" TargetMode="External"/><Relationship Id="rId11" Type="http://schemas.openxmlformats.org/officeDocument/2006/relationships/hyperlink" Target="https://www.cbd.int/documents/CBD/CP/MOP/12/3"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P/MOP/12/5/ADD1" TargetMode="External"/><Relationship Id="rId10" Type="http://schemas.openxmlformats.org/officeDocument/2006/relationships/hyperlink" Target="https://www.cbd.int/documents/CBD/CP/MOP/12/2" TargetMode="External"/><Relationship Id="rId4" Type="http://schemas.openxmlformats.org/officeDocument/2006/relationships/hyperlink" Target="https://www.cbd.int/documents/CBD/CP/MOP/12/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CP/MOP/1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2C64F7-96B9-4027-B39E-1746791BD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1</TotalTime>
  <Pages>11</Pages>
  <Words>2525</Words>
  <Characters>14394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مسودة تقرير الاجتماع</vt:lpstr>
    </vt:vector>
  </TitlesOfParts>
  <Company>SCBD</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مسودة تقرير الاجتماع</dc:title>
  <dc:subject>CBD/CP/MOP/12/L.1</dc:subject>
  <dc:creator>Secretariat of the Convention on Biological Diversity</dc:creator>
  <cp:keywords>Convention on Biological Diversity</cp:keywords>
  <cp:lastModifiedBy>Mariko Nishi</cp:lastModifiedBy>
  <cp:revision>5</cp:revision>
  <cp:lastPrinted>2020-01-22T16:56:00Z</cp:lastPrinted>
  <dcterms:created xsi:type="dcterms:W3CDTF">2026-10-30T11:05:00Z</dcterms:created>
  <dcterms:modified xsi:type="dcterms:W3CDTF">2026-10-30T11:17:00Z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