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AD15B5" w:rsidRPr="00C16AB3" w14:paraId="6A671D7E" w14:textId="77777777" w:rsidTr="008E51D3">
        <w:trPr>
          <w:trHeight w:val="851"/>
        </w:trPr>
        <w:tc>
          <w:tcPr>
            <w:tcW w:w="800" w:type="dxa"/>
            <w:tcBorders>
              <w:bottom w:val="single" w:sz="12" w:space="0" w:color="auto"/>
            </w:tcBorders>
          </w:tcPr>
          <w:p w14:paraId="041AC4B1" w14:textId="77777777" w:rsidR="00AD15B5" w:rsidRPr="005025F2" w:rsidRDefault="00AD15B5" w:rsidP="005F3F9A">
            <w:pPr>
              <w:suppressLineNumbers/>
              <w:suppressAutoHyphens/>
              <w:rPr>
                <w:kern w:val="22"/>
              </w:rPr>
            </w:pPr>
            <w:r w:rsidRPr="00F5491E">
              <w:rPr>
                <w:noProof/>
                <w:kern w:val="22"/>
                <w:lang w:val="fr-CA" w:eastAsia="fr-CA"/>
              </w:rPr>
              <w:drawing>
                <wp:anchor distT="0" distB="0" distL="114300" distR="114300" simplePos="0" relativeHeight="251658241" behindDoc="0" locked="0" layoutInCell="1" allowOverlap="1" wp14:anchorId="58FAA64F" wp14:editId="22CB0356">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1F86AC8" w14:textId="3A01DA52" w:rsidR="00AD15B5" w:rsidRPr="005025F2" w:rsidRDefault="00BC641B" w:rsidP="005F3F9A">
            <w:pPr>
              <w:suppressLineNumbers/>
              <w:suppressAutoHyphens/>
              <w:rPr>
                <w:kern w:val="22"/>
              </w:rPr>
            </w:pPr>
            <w:r w:rsidRPr="002C2613">
              <w:rPr>
                <w:noProof/>
                <w:lang w:val="fr-CA" w:eastAsia="fr-CA"/>
              </w:rPr>
              <w:drawing>
                <wp:inline distT="0" distB="0" distL="0" distR="0" wp14:anchorId="74214A3C" wp14:editId="025E8422">
                  <wp:extent cx="584784" cy="340175"/>
                  <wp:effectExtent l="0" t="0" r="6350" b="317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798" cy="369268"/>
                          </a:xfrm>
                          <a:prstGeom prst="rect">
                            <a:avLst/>
                          </a:prstGeom>
                          <a:noFill/>
                          <a:ln>
                            <a:noFill/>
                          </a:ln>
                        </pic:spPr>
                      </pic:pic>
                    </a:graphicData>
                  </a:graphic>
                </wp:inline>
              </w:drawing>
            </w:r>
          </w:p>
        </w:tc>
        <w:tc>
          <w:tcPr>
            <w:tcW w:w="4090" w:type="dxa"/>
            <w:tcBorders>
              <w:bottom w:val="single" w:sz="12" w:space="0" w:color="auto"/>
            </w:tcBorders>
          </w:tcPr>
          <w:p w14:paraId="02254224" w14:textId="77777777" w:rsidR="00AD15B5" w:rsidRPr="00C16AB3" w:rsidRDefault="00AD15B5" w:rsidP="005F3F9A">
            <w:pPr>
              <w:suppressLineNumbers/>
              <w:suppressAutoHyphens/>
              <w:jc w:val="right"/>
              <w:rPr>
                <w:rFonts w:ascii="Arial" w:hAnsi="Arial" w:cs="Arial"/>
                <w:b/>
                <w:kern w:val="22"/>
                <w:sz w:val="32"/>
                <w:szCs w:val="32"/>
              </w:rPr>
            </w:pPr>
            <w:r w:rsidRPr="00C16AB3">
              <w:rPr>
                <w:rFonts w:ascii="Arial" w:hAnsi="Arial" w:cs="Arial"/>
                <w:b/>
                <w:kern w:val="22"/>
                <w:sz w:val="32"/>
                <w:szCs w:val="32"/>
              </w:rPr>
              <w:t>CBD</w:t>
            </w:r>
          </w:p>
        </w:tc>
      </w:tr>
      <w:tr w:rsidR="00AD15B5" w:rsidRPr="002807D2" w14:paraId="6EE81857" w14:textId="77777777" w:rsidTr="008E51D3">
        <w:tc>
          <w:tcPr>
            <w:tcW w:w="5941" w:type="dxa"/>
            <w:gridSpan w:val="2"/>
            <w:tcBorders>
              <w:top w:val="single" w:sz="12" w:space="0" w:color="auto"/>
              <w:bottom w:val="single" w:sz="36" w:space="0" w:color="auto"/>
            </w:tcBorders>
            <w:vAlign w:val="center"/>
          </w:tcPr>
          <w:p w14:paraId="10E35062" w14:textId="4FF92CE0" w:rsidR="00AD15B5" w:rsidRPr="002807D2" w:rsidRDefault="00BC641B" w:rsidP="005F3F9A">
            <w:pPr>
              <w:suppressLineNumbers/>
              <w:suppressAutoHyphens/>
              <w:rPr>
                <w:kern w:val="22"/>
                <w:lang w:val="fr-CA"/>
              </w:rPr>
            </w:pPr>
            <w:r w:rsidRPr="002807D2">
              <w:rPr>
                <w:noProof/>
                <w:szCs w:val="22"/>
                <w:lang w:val="fr-CA" w:eastAsia="fr-CA"/>
              </w:rPr>
              <w:drawing>
                <wp:inline distT="0" distB="0" distL="0" distR="0" wp14:anchorId="253B6F29" wp14:editId="74242CF1">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B8F6F67" w14:textId="77777777" w:rsidR="00AD15B5" w:rsidRPr="002807D2" w:rsidRDefault="00AD15B5" w:rsidP="005F3F9A">
            <w:pPr>
              <w:suppressLineNumbers/>
              <w:suppressAutoHyphens/>
              <w:ind w:left="1215"/>
              <w:rPr>
                <w:kern w:val="22"/>
                <w:szCs w:val="22"/>
                <w:lang w:val="fr-CA"/>
              </w:rPr>
            </w:pPr>
            <w:proofErr w:type="spellStart"/>
            <w:r w:rsidRPr="002807D2">
              <w:rPr>
                <w:kern w:val="22"/>
                <w:szCs w:val="22"/>
                <w:lang w:val="fr-CA"/>
              </w:rPr>
              <w:t>Distr</w:t>
            </w:r>
            <w:proofErr w:type="spellEnd"/>
            <w:r w:rsidRPr="002807D2">
              <w:rPr>
                <w:kern w:val="22"/>
                <w:szCs w:val="22"/>
                <w:lang w:val="fr-CA"/>
              </w:rPr>
              <w:t>.</w:t>
            </w:r>
          </w:p>
          <w:p w14:paraId="48B1BE46" w14:textId="497D4266" w:rsidR="00AD15B5" w:rsidRPr="002807D2" w:rsidRDefault="002807D2" w:rsidP="005F3F9A">
            <w:pPr>
              <w:suppressLineNumbers/>
              <w:suppressAutoHyphens/>
              <w:ind w:left="1215"/>
              <w:rPr>
                <w:kern w:val="22"/>
                <w:szCs w:val="22"/>
                <w:lang w:val="fr-CA"/>
              </w:rPr>
            </w:pPr>
            <w:r w:rsidRPr="002807D2">
              <w:rPr>
                <w:kern w:val="22"/>
                <w:szCs w:val="22"/>
                <w:lang w:val="fr-CA"/>
              </w:rPr>
              <w:t>GÉNÉRALE</w:t>
            </w:r>
          </w:p>
          <w:p w14:paraId="65DD6702" w14:textId="77777777" w:rsidR="00AD15B5" w:rsidRPr="002807D2" w:rsidRDefault="00AD15B5" w:rsidP="005F3F9A">
            <w:pPr>
              <w:suppressLineNumbers/>
              <w:suppressAutoHyphens/>
              <w:ind w:left="1215"/>
              <w:rPr>
                <w:kern w:val="22"/>
                <w:szCs w:val="22"/>
                <w:lang w:val="fr-CA"/>
              </w:rPr>
            </w:pPr>
          </w:p>
          <w:bookmarkStart w:id="0" w:name="_Hlk82676226" w:displacedByCustomXml="next"/>
          <w:sdt>
            <w:sdtPr>
              <w:rPr>
                <w:kern w:val="22"/>
                <w:szCs w:val="22"/>
                <w:lang w:val="fr-CA"/>
              </w:rPr>
              <w:alias w:val="Subject"/>
              <w:tag w:val=""/>
              <w:id w:val="475568643"/>
              <w:placeholder>
                <w:docPart w:val="4BFC2725F4D34E609C1F5397B8284F5F"/>
              </w:placeholder>
              <w:dataBinding w:prefixMappings="xmlns:ns0='http://purl.org/dc/elements/1.1/' xmlns:ns1='http://schemas.openxmlformats.org/package/2006/metadata/core-properties' " w:xpath="/ns1:coreProperties[1]/ns0:subject[1]" w:storeItemID="{6C3C8BC8-F283-45AE-878A-BAB7291924A1}"/>
              <w:text/>
            </w:sdtPr>
            <w:sdtEndPr/>
            <w:sdtContent>
              <w:p w14:paraId="79C5A0EC" w14:textId="60107E27" w:rsidR="00AD15B5" w:rsidRPr="002807D2" w:rsidRDefault="00AD15B5" w:rsidP="005F3F9A">
                <w:pPr>
                  <w:suppressLineNumbers/>
                  <w:suppressAutoHyphens/>
                  <w:ind w:left="1215"/>
                  <w:rPr>
                    <w:kern w:val="22"/>
                    <w:szCs w:val="22"/>
                    <w:lang w:val="fr-CA"/>
                  </w:rPr>
                </w:pPr>
                <w:r w:rsidRPr="002807D2">
                  <w:rPr>
                    <w:kern w:val="22"/>
                    <w:szCs w:val="22"/>
                    <w:lang w:val="fr-CA"/>
                  </w:rPr>
                  <w:t>CBD/CP/MOP/10/</w:t>
                </w:r>
                <w:r w:rsidR="00A45F85" w:rsidRPr="002807D2">
                  <w:rPr>
                    <w:kern w:val="22"/>
                    <w:szCs w:val="22"/>
                    <w:lang w:val="fr-CA"/>
                  </w:rPr>
                  <w:t>2</w:t>
                </w:r>
              </w:p>
            </w:sdtContent>
          </w:sdt>
          <w:bookmarkEnd w:id="0" w:displacedByCustomXml="prev"/>
          <w:p w14:paraId="2DBB7ED6" w14:textId="6A89B092" w:rsidR="00AD15B5" w:rsidRPr="002807D2" w:rsidRDefault="002D24BD" w:rsidP="005F3F9A">
            <w:pPr>
              <w:suppressLineNumbers/>
              <w:suppressAutoHyphens/>
              <w:ind w:left="1215"/>
              <w:rPr>
                <w:kern w:val="22"/>
                <w:szCs w:val="22"/>
                <w:lang w:val="fr-CA"/>
              </w:rPr>
            </w:pPr>
            <w:r>
              <w:rPr>
                <w:kern w:val="22"/>
                <w:szCs w:val="22"/>
                <w:lang w:val="fr-CA"/>
              </w:rPr>
              <w:t>16 septembre</w:t>
            </w:r>
            <w:r w:rsidR="00AD15B5" w:rsidRPr="002807D2">
              <w:rPr>
                <w:kern w:val="22"/>
                <w:szCs w:val="22"/>
                <w:lang w:val="fr-CA"/>
              </w:rPr>
              <w:t xml:space="preserve"> 202</w:t>
            </w:r>
            <w:r>
              <w:rPr>
                <w:kern w:val="22"/>
                <w:szCs w:val="22"/>
                <w:lang w:val="fr-CA"/>
              </w:rPr>
              <w:t>1</w:t>
            </w:r>
          </w:p>
          <w:p w14:paraId="0CFDB063" w14:textId="77777777" w:rsidR="00AD15B5" w:rsidRPr="002807D2" w:rsidRDefault="00AD15B5" w:rsidP="005F3F9A">
            <w:pPr>
              <w:suppressLineNumbers/>
              <w:suppressAutoHyphens/>
              <w:ind w:left="1215"/>
              <w:rPr>
                <w:kern w:val="22"/>
                <w:szCs w:val="22"/>
                <w:lang w:val="fr-CA"/>
              </w:rPr>
            </w:pPr>
          </w:p>
          <w:p w14:paraId="6567B6A7" w14:textId="77777777" w:rsidR="002807D2" w:rsidRPr="002807D2" w:rsidRDefault="002807D2" w:rsidP="005F3F9A">
            <w:pPr>
              <w:suppressLineNumbers/>
              <w:suppressAutoHyphens/>
              <w:ind w:left="1215"/>
              <w:rPr>
                <w:kern w:val="22"/>
                <w:szCs w:val="22"/>
                <w:lang w:val="fr-CA"/>
              </w:rPr>
            </w:pPr>
            <w:r w:rsidRPr="002807D2">
              <w:rPr>
                <w:kern w:val="22"/>
                <w:szCs w:val="22"/>
                <w:lang w:val="fr-CA"/>
              </w:rPr>
              <w:t>FRANÇAIS</w:t>
            </w:r>
          </w:p>
          <w:p w14:paraId="7B6474DE" w14:textId="07EA2710" w:rsidR="00AD15B5" w:rsidRPr="002807D2" w:rsidRDefault="00AD15B5" w:rsidP="005F3F9A">
            <w:pPr>
              <w:suppressLineNumbers/>
              <w:suppressAutoHyphens/>
              <w:ind w:left="1215"/>
              <w:rPr>
                <w:kern w:val="22"/>
                <w:szCs w:val="22"/>
                <w:lang w:val="fr-CA"/>
              </w:rPr>
            </w:pPr>
            <w:r w:rsidRPr="002807D2">
              <w:rPr>
                <w:kern w:val="22"/>
                <w:szCs w:val="22"/>
                <w:lang w:val="fr-CA"/>
              </w:rPr>
              <w:t>ORIGINA</w:t>
            </w:r>
            <w:r w:rsidR="00B445CA" w:rsidRPr="002807D2">
              <w:rPr>
                <w:kern w:val="22"/>
                <w:szCs w:val="22"/>
                <w:lang w:val="fr-CA"/>
              </w:rPr>
              <w:t>L</w:t>
            </w:r>
            <w:r w:rsidR="002807D2" w:rsidRPr="002807D2">
              <w:rPr>
                <w:kern w:val="22"/>
                <w:szCs w:val="22"/>
                <w:lang w:val="fr-CA"/>
              </w:rPr>
              <w:t xml:space="preserve"> </w:t>
            </w:r>
            <w:r w:rsidRPr="002807D2">
              <w:rPr>
                <w:kern w:val="22"/>
                <w:szCs w:val="22"/>
                <w:lang w:val="fr-CA"/>
              </w:rPr>
              <w:t xml:space="preserve">: </w:t>
            </w:r>
            <w:r w:rsidR="002807D2" w:rsidRPr="002807D2">
              <w:rPr>
                <w:kern w:val="22"/>
                <w:szCs w:val="22"/>
                <w:lang w:val="fr-CA"/>
              </w:rPr>
              <w:t>ANGLAIS</w:t>
            </w:r>
          </w:p>
          <w:p w14:paraId="57E45D9C" w14:textId="77777777" w:rsidR="00AD15B5" w:rsidRPr="002807D2" w:rsidRDefault="00AD15B5" w:rsidP="005F3F9A">
            <w:pPr>
              <w:suppressLineNumbers/>
              <w:suppressAutoHyphens/>
              <w:rPr>
                <w:kern w:val="22"/>
                <w:lang w:val="fr-CA"/>
              </w:rPr>
            </w:pPr>
          </w:p>
        </w:tc>
      </w:tr>
    </w:tbl>
    <w:p w14:paraId="31BB7B48" w14:textId="56D70181" w:rsidR="00391A45" w:rsidRPr="002807D2" w:rsidRDefault="002807D2" w:rsidP="000F539C">
      <w:pPr>
        <w:pStyle w:val="Cornernotation"/>
        <w:ind w:left="142" w:right="3831" w:hanging="142"/>
        <w:rPr>
          <w:kern w:val="22"/>
          <w:szCs w:val="22"/>
          <w:lang w:val="fr-CA"/>
        </w:rPr>
      </w:pPr>
      <w:r w:rsidRPr="002807D2">
        <w:rPr>
          <w:kern w:val="22"/>
          <w:szCs w:val="22"/>
          <w:lang w:val="fr-CA"/>
        </w:rPr>
        <w:t>CONFÉRENCE DES PARTIES À LA DIVERSITÉ BIOLOGIQUE SIÉGEANT EN TANT QUE RÉUNION DES PARTIES AU PROTOCOLE DE CARTAGENA SUR LA PRÉVENTION DES RISQUES BIOTECHNOLOGIQUES</w:t>
      </w:r>
    </w:p>
    <w:p w14:paraId="00754703" w14:textId="302F3595" w:rsidR="00391A45" w:rsidRPr="002807D2" w:rsidRDefault="002807D2" w:rsidP="00F5491E">
      <w:pPr>
        <w:pStyle w:val="Cornernotation"/>
        <w:ind w:left="284" w:right="5816" w:hanging="284"/>
        <w:rPr>
          <w:kern w:val="22"/>
          <w:szCs w:val="22"/>
          <w:lang w:val="fr-CA"/>
        </w:rPr>
      </w:pPr>
      <w:r w:rsidRPr="002807D2">
        <w:rPr>
          <w:kern w:val="22"/>
          <w:szCs w:val="22"/>
          <w:lang w:val="fr-CA"/>
        </w:rPr>
        <w:t>Dixième réunion</w:t>
      </w:r>
    </w:p>
    <w:p w14:paraId="4DC9FDA4" w14:textId="617E898E" w:rsidR="00C9161D" w:rsidRPr="002807D2" w:rsidRDefault="00514335" w:rsidP="00F5491E">
      <w:pPr>
        <w:ind w:left="284" w:right="5816" w:hanging="284"/>
        <w:jc w:val="left"/>
        <w:rPr>
          <w:kern w:val="22"/>
          <w:lang w:val="fr-CA"/>
        </w:rPr>
      </w:pPr>
      <w:r w:rsidRPr="002807D2">
        <w:rPr>
          <w:kern w:val="22"/>
          <w:lang w:val="fr-CA"/>
        </w:rPr>
        <w:t>Kunming, Chin</w:t>
      </w:r>
      <w:r w:rsidR="002807D2" w:rsidRPr="002807D2">
        <w:rPr>
          <w:kern w:val="22"/>
          <w:lang w:val="fr-CA"/>
        </w:rPr>
        <w:t>e</w:t>
      </w:r>
      <w:r w:rsidRPr="002807D2">
        <w:rPr>
          <w:kern w:val="22"/>
          <w:lang w:val="fr-CA"/>
        </w:rPr>
        <w:t xml:space="preserve">, 11-15 </w:t>
      </w:r>
      <w:r w:rsidR="002807D2" w:rsidRPr="002807D2">
        <w:rPr>
          <w:kern w:val="22"/>
          <w:lang w:val="fr-CA"/>
        </w:rPr>
        <w:t>octobre</w:t>
      </w:r>
      <w:r w:rsidRPr="002807D2">
        <w:rPr>
          <w:kern w:val="22"/>
          <w:lang w:val="fr-CA"/>
        </w:rPr>
        <w:t xml:space="preserve"> 2021 </w:t>
      </w:r>
      <w:r w:rsidR="002807D2" w:rsidRPr="002807D2">
        <w:rPr>
          <w:kern w:val="22"/>
          <w:lang w:val="fr-CA"/>
        </w:rPr>
        <w:t>et</w:t>
      </w:r>
      <w:r w:rsidRPr="002807D2">
        <w:rPr>
          <w:kern w:val="22"/>
          <w:lang w:val="fr-CA"/>
        </w:rPr>
        <w:t xml:space="preserve"> 25 </w:t>
      </w:r>
      <w:r w:rsidR="002807D2" w:rsidRPr="002807D2">
        <w:rPr>
          <w:kern w:val="22"/>
          <w:lang w:val="fr-CA"/>
        </w:rPr>
        <w:t xml:space="preserve">avril au 8 mai </w:t>
      </w:r>
      <w:r w:rsidRPr="002807D2">
        <w:rPr>
          <w:kern w:val="22"/>
          <w:lang w:val="fr-CA"/>
        </w:rPr>
        <w:t>2022</w:t>
      </w:r>
    </w:p>
    <w:p w14:paraId="68E13656" w14:textId="2403C23F" w:rsidR="00AD15B5" w:rsidRPr="002807D2" w:rsidRDefault="002807D2" w:rsidP="00F5491E">
      <w:pPr>
        <w:spacing w:after="240"/>
        <w:jc w:val="left"/>
        <w:rPr>
          <w:kern w:val="22"/>
          <w:lang w:val="fr-CA"/>
        </w:rPr>
      </w:pPr>
      <w:r w:rsidRPr="002807D2">
        <w:rPr>
          <w:kern w:val="22"/>
          <w:lang w:val="fr-CA"/>
        </w:rPr>
        <w:t>Point 5 de l’ordre du jour provisoire</w:t>
      </w:r>
      <w:r w:rsidR="00772D25" w:rsidRPr="002807D2">
        <w:rPr>
          <w:rStyle w:val="FootnoteReference"/>
          <w:kern w:val="22"/>
          <w:lang w:val="fr-CA"/>
        </w:rPr>
        <w:footnoteReference w:customMarkFollows="1" w:id="2"/>
        <w:t>*</w:t>
      </w:r>
    </w:p>
    <w:p w14:paraId="59144AF4" w14:textId="4C813091" w:rsidR="00C9161D" w:rsidRPr="002807D2" w:rsidRDefault="005757EB" w:rsidP="00172AF6">
      <w:pPr>
        <w:spacing w:before="120" w:after="240"/>
        <w:jc w:val="center"/>
        <w:rPr>
          <w:rFonts w:ascii="Times New Roman Bold" w:hAnsi="Times New Roman Bold" w:cs="Times New Roman Bold"/>
          <w:b/>
          <w:caps/>
          <w:kern w:val="22"/>
          <w:lang w:val="fr-CA"/>
        </w:rPr>
      </w:pPr>
      <w:sdt>
        <w:sdtPr>
          <w:rPr>
            <w:rFonts w:ascii="Times New Roman Bold" w:hAnsi="Times New Roman Bold" w:cs="Times New Roman Bold"/>
            <w:b/>
            <w:caps/>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157F2">
            <w:rPr>
              <w:rFonts w:ascii="Times New Roman Bold" w:hAnsi="Times New Roman Bold" w:cs="Times New Roman Bold"/>
              <w:b/>
              <w:caps/>
              <w:kern w:val="22"/>
              <w:szCs w:val="22"/>
              <w:lang w:val="fr-CA"/>
            </w:rPr>
            <w:t xml:space="preserve">Rapport du comité de contrôle du respect des </w:t>
          </w:r>
          <w:proofErr w:type="gramStart"/>
          <w:r w:rsidR="007157F2">
            <w:rPr>
              <w:rFonts w:ascii="Times New Roman Bold" w:hAnsi="Times New Roman Bold" w:cs="Times New Roman Bold"/>
              <w:b/>
              <w:caps/>
              <w:kern w:val="22"/>
              <w:szCs w:val="22"/>
              <w:lang w:val="fr-CA"/>
            </w:rPr>
            <w:t>dispositions  du</w:t>
          </w:r>
          <w:proofErr w:type="gramEnd"/>
          <w:r w:rsidR="007157F2">
            <w:rPr>
              <w:rFonts w:ascii="Times New Roman Bold" w:hAnsi="Times New Roman Bold" w:cs="Times New Roman Bold"/>
              <w:b/>
              <w:caps/>
              <w:kern w:val="22"/>
              <w:szCs w:val="22"/>
              <w:lang w:val="fr-CA"/>
            </w:rPr>
            <w:t xml:space="preserve"> protocol</w:t>
          </w:r>
          <w:r w:rsidR="00321914">
            <w:rPr>
              <w:rFonts w:ascii="Times New Roman Bold" w:hAnsi="Times New Roman Bold" w:cs="Times New Roman Bold"/>
              <w:b/>
              <w:caps/>
              <w:kern w:val="22"/>
              <w:szCs w:val="22"/>
              <w:lang w:val="fr-CA"/>
            </w:rPr>
            <w:t>e de cartagena sur la prévention des risques biotechnologiques sur les travaux de ses seizième et dix-septième réunions</w:t>
          </w:r>
        </w:sdtContent>
      </w:sdt>
    </w:p>
    <w:p w14:paraId="4CD23882" w14:textId="483BF096" w:rsidR="00B65A39" w:rsidRPr="002807D2" w:rsidRDefault="00321914" w:rsidP="00E6339C">
      <w:pPr>
        <w:pStyle w:val="Para1"/>
        <w:tabs>
          <w:tab w:val="clear" w:pos="360"/>
        </w:tabs>
        <w:rPr>
          <w:kern w:val="22"/>
          <w:lang w:val="fr-CA"/>
        </w:rPr>
      </w:pPr>
      <w:r>
        <w:rPr>
          <w:kern w:val="22"/>
          <w:lang w:val="fr-CA"/>
        </w:rPr>
        <w:t>Le Comité de contrôle du respect des dispositions s’est réuni à deux reprises au cours de la période intersessions ayant suivi la neuvième réunion du Conférence des Parties siégeant en tant que réunion des Parties au Protocole de Cartagena. Sa seizième réunion s’est déroulée dans les bureaux du Secrétariat, à</w:t>
      </w:r>
      <w:r w:rsidR="0072285E">
        <w:rPr>
          <w:kern w:val="22"/>
          <w:lang w:val="fr-CA"/>
        </w:rPr>
        <w:t xml:space="preserve"> Montréal, du 29 au 31 mai 201</w:t>
      </w:r>
      <w:r w:rsidR="002C2613">
        <w:rPr>
          <w:kern w:val="22"/>
          <w:lang w:val="fr-CA"/>
        </w:rPr>
        <w:t>9</w:t>
      </w:r>
      <w:r w:rsidR="00795461">
        <w:rPr>
          <w:kern w:val="22"/>
          <w:lang w:val="fr-CA"/>
        </w:rPr>
        <w:t>,</w:t>
      </w:r>
      <w:r w:rsidR="0072285E">
        <w:rPr>
          <w:kern w:val="22"/>
          <w:lang w:val="fr-CA"/>
        </w:rPr>
        <w:t xml:space="preserve"> et s</w:t>
      </w:r>
      <w:r>
        <w:rPr>
          <w:kern w:val="22"/>
          <w:lang w:val="fr-CA"/>
        </w:rPr>
        <w:t>a dix-septième réunion a eu lieu du 15</w:t>
      </w:r>
      <w:r w:rsidR="0072285E">
        <w:rPr>
          <w:kern w:val="22"/>
          <w:lang w:val="fr-CA"/>
        </w:rPr>
        <w:t xml:space="preserve"> au 17 avril 2020. Cette dernière ré</w:t>
      </w:r>
      <w:r>
        <w:rPr>
          <w:kern w:val="22"/>
          <w:lang w:val="fr-CA"/>
        </w:rPr>
        <w:t xml:space="preserve">union </w:t>
      </w:r>
      <w:r w:rsidR="00D05F5C">
        <w:rPr>
          <w:kern w:val="22"/>
          <w:lang w:val="fr-CA"/>
        </w:rPr>
        <w:t>s’est déroulée en ligne à cause des difficultés associées à la pandémie de la COVID-19. Dans ce contexte, le Comité a rappelé le règlement 15 du Règlement intérieur régissant les réunions du Comité. Il était d’avis que les arrangements de cette réunion en ligne permettai</w:t>
      </w:r>
      <w:r w:rsidR="0072285E">
        <w:rPr>
          <w:kern w:val="22"/>
          <w:lang w:val="fr-CA"/>
        </w:rPr>
        <w:t>en</w:t>
      </w:r>
      <w:r w:rsidR="00D05F5C">
        <w:rPr>
          <w:kern w:val="22"/>
          <w:lang w:val="fr-CA"/>
        </w:rPr>
        <w:t>t de tenir des rencontres en direct dans le c</w:t>
      </w:r>
      <w:r w:rsidR="002C2613">
        <w:rPr>
          <w:kern w:val="22"/>
          <w:lang w:val="fr-CA"/>
        </w:rPr>
        <w:t>adre desquelles les membres pourr</w:t>
      </w:r>
      <w:r w:rsidR="00D05F5C">
        <w:rPr>
          <w:kern w:val="22"/>
          <w:lang w:val="fr-CA"/>
        </w:rPr>
        <w:t xml:space="preserve">aient interagir directement les uns avec les autres et contribuer aux échanges de la même façon que s’ils étaient réunis en personne. </w:t>
      </w:r>
      <w:r w:rsidR="007B7C97">
        <w:rPr>
          <w:kern w:val="22"/>
          <w:lang w:val="fr-CA"/>
        </w:rPr>
        <w:t xml:space="preserve">Dans de telles circonstances et compte tenu du caractère exceptionnel de la situation, il a été convenu que les arrangements étaient convenables et permettraient au Comité d’adopter son rapport, y compris les recommandations de la Conférence des Parties siégeant en tant que réunion des Parties. </w:t>
      </w:r>
    </w:p>
    <w:p w14:paraId="73591C9C" w14:textId="6AB8EB62" w:rsidR="00391A45" w:rsidRPr="007B7C97" w:rsidRDefault="007B7C97" w:rsidP="00BB762C">
      <w:pPr>
        <w:pStyle w:val="Para1"/>
        <w:tabs>
          <w:tab w:val="clear" w:pos="360"/>
        </w:tabs>
        <w:rPr>
          <w:kern w:val="22"/>
          <w:lang w:val="fr-CA"/>
        </w:rPr>
      </w:pPr>
      <w:r w:rsidRPr="007B7C97">
        <w:rPr>
          <w:rFonts w:eastAsia="SimSun"/>
          <w:kern w:val="22"/>
          <w:lang w:val="fr-CA" w:eastAsia="zh-CN"/>
        </w:rPr>
        <w:t xml:space="preserve">Le </w:t>
      </w:r>
      <w:r>
        <w:rPr>
          <w:rFonts w:eastAsia="SimSun"/>
          <w:kern w:val="22"/>
          <w:lang w:val="fr-CA" w:eastAsia="zh-CN"/>
        </w:rPr>
        <w:t>pré</w:t>
      </w:r>
      <w:r w:rsidRPr="007B7C97">
        <w:rPr>
          <w:rFonts w:eastAsia="SimSun"/>
          <w:kern w:val="22"/>
          <w:lang w:val="fr-CA" w:eastAsia="zh-CN"/>
        </w:rPr>
        <w:t xml:space="preserve">sent rapport </w:t>
      </w:r>
      <w:r>
        <w:rPr>
          <w:rFonts w:eastAsia="SimSun"/>
          <w:kern w:val="22"/>
          <w:lang w:val="fr-CA" w:eastAsia="zh-CN"/>
        </w:rPr>
        <w:t>offre une</w:t>
      </w:r>
      <w:r w:rsidRPr="007B7C97">
        <w:rPr>
          <w:rFonts w:eastAsia="SimSun"/>
          <w:kern w:val="22"/>
          <w:lang w:val="fr-CA" w:eastAsia="zh-CN"/>
        </w:rPr>
        <w:t xml:space="preserve"> synthèse des échanges et des con</w:t>
      </w:r>
      <w:r>
        <w:rPr>
          <w:rFonts w:eastAsia="SimSun"/>
          <w:kern w:val="22"/>
          <w:lang w:val="fr-CA" w:eastAsia="zh-CN"/>
        </w:rPr>
        <w:t>c</w:t>
      </w:r>
      <w:r w:rsidRPr="007B7C97">
        <w:rPr>
          <w:rFonts w:eastAsia="SimSun"/>
          <w:kern w:val="22"/>
          <w:lang w:val="fr-CA" w:eastAsia="zh-CN"/>
        </w:rPr>
        <w:t>lusions des deux réunions</w:t>
      </w:r>
      <w:r w:rsidR="00391A45" w:rsidRPr="007B7C97">
        <w:rPr>
          <w:rFonts w:eastAsia="SimSun"/>
          <w:kern w:val="22"/>
          <w:lang w:val="fr-CA" w:eastAsia="zh-CN"/>
        </w:rPr>
        <w:t>.</w:t>
      </w:r>
    </w:p>
    <w:p w14:paraId="3CAB94AB" w14:textId="0CF027FA" w:rsidR="00391A45" w:rsidRPr="002807D2" w:rsidRDefault="007B7C97" w:rsidP="00D85053">
      <w:pPr>
        <w:pStyle w:val="Para1"/>
        <w:tabs>
          <w:tab w:val="clear" w:pos="360"/>
        </w:tabs>
        <w:rPr>
          <w:snapToGrid/>
          <w:kern w:val="22"/>
          <w:szCs w:val="22"/>
          <w:lang w:val="fr-CA" w:eastAsia="en-CA"/>
        </w:rPr>
      </w:pPr>
      <w:r>
        <w:rPr>
          <w:rFonts w:eastAsia="SimSun"/>
          <w:kern w:val="22"/>
          <w:szCs w:val="22"/>
          <w:lang w:val="fr-CA" w:eastAsia="zh-CN"/>
        </w:rPr>
        <w:t>Le Comité, à sa seizième réunion, s’est penché sur les conclusions de la neuvième réunion de la Conférence des Parties siégeant en tant que réunion des Parties</w:t>
      </w:r>
      <w:r w:rsidR="00286E19">
        <w:rPr>
          <w:rFonts w:eastAsia="SimSun"/>
          <w:kern w:val="22"/>
          <w:szCs w:val="22"/>
          <w:lang w:val="fr-CA" w:eastAsia="zh-CN"/>
        </w:rPr>
        <w:t xml:space="preserve"> au Protocole de Cartagena. Il </w:t>
      </w:r>
      <w:r w:rsidR="00803F28">
        <w:rPr>
          <w:rFonts w:eastAsia="SimSun"/>
          <w:kern w:val="22"/>
          <w:szCs w:val="22"/>
          <w:lang w:val="fr-CA" w:eastAsia="zh-CN"/>
        </w:rPr>
        <w:t>était satisfait</w:t>
      </w:r>
      <w:r w:rsidR="00286E19">
        <w:rPr>
          <w:rFonts w:eastAsia="SimSun"/>
          <w:kern w:val="22"/>
          <w:szCs w:val="22"/>
          <w:lang w:val="fr-CA" w:eastAsia="zh-CN"/>
        </w:rPr>
        <w:t xml:space="preserve"> de l’examen positif</w:t>
      </w:r>
      <w:r w:rsidR="00795461">
        <w:rPr>
          <w:rFonts w:eastAsia="SimSun"/>
          <w:kern w:val="22"/>
          <w:szCs w:val="22"/>
          <w:lang w:val="fr-CA" w:eastAsia="zh-CN"/>
        </w:rPr>
        <w:t>,</w:t>
      </w:r>
      <w:r w:rsidR="00286E19">
        <w:rPr>
          <w:rFonts w:eastAsia="SimSun"/>
          <w:kern w:val="22"/>
          <w:szCs w:val="22"/>
          <w:lang w:val="fr-CA" w:eastAsia="zh-CN"/>
        </w:rPr>
        <w:t xml:space="preserve"> </w:t>
      </w:r>
      <w:r w:rsidR="00C33670">
        <w:rPr>
          <w:rFonts w:eastAsia="SimSun"/>
          <w:kern w:val="22"/>
          <w:szCs w:val="22"/>
          <w:lang w:val="fr-CA" w:eastAsia="zh-CN"/>
        </w:rPr>
        <w:t>par les Parties</w:t>
      </w:r>
      <w:r w:rsidR="00795461">
        <w:rPr>
          <w:rFonts w:eastAsia="SimSun"/>
          <w:kern w:val="22"/>
          <w:szCs w:val="22"/>
          <w:lang w:val="fr-CA" w:eastAsia="zh-CN"/>
        </w:rPr>
        <w:t>,</w:t>
      </w:r>
      <w:r w:rsidR="00C33670">
        <w:rPr>
          <w:rFonts w:eastAsia="SimSun"/>
          <w:kern w:val="22"/>
          <w:szCs w:val="22"/>
          <w:lang w:val="fr-CA" w:eastAsia="zh-CN"/>
        </w:rPr>
        <w:t xml:space="preserve"> </w:t>
      </w:r>
      <w:r w:rsidR="00795461">
        <w:rPr>
          <w:rFonts w:eastAsia="SimSun"/>
          <w:kern w:val="22"/>
          <w:szCs w:val="22"/>
          <w:lang w:val="fr-CA" w:eastAsia="zh-CN"/>
        </w:rPr>
        <w:t xml:space="preserve">de la plupart des recommandations </w:t>
      </w:r>
      <w:r w:rsidR="00C33670">
        <w:rPr>
          <w:rFonts w:eastAsia="SimSun"/>
          <w:kern w:val="22"/>
          <w:szCs w:val="22"/>
          <w:lang w:val="fr-CA" w:eastAsia="zh-CN"/>
        </w:rPr>
        <w:t xml:space="preserve">et s’est arrêté sur </w:t>
      </w:r>
      <w:r w:rsidR="00803F28">
        <w:rPr>
          <w:rFonts w:eastAsia="SimSun"/>
          <w:kern w:val="22"/>
          <w:szCs w:val="22"/>
          <w:lang w:val="fr-CA" w:eastAsia="zh-CN"/>
        </w:rPr>
        <w:t>certaines</w:t>
      </w:r>
      <w:r w:rsidR="00C33670">
        <w:rPr>
          <w:rFonts w:eastAsia="SimSun"/>
          <w:kern w:val="22"/>
          <w:szCs w:val="22"/>
          <w:lang w:val="fr-CA" w:eastAsia="zh-CN"/>
        </w:rPr>
        <w:t xml:space="preserve"> conclusions précises pertinentes aux travaux du Comité </w:t>
      </w:r>
      <w:r w:rsidR="00391A45" w:rsidRPr="002807D2">
        <w:rPr>
          <w:rFonts w:eastAsia="SimSun"/>
          <w:kern w:val="22"/>
          <w:szCs w:val="22"/>
          <w:lang w:val="fr-CA" w:eastAsia="zh-CN"/>
        </w:rPr>
        <w:t>:</w:t>
      </w:r>
    </w:p>
    <w:p w14:paraId="3E55CA34" w14:textId="671C94C6" w:rsidR="00DC78E8" w:rsidRPr="002807D2" w:rsidRDefault="00645788" w:rsidP="00645788">
      <w:pPr>
        <w:pStyle w:val="Para1"/>
        <w:numPr>
          <w:ilvl w:val="1"/>
          <w:numId w:val="2"/>
        </w:numPr>
        <w:rPr>
          <w:b/>
          <w:snapToGrid/>
          <w:kern w:val="22"/>
          <w:szCs w:val="22"/>
          <w:lang w:val="fr-CA" w:eastAsia="en-CA"/>
        </w:rPr>
      </w:pPr>
      <w:r w:rsidRPr="00645788">
        <w:rPr>
          <w:rFonts w:eastAsia="SimSun"/>
          <w:kern w:val="22"/>
          <w:szCs w:val="22"/>
          <w:lang w:val="fr-CA" w:eastAsia="zh-CN"/>
        </w:rPr>
        <w:t>En ce qui concerne la d</w:t>
      </w:r>
      <w:r w:rsidR="00AE213D">
        <w:rPr>
          <w:rFonts w:eastAsia="SimSun"/>
          <w:kern w:val="22"/>
          <w:szCs w:val="22"/>
          <w:lang w:val="fr-CA" w:eastAsia="zh-CN"/>
        </w:rPr>
        <w:t>é</w:t>
      </w:r>
      <w:r w:rsidRPr="00645788">
        <w:rPr>
          <w:rFonts w:eastAsia="SimSun"/>
          <w:kern w:val="22"/>
          <w:szCs w:val="22"/>
          <w:lang w:val="fr-CA" w:eastAsia="zh-CN"/>
        </w:rPr>
        <w:t>cision</w:t>
      </w:r>
      <w:hyperlink r:id="rId15" w:history="1">
        <w:r w:rsidR="00DC78E8" w:rsidRPr="00645788">
          <w:rPr>
            <w:rStyle w:val="Hyperlink"/>
            <w:color w:val="auto"/>
            <w:kern w:val="22"/>
            <w:sz w:val="22"/>
            <w:u w:val="none"/>
            <w:lang w:val="fr-CA"/>
          </w:rPr>
          <w:t xml:space="preserve"> </w:t>
        </w:r>
        <w:r w:rsidR="00DC78E8" w:rsidRPr="00645788">
          <w:rPr>
            <w:rStyle w:val="Hyperlink"/>
            <w:kern w:val="22"/>
            <w:sz w:val="22"/>
            <w:lang w:val="fr-CA"/>
          </w:rPr>
          <w:t>CP-9/1</w:t>
        </w:r>
      </w:hyperlink>
      <w:r w:rsidR="00DC78E8" w:rsidRPr="00645788">
        <w:rPr>
          <w:kern w:val="22"/>
          <w:lang w:val="fr-CA"/>
        </w:rPr>
        <w:t xml:space="preserve"> </w:t>
      </w:r>
      <w:r w:rsidRPr="00645788">
        <w:rPr>
          <w:kern w:val="22"/>
          <w:lang w:val="fr-CA"/>
        </w:rPr>
        <w:t xml:space="preserve">sur </w:t>
      </w:r>
      <w:r w:rsidR="00FD311D">
        <w:rPr>
          <w:kern w:val="22"/>
          <w:lang w:val="fr-CA"/>
        </w:rPr>
        <w:t>le respect des dispositions</w:t>
      </w:r>
      <w:r w:rsidRPr="00645788">
        <w:rPr>
          <w:kern w:val="22"/>
          <w:lang w:val="fr-CA"/>
        </w:rPr>
        <w:t>,</w:t>
      </w:r>
      <w:r w:rsidR="00C33670">
        <w:rPr>
          <w:kern w:val="22"/>
          <w:lang w:val="fr-CA"/>
        </w:rPr>
        <w:t xml:space="preserve"> le Comité a rappelé sa recommandation à la Conférence des Parties siégeant en tant que réunion des Parties de mettre en garde certaines Parties </w:t>
      </w:r>
      <w:r w:rsidR="007743FC">
        <w:rPr>
          <w:kern w:val="22"/>
          <w:lang w:val="fr-CA"/>
        </w:rPr>
        <w:t>contre le</w:t>
      </w:r>
      <w:r w:rsidR="00286E19">
        <w:rPr>
          <w:rFonts w:eastAsia="SimSun"/>
          <w:kern w:val="22"/>
          <w:szCs w:val="22"/>
          <w:lang w:val="fr-CA" w:eastAsia="zh-CN"/>
        </w:rPr>
        <w:t xml:space="preserve"> non-respect de l’obligation de soumettre des rapports nationaux. Le Comité a rappelé ses longs échanges prudents et la </w:t>
      </w:r>
      <w:r w:rsidR="007743FC">
        <w:rPr>
          <w:rFonts w:eastAsia="SimSun"/>
          <w:kern w:val="22"/>
          <w:szCs w:val="22"/>
          <w:lang w:val="fr-CA" w:eastAsia="zh-CN"/>
        </w:rPr>
        <w:t>progression</w:t>
      </w:r>
      <w:r w:rsidR="00286E19">
        <w:rPr>
          <w:rFonts w:eastAsia="SimSun"/>
          <w:kern w:val="22"/>
          <w:szCs w:val="22"/>
          <w:lang w:val="fr-CA" w:eastAsia="zh-CN"/>
        </w:rPr>
        <w:t xml:space="preserve"> du processus ayant abouti à sa recommandation, et a souligné l’importance de communiquer ses efforts exhaustifs à la Conférence des Parties siégeant en tant que réunion des Parties au Protocole, afin d’offrir un contexte pertinent pour ses mises en garde. Il a constaté avec regret que la Conférence des Parties siégeant en tant que réunion des Parties n’a pas suivi la </w:t>
      </w:r>
      <w:r w:rsidR="00286E19">
        <w:rPr>
          <w:rFonts w:eastAsia="SimSun"/>
          <w:kern w:val="22"/>
          <w:szCs w:val="22"/>
          <w:lang w:val="fr-CA" w:eastAsia="zh-CN"/>
        </w:rPr>
        <w:lastRenderedPageBreak/>
        <w:t>recommandation d’émettre une mise en garde au Monténégro. Le Comité a toutefois constaté que la recommandation avait été utile, car elle a contribué à la remise du troisième rapport national par la Grèce, les Îles Marshall et le Turkménistan</w:t>
      </w:r>
      <w:r w:rsidR="00391A45" w:rsidRPr="002807D2">
        <w:rPr>
          <w:rFonts w:eastAsia="SimSun"/>
          <w:kern w:val="22"/>
          <w:szCs w:val="22"/>
          <w:lang w:val="fr-CA" w:eastAsia="zh-CN"/>
        </w:rPr>
        <w:t>;</w:t>
      </w:r>
    </w:p>
    <w:p w14:paraId="180F9DF0" w14:textId="31C53739" w:rsidR="00DC78E8" w:rsidRPr="00C33670" w:rsidRDefault="00C33670" w:rsidP="00DC78E8">
      <w:pPr>
        <w:pStyle w:val="Para1"/>
        <w:numPr>
          <w:ilvl w:val="1"/>
          <w:numId w:val="2"/>
        </w:numPr>
        <w:tabs>
          <w:tab w:val="clear" w:pos="1440"/>
        </w:tabs>
        <w:rPr>
          <w:b/>
          <w:snapToGrid/>
          <w:kern w:val="22"/>
          <w:szCs w:val="22"/>
          <w:lang w:val="fr-CA" w:eastAsia="en-CA"/>
        </w:rPr>
      </w:pPr>
      <w:r w:rsidRPr="00C33670">
        <w:rPr>
          <w:snapToGrid/>
          <w:kern w:val="22"/>
          <w:szCs w:val="22"/>
          <w:lang w:val="fr-CA" w:eastAsia="en-CA"/>
        </w:rPr>
        <w:t>En ce qui concerne la décision</w:t>
      </w:r>
      <w:r w:rsidR="00391A45" w:rsidRPr="00C33670">
        <w:rPr>
          <w:rFonts w:eastAsia="SimSun"/>
          <w:kern w:val="22"/>
          <w:lang w:val="fr-CA" w:eastAsia="zh-CN"/>
        </w:rPr>
        <w:t xml:space="preserve"> </w:t>
      </w:r>
      <w:hyperlink r:id="rId16" w:history="1">
        <w:r w:rsidR="00DC78E8" w:rsidRPr="00C33670">
          <w:rPr>
            <w:rStyle w:val="Hyperlink"/>
            <w:kern w:val="22"/>
            <w:sz w:val="22"/>
            <w:lang w:val="fr-CA"/>
          </w:rPr>
          <w:t>CP-9/2</w:t>
        </w:r>
      </w:hyperlink>
      <w:r w:rsidR="00DC78E8" w:rsidRPr="00C33670">
        <w:rPr>
          <w:kern w:val="22"/>
          <w:lang w:val="fr-CA"/>
        </w:rPr>
        <w:t xml:space="preserve"> </w:t>
      </w:r>
      <w:r w:rsidRPr="00C33670">
        <w:rPr>
          <w:kern w:val="22"/>
          <w:lang w:val="fr-CA"/>
        </w:rPr>
        <w:t xml:space="preserve">sur le fonctionnement et les activités du </w:t>
      </w:r>
      <w:r>
        <w:rPr>
          <w:kern w:val="22"/>
          <w:lang w:val="fr-CA"/>
        </w:rPr>
        <w:t>centre d'échange sur la prévention des risques biotechnologiques, le Comité a réitéré le rôle central que joue le centre d'échange sur la prévention des risques bi</w:t>
      </w:r>
      <w:r w:rsidR="00165A24">
        <w:rPr>
          <w:kern w:val="22"/>
          <w:lang w:val="fr-CA"/>
        </w:rPr>
        <w:t>otechnologiques et son importanc</w:t>
      </w:r>
      <w:r>
        <w:rPr>
          <w:kern w:val="22"/>
          <w:lang w:val="fr-CA"/>
        </w:rPr>
        <w:t xml:space="preserve">e fondamentale </w:t>
      </w:r>
      <w:r w:rsidR="008F7C28">
        <w:rPr>
          <w:kern w:val="22"/>
          <w:lang w:val="fr-CA"/>
        </w:rPr>
        <w:t>pour les</w:t>
      </w:r>
      <w:r>
        <w:rPr>
          <w:kern w:val="22"/>
          <w:lang w:val="fr-CA"/>
        </w:rPr>
        <w:t xml:space="preserve"> travaux du Comité </w:t>
      </w:r>
      <w:r w:rsidR="008F7C28">
        <w:rPr>
          <w:kern w:val="22"/>
          <w:lang w:val="fr-CA"/>
        </w:rPr>
        <w:t>visant à</w:t>
      </w:r>
      <w:r>
        <w:rPr>
          <w:kern w:val="22"/>
          <w:lang w:val="fr-CA"/>
        </w:rPr>
        <w:t xml:space="preserve"> encourager le respect</w:t>
      </w:r>
      <w:r w:rsidR="001B2344">
        <w:rPr>
          <w:kern w:val="22"/>
          <w:lang w:val="fr-CA"/>
        </w:rPr>
        <w:t xml:space="preserve"> des dispositions </w:t>
      </w:r>
      <w:r>
        <w:rPr>
          <w:kern w:val="22"/>
          <w:lang w:val="fr-CA"/>
        </w:rPr>
        <w:t>du Protocole</w:t>
      </w:r>
      <w:r w:rsidR="00E348EA" w:rsidRPr="00C33670">
        <w:rPr>
          <w:kern w:val="22"/>
          <w:lang w:val="fr-CA"/>
        </w:rPr>
        <w:t>.</w:t>
      </w:r>
    </w:p>
    <w:p w14:paraId="23A5FC42" w14:textId="7B99A548" w:rsidR="00DE6E14" w:rsidRPr="002807D2" w:rsidRDefault="004F6F74" w:rsidP="003818EB">
      <w:pPr>
        <w:pStyle w:val="Para1"/>
        <w:tabs>
          <w:tab w:val="clear" w:pos="360"/>
        </w:tabs>
        <w:rPr>
          <w:snapToGrid/>
          <w:kern w:val="22"/>
          <w:lang w:val="fr-CA" w:eastAsia="en-CA"/>
        </w:rPr>
      </w:pPr>
      <w:r>
        <w:rPr>
          <w:rFonts w:eastAsia="SimSun"/>
          <w:kern w:val="22"/>
          <w:lang w:val="fr-CA" w:eastAsia="zh-CN"/>
        </w:rPr>
        <w:t xml:space="preserve">Le Comité a examiné </w:t>
      </w:r>
      <w:r w:rsidR="008F7C28">
        <w:rPr>
          <w:rFonts w:eastAsia="SimSun"/>
          <w:kern w:val="22"/>
          <w:lang w:val="fr-CA" w:eastAsia="zh-CN"/>
        </w:rPr>
        <w:t>le respect</w:t>
      </w:r>
      <w:r>
        <w:rPr>
          <w:rFonts w:eastAsia="SimSun"/>
          <w:kern w:val="22"/>
          <w:lang w:val="fr-CA" w:eastAsia="zh-CN"/>
        </w:rPr>
        <w:t xml:space="preserve"> </w:t>
      </w:r>
      <w:r w:rsidR="001B2344">
        <w:rPr>
          <w:rFonts w:eastAsia="SimSun"/>
          <w:kern w:val="22"/>
          <w:lang w:val="fr-CA" w:eastAsia="zh-CN"/>
        </w:rPr>
        <w:t xml:space="preserve">des dispositions </w:t>
      </w:r>
      <w:r>
        <w:rPr>
          <w:rFonts w:eastAsia="SimSun"/>
          <w:kern w:val="22"/>
          <w:lang w:val="fr-CA" w:eastAsia="zh-CN"/>
        </w:rPr>
        <w:t xml:space="preserve">à partir des informations </w:t>
      </w:r>
      <w:r w:rsidR="008F7C28">
        <w:rPr>
          <w:rFonts w:eastAsia="SimSun"/>
          <w:kern w:val="22"/>
          <w:lang w:val="fr-CA" w:eastAsia="zh-CN"/>
        </w:rPr>
        <w:t xml:space="preserve">du </w:t>
      </w:r>
      <w:r>
        <w:rPr>
          <w:rFonts w:eastAsia="SimSun"/>
          <w:kern w:val="22"/>
          <w:lang w:val="fr-CA" w:eastAsia="zh-CN"/>
        </w:rPr>
        <w:t>centre d'échange sur la prévention des risques biotechnologiques. Il s’est penché sur les renseignements portant sur le respect</w:t>
      </w:r>
      <w:r w:rsidR="00165A24">
        <w:rPr>
          <w:rFonts w:eastAsia="SimSun"/>
          <w:kern w:val="22"/>
          <w:lang w:val="fr-CA" w:eastAsia="zh-CN"/>
        </w:rPr>
        <w:t>,</w:t>
      </w:r>
      <w:r>
        <w:rPr>
          <w:rFonts w:eastAsia="SimSun"/>
          <w:kern w:val="22"/>
          <w:lang w:val="fr-CA" w:eastAsia="zh-CN"/>
        </w:rPr>
        <w:t xml:space="preserve"> par les Parties</w:t>
      </w:r>
      <w:r w:rsidR="00165A24">
        <w:rPr>
          <w:rFonts w:eastAsia="SimSun"/>
          <w:kern w:val="22"/>
          <w:lang w:val="fr-CA" w:eastAsia="zh-CN"/>
        </w:rPr>
        <w:t>,</w:t>
      </w:r>
      <w:r>
        <w:rPr>
          <w:rFonts w:eastAsia="SimSun"/>
          <w:kern w:val="22"/>
          <w:lang w:val="fr-CA" w:eastAsia="zh-CN"/>
        </w:rPr>
        <w:t xml:space="preserve"> de l’obligation de désigner des correspondants nationaux, des autorités nationales compétentes et des points de contact qui recevraient les notifications au titre de l’arti</w:t>
      </w:r>
      <w:r w:rsidR="00795461">
        <w:rPr>
          <w:rFonts w:eastAsia="SimSun"/>
          <w:kern w:val="22"/>
          <w:lang w:val="fr-CA" w:eastAsia="zh-CN"/>
        </w:rPr>
        <w:t>cle 17 du Protocole. Le Comité est</w:t>
      </w:r>
      <w:r>
        <w:rPr>
          <w:rFonts w:eastAsia="SimSun"/>
          <w:kern w:val="22"/>
          <w:lang w:val="fr-CA" w:eastAsia="zh-CN"/>
        </w:rPr>
        <w:t xml:space="preserve"> convenu </w:t>
      </w:r>
      <w:r w:rsidR="008F7C28">
        <w:rPr>
          <w:rFonts w:eastAsia="SimSun"/>
          <w:kern w:val="22"/>
          <w:lang w:val="fr-CA" w:eastAsia="zh-CN"/>
        </w:rPr>
        <w:t>des mesures</w:t>
      </w:r>
      <w:r>
        <w:rPr>
          <w:rFonts w:eastAsia="SimSun"/>
          <w:kern w:val="22"/>
          <w:lang w:val="fr-CA" w:eastAsia="zh-CN"/>
        </w:rPr>
        <w:t xml:space="preserve"> de suivi auprès des Parties ne respectant pas une ou plusieurs de ces obligations</w:t>
      </w:r>
      <w:r w:rsidR="004702AE" w:rsidRPr="002807D2">
        <w:rPr>
          <w:kern w:val="22"/>
          <w:lang w:val="fr-CA"/>
        </w:rPr>
        <w:t>.</w:t>
      </w:r>
    </w:p>
    <w:p w14:paraId="59EFE58A" w14:textId="7FC1D029" w:rsidR="00C167BD" w:rsidRPr="002807D2" w:rsidRDefault="00FE5621" w:rsidP="00C167BD">
      <w:pPr>
        <w:pStyle w:val="Para1"/>
        <w:tabs>
          <w:tab w:val="clear" w:pos="360"/>
        </w:tabs>
        <w:spacing w:before="0" w:after="240"/>
        <w:rPr>
          <w:snapToGrid/>
          <w:kern w:val="22"/>
          <w:lang w:val="fr-CA" w:eastAsia="en-CA"/>
        </w:rPr>
      </w:pPr>
      <w:r>
        <w:rPr>
          <w:snapToGrid/>
          <w:kern w:val="22"/>
          <w:lang w:val="fr-CA" w:eastAsia="en-CA"/>
        </w:rPr>
        <w:t xml:space="preserve">En ce qui concerne l’examen </w:t>
      </w:r>
      <w:r w:rsidR="008F7C28">
        <w:rPr>
          <w:snapToGrid/>
          <w:kern w:val="22"/>
          <w:lang w:val="fr-CA" w:eastAsia="en-CA"/>
        </w:rPr>
        <w:t xml:space="preserve">du respect </w:t>
      </w:r>
      <w:r w:rsidR="001B2344">
        <w:rPr>
          <w:snapToGrid/>
          <w:kern w:val="22"/>
          <w:lang w:val="fr-CA" w:eastAsia="en-CA"/>
        </w:rPr>
        <w:t xml:space="preserve">des dispositions </w:t>
      </w:r>
      <w:r w:rsidR="008F7C28">
        <w:rPr>
          <w:snapToGrid/>
          <w:kern w:val="22"/>
          <w:lang w:val="fr-CA" w:eastAsia="en-CA"/>
        </w:rPr>
        <w:t>dans son ensemble</w:t>
      </w:r>
      <w:r>
        <w:rPr>
          <w:snapToGrid/>
          <w:kern w:val="22"/>
          <w:lang w:val="fr-CA" w:eastAsia="en-CA"/>
        </w:rPr>
        <w:t xml:space="preserve">, le Comité s’est réjoui du taux de soumission élevé des troisièmes rapports nationaux et </w:t>
      </w:r>
      <w:r w:rsidR="002B1819">
        <w:rPr>
          <w:snapToGrid/>
          <w:kern w:val="22"/>
          <w:lang w:val="fr-CA" w:eastAsia="en-CA"/>
        </w:rPr>
        <w:t xml:space="preserve">a </w:t>
      </w:r>
      <w:r>
        <w:rPr>
          <w:snapToGrid/>
          <w:kern w:val="22"/>
          <w:lang w:val="fr-CA" w:eastAsia="en-CA"/>
        </w:rPr>
        <w:t>constaté les conséquences positives des efforts soutenus du Comité pour aider les Parties à préparer et à remettre leurs rapports nationaux</w:t>
      </w:r>
      <w:r w:rsidR="00C167BD" w:rsidRPr="002807D2">
        <w:rPr>
          <w:kern w:val="22"/>
          <w:lang w:val="fr-CA"/>
        </w:rPr>
        <w:t>.</w:t>
      </w:r>
    </w:p>
    <w:p w14:paraId="3E50E0A3" w14:textId="61F255F8" w:rsidR="00391A45" w:rsidRPr="002807D2" w:rsidRDefault="00FE5621" w:rsidP="00C167BD">
      <w:pPr>
        <w:pStyle w:val="Para1"/>
        <w:tabs>
          <w:tab w:val="clear" w:pos="360"/>
        </w:tabs>
        <w:spacing w:before="0" w:after="240"/>
        <w:rPr>
          <w:snapToGrid/>
          <w:kern w:val="22"/>
          <w:lang w:val="fr-CA" w:eastAsia="en-CA"/>
        </w:rPr>
      </w:pPr>
      <w:r>
        <w:rPr>
          <w:kern w:val="22"/>
          <w:lang w:val="fr-CA"/>
        </w:rPr>
        <w:t xml:space="preserve">Le Comité a examiné les résultats des activités menées afin d’aider les Parties à éliminer les contradictions entre les renseignements fournis dans leur troisième rapport national et ceux contenus au centre d'échange sur la prévention des risques biotechnologiques. Le Comité </w:t>
      </w:r>
      <w:r w:rsidR="007F1CC3">
        <w:rPr>
          <w:kern w:val="22"/>
          <w:lang w:val="fr-CA"/>
        </w:rPr>
        <w:t xml:space="preserve">a constaté qu’en général, </w:t>
      </w:r>
      <w:r>
        <w:rPr>
          <w:kern w:val="22"/>
          <w:lang w:val="fr-CA"/>
        </w:rPr>
        <w:t>le</w:t>
      </w:r>
      <w:r w:rsidR="007F1CC3">
        <w:rPr>
          <w:kern w:val="22"/>
          <w:lang w:val="fr-CA"/>
        </w:rPr>
        <w:t xml:space="preserve">s Parties </w:t>
      </w:r>
      <w:r w:rsidR="00C57766">
        <w:rPr>
          <w:kern w:val="22"/>
          <w:lang w:val="fr-CA"/>
        </w:rPr>
        <w:t>semblaient</w:t>
      </w:r>
      <w:r w:rsidR="007F1CC3">
        <w:rPr>
          <w:kern w:val="22"/>
          <w:lang w:val="fr-CA"/>
        </w:rPr>
        <w:t xml:space="preserve"> accueillir positivement les communications du Secrétariat et que la plupart agiss</w:t>
      </w:r>
      <w:r w:rsidR="00C57766">
        <w:rPr>
          <w:kern w:val="22"/>
          <w:lang w:val="fr-CA"/>
        </w:rPr>
        <w:t>ai</w:t>
      </w:r>
      <w:r w:rsidR="007F1CC3">
        <w:rPr>
          <w:kern w:val="22"/>
          <w:lang w:val="fr-CA"/>
        </w:rPr>
        <w:t xml:space="preserve">ent avec diligence pour corriger les résultats de leur pays ou apporter des précisions à cet égard, ce qui a contribué à garantir le caractère complet et l’exactitude </w:t>
      </w:r>
      <w:r w:rsidR="002B1819">
        <w:rPr>
          <w:kern w:val="22"/>
          <w:lang w:val="fr-CA"/>
        </w:rPr>
        <w:t xml:space="preserve">des données </w:t>
      </w:r>
      <w:r w:rsidR="007F1CC3">
        <w:rPr>
          <w:kern w:val="22"/>
          <w:lang w:val="fr-CA"/>
        </w:rPr>
        <w:t>du centre d'échange sur la prévention des risques biotechnologiques. Il a demandé au Secrétariat de maintenir son suivi auprès des Parties concernées, au besoin</w:t>
      </w:r>
      <w:r w:rsidR="003618A1" w:rsidRPr="002807D2">
        <w:rPr>
          <w:kern w:val="22"/>
          <w:lang w:val="fr-CA"/>
        </w:rPr>
        <w:t>.</w:t>
      </w:r>
    </w:p>
    <w:p w14:paraId="0DB9918A" w14:textId="495BB240" w:rsidR="00D71BF9" w:rsidRPr="002807D2" w:rsidRDefault="007C163B" w:rsidP="00C167BD">
      <w:pPr>
        <w:pStyle w:val="Para1"/>
        <w:tabs>
          <w:tab w:val="clear" w:pos="360"/>
        </w:tabs>
        <w:spacing w:before="0" w:after="240"/>
        <w:rPr>
          <w:snapToGrid/>
          <w:kern w:val="22"/>
          <w:lang w:val="fr-CA" w:eastAsia="en-CA"/>
        </w:rPr>
      </w:pPr>
      <w:r>
        <w:rPr>
          <w:kern w:val="22"/>
          <w:lang w:val="fr-CA"/>
        </w:rPr>
        <w:t>Dans son examen des cas individuels de non-respect</w:t>
      </w:r>
      <w:r w:rsidR="001B2344">
        <w:rPr>
          <w:kern w:val="22"/>
          <w:lang w:val="fr-CA"/>
        </w:rPr>
        <w:t xml:space="preserve"> des dispositions</w:t>
      </w:r>
      <w:r>
        <w:rPr>
          <w:kern w:val="22"/>
          <w:lang w:val="fr-CA"/>
        </w:rPr>
        <w:t xml:space="preserve">, le Comité s’est penché sur le non-respect continu de l’obligation de remise de rapports par le Monténégro et a décidé des mesures de suivi à appliquer pour aider la Partie à établir son rapport et à le remettre </w:t>
      </w:r>
      <w:r w:rsidR="002B1819">
        <w:rPr>
          <w:kern w:val="22"/>
          <w:lang w:val="fr-CA"/>
        </w:rPr>
        <w:t>dans les meilleurs délais</w:t>
      </w:r>
      <w:r w:rsidR="00D71BF9" w:rsidRPr="002807D2">
        <w:rPr>
          <w:kern w:val="22"/>
          <w:lang w:val="fr-CA"/>
        </w:rPr>
        <w:t>.</w:t>
      </w:r>
    </w:p>
    <w:p w14:paraId="5D0675F0" w14:textId="6A48B2C6" w:rsidR="00D71BF9" w:rsidRPr="002B1819" w:rsidRDefault="007C163B" w:rsidP="002B1819">
      <w:pPr>
        <w:pStyle w:val="Para1"/>
        <w:tabs>
          <w:tab w:val="clear" w:pos="360"/>
        </w:tabs>
        <w:spacing w:before="0" w:after="240"/>
        <w:rPr>
          <w:snapToGrid/>
          <w:kern w:val="22"/>
          <w:lang w:val="fr-CA" w:eastAsia="en-CA"/>
        </w:rPr>
      </w:pPr>
      <w:r>
        <w:rPr>
          <w:kern w:val="22"/>
          <w:lang w:val="fr-CA"/>
        </w:rPr>
        <w:t>Le Comité a également examiné les résultats des mesures de suivi du Secrétariat et du président du Comité visant à</w:t>
      </w:r>
      <w:r w:rsidR="001C63AA">
        <w:rPr>
          <w:kern w:val="22"/>
          <w:lang w:val="fr-CA"/>
        </w:rPr>
        <w:t xml:space="preserve"> a</w:t>
      </w:r>
      <w:r w:rsidR="002B1819">
        <w:rPr>
          <w:kern w:val="22"/>
          <w:lang w:val="fr-CA"/>
        </w:rPr>
        <w:t xml:space="preserve">ider les Parties ayant déclaré </w:t>
      </w:r>
      <w:r w:rsidR="002B1819">
        <w:rPr>
          <w:snapToGrid/>
          <w:kern w:val="22"/>
          <w:lang w:val="fr-CA" w:eastAsia="en-CA"/>
        </w:rPr>
        <w:t>n</w:t>
      </w:r>
      <w:r w:rsidR="001C63AA" w:rsidRPr="002B1819">
        <w:rPr>
          <w:kern w:val="22"/>
          <w:lang w:val="fr-CA"/>
        </w:rPr>
        <w:t xml:space="preserve">’avoir pas pris de mesures ou n’avoir préparé qu’une version provisoire ou temporaire </w:t>
      </w:r>
      <w:r w:rsidR="003A1CB9">
        <w:rPr>
          <w:kern w:val="22"/>
          <w:lang w:val="fr-CA"/>
        </w:rPr>
        <w:t>à respecter</w:t>
      </w:r>
      <w:r w:rsidR="001C63AA" w:rsidRPr="002B1819">
        <w:rPr>
          <w:kern w:val="22"/>
          <w:lang w:val="fr-CA"/>
        </w:rPr>
        <w:t xml:space="preserve"> leur</w:t>
      </w:r>
      <w:r w:rsidR="002B1819">
        <w:rPr>
          <w:kern w:val="22"/>
          <w:lang w:val="fr-CA"/>
        </w:rPr>
        <w:t>s</w:t>
      </w:r>
      <w:r w:rsidR="001C63AA" w:rsidRPr="002B1819">
        <w:rPr>
          <w:kern w:val="22"/>
          <w:lang w:val="fr-CA"/>
        </w:rPr>
        <w:t xml:space="preserve"> obligations au titre du paragraphe 1</w:t>
      </w:r>
      <w:r w:rsidR="003A1CB9">
        <w:rPr>
          <w:kern w:val="22"/>
          <w:lang w:val="fr-CA"/>
        </w:rPr>
        <w:t xml:space="preserve"> de l’article 2 du Protocole</w:t>
      </w:r>
      <w:r w:rsidR="00D71BF9" w:rsidRPr="002B1819">
        <w:rPr>
          <w:kern w:val="22"/>
          <w:lang w:val="fr-CA"/>
        </w:rPr>
        <w:t>.</w:t>
      </w:r>
      <w:r w:rsidR="001C63AA" w:rsidRPr="002B1819">
        <w:rPr>
          <w:kern w:val="22"/>
          <w:lang w:val="fr-CA"/>
        </w:rPr>
        <w:t xml:space="preserve"> Le Comité a rappelé qu’il avait identifié ces Parties à sa quinzième réunion et qu’elles avaient été invitées à élaborer un plan d’action pour le respect de</w:t>
      </w:r>
      <w:r w:rsidR="002B1819">
        <w:rPr>
          <w:kern w:val="22"/>
          <w:lang w:val="fr-CA"/>
        </w:rPr>
        <w:t xml:space="preserve"> leur</w:t>
      </w:r>
      <w:r w:rsidR="001C63AA" w:rsidRPr="002B1819">
        <w:rPr>
          <w:kern w:val="22"/>
          <w:lang w:val="fr-CA"/>
        </w:rPr>
        <w:t xml:space="preserve">s obligations. </w:t>
      </w:r>
      <w:r w:rsidR="0069730B">
        <w:rPr>
          <w:kern w:val="22"/>
          <w:lang w:val="fr-CA"/>
        </w:rPr>
        <w:t>Le</w:t>
      </w:r>
      <w:r w:rsidR="001C63AA" w:rsidRPr="002B1819">
        <w:rPr>
          <w:kern w:val="22"/>
          <w:lang w:val="fr-CA"/>
        </w:rPr>
        <w:t xml:space="preserve"> Comité </w:t>
      </w:r>
      <w:r w:rsidR="000907B3" w:rsidRPr="002B1819">
        <w:rPr>
          <w:kern w:val="22"/>
          <w:lang w:val="fr-CA"/>
        </w:rPr>
        <w:t>a examiné les plan</w:t>
      </w:r>
      <w:r w:rsidR="003A1CB9">
        <w:rPr>
          <w:kern w:val="22"/>
          <w:lang w:val="fr-CA"/>
        </w:rPr>
        <w:t>s</w:t>
      </w:r>
      <w:r w:rsidR="000907B3" w:rsidRPr="002B1819">
        <w:rPr>
          <w:kern w:val="22"/>
          <w:lang w:val="fr-CA"/>
        </w:rPr>
        <w:t xml:space="preserve"> d’action pour le respect des obligations soumis par quatre Parties. Il est convenu des mesures de suivi pour ces quatre Parties et aussi les autres Parties n’ayant pas remis le plan d’action</w:t>
      </w:r>
      <w:r w:rsidR="0069730B">
        <w:rPr>
          <w:kern w:val="22"/>
          <w:lang w:val="fr-CA"/>
        </w:rPr>
        <w:t xml:space="preserve"> demandé</w:t>
      </w:r>
      <w:r w:rsidR="000907B3" w:rsidRPr="002B1819">
        <w:rPr>
          <w:kern w:val="22"/>
          <w:lang w:val="fr-CA"/>
        </w:rPr>
        <w:t xml:space="preserve"> pour le re</w:t>
      </w:r>
      <w:r w:rsidR="0069730B">
        <w:rPr>
          <w:kern w:val="22"/>
          <w:lang w:val="fr-CA"/>
        </w:rPr>
        <w:t>spect des obligations</w:t>
      </w:r>
      <w:r w:rsidR="000907B3" w:rsidRPr="002B1819">
        <w:rPr>
          <w:kern w:val="22"/>
          <w:lang w:val="fr-CA"/>
        </w:rPr>
        <w:t>.</w:t>
      </w:r>
    </w:p>
    <w:p w14:paraId="031C06DA" w14:textId="400280E5" w:rsidR="00D71BF9" w:rsidRPr="000907B3" w:rsidRDefault="000907B3" w:rsidP="00C167BD">
      <w:pPr>
        <w:pStyle w:val="Para1"/>
        <w:tabs>
          <w:tab w:val="clear" w:pos="360"/>
        </w:tabs>
        <w:spacing w:before="0" w:after="240"/>
        <w:rPr>
          <w:snapToGrid/>
          <w:kern w:val="22"/>
          <w:lang w:val="fr-CA" w:eastAsia="en-CA"/>
        </w:rPr>
      </w:pPr>
      <w:r w:rsidRPr="000907B3">
        <w:rPr>
          <w:kern w:val="22"/>
          <w:lang w:val="fr-CA"/>
        </w:rPr>
        <w:t>En dernier lieu, le Comité a aussi examiné le processus du quatrième exercice d’évaluation et examen du Protocole et l’évaluation finale du</w:t>
      </w:r>
      <w:r>
        <w:rPr>
          <w:kern w:val="22"/>
          <w:lang w:val="fr-CA"/>
        </w:rPr>
        <w:t xml:space="preserve"> Plan stratégique pour le Protocole de Cartagena sur la </w:t>
      </w:r>
      <w:proofErr w:type="gramStart"/>
      <w:r>
        <w:rPr>
          <w:kern w:val="22"/>
          <w:lang w:val="fr-CA"/>
        </w:rPr>
        <w:t>prévention</w:t>
      </w:r>
      <w:proofErr w:type="gramEnd"/>
      <w:r>
        <w:rPr>
          <w:kern w:val="22"/>
          <w:lang w:val="fr-CA"/>
        </w:rPr>
        <w:t xml:space="preserve"> des risques </w:t>
      </w:r>
      <w:r w:rsidR="00C57766">
        <w:rPr>
          <w:kern w:val="22"/>
          <w:lang w:val="fr-CA"/>
        </w:rPr>
        <w:t xml:space="preserve">biotechnologiques </w:t>
      </w:r>
      <w:r w:rsidR="00B90AF8">
        <w:rPr>
          <w:kern w:val="22"/>
          <w:lang w:val="fr-CA"/>
        </w:rPr>
        <w:t xml:space="preserve">et est convenu que le Comité </w:t>
      </w:r>
      <w:r w:rsidR="00782565">
        <w:rPr>
          <w:kern w:val="22"/>
          <w:lang w:val="fr-CA"/>
        </w:rPr>
        <w:t>consacrerait l’ensemble de ses efforts de collaboration</w:t>
      </w:r>
      <w:r w:rsidR="00B90AF8">
        <w:rPr>
          <w:kern w:val="22"/>
          <w:lang w:val="fr-CA"/>
        </w:rPr>
        <w:t xml:space="preserve"> à l’objectif opérationnel 3.1 du Plan stratégique et l’expérience acquise par le Comité dans </w:t>
      </w:r>
      <w:r w:rsidR="003F5467">
        <w:rPr>
          <w:kern w:val="22"/>
          <w:lang w:val="fr-CA"/>
        </w:rPr>
        <w:t>l’exécution</w:t>
      </w:r>
      <w:r w:rsidR="00B90AF8">
        <w:rPr>
          <w:kern w:val="22"/>
          <w:lang w:val="fr-CA"/>
        </w:rPr>
        <w:t xml:space="preserve"> de son rôle de soutien pour aider les Parties à respecter leurs obligations</w:t>
      </w:r>
      <w:r w:rsidR="00D85053" w:rsidRPr="000907B3">
        <w:rPr>
          <w:kern w:val="22"/>
          <w:lang w:val="fr-CA"/>
        </w:rPr>
        <w:t>.</w:t>
      </w:r>
    </w:p>
    <w:p w14:paraId="7BB6F9C9" w14:textId="7FA788CA" w:rsidR="008A5130" w:rsidRPr="002807D2" w:rsidRDefault="00B90AF8"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lang w:val="fr-CA"/>
        </w:rPr>
      </w:pPr>
      <w:r>
        <w:rPr>
          <w:snapToGrid/>
          <w:kern w:val="22"/>
          <w:szCs w:val="22"/>
          <w:lang w:val="fr-CA" w:eastAsia="en-CA"/>
        </w:rPr>
        <w:t xml:space="preserve">Le Comité, </w:t>
      </w:r>
      <w:r w:rsidR="005F2D2C">
        <w:rPr>
          <w:snapToGrid/>
          <w:kern w:val="22"/>
          <w:szCs w:val="22"/>
          <w:lang w:val="fr-CA" w:eastAsia="en-CA"/>
        </w:rPr>
        <w:t>à sa dix-</w:t>
      </w:r>
      <w:r>
        <w:rPr>
          <w:snapToGrid/>
          <w:kern w:val="22"/>
          <w:szCs w:val="22"/>
          <w:lang w:val="fr-CA" w:eastAsia="en-CA"/>
        </w:rPr>
        <w:t>septi</w:t>
      </w:r>
      <w:r w:rsidR="005F2D2C">
        <w:rPr>
          <w:snapToGrid/>
          <w:kern w:val="22"/>
          <w:szCs w:val="22"/>
          <w:lang w:val="fr-CA" w:eastAsia="en-CA"/>
        </w:rPr>
        <w:t>ème réu</w:t>
      </w:r>
      <w:r>
        <w:rPr>
          <w:snapToGrid/>
          <w:kern w:val="22"/>
          <w:szCs w:val="22"/>
          <w:lang w:val="fr-CA" w:eastAsia="en-CA"/>
        </w:rPr>
        <w:t>nion, a examiné le respect de l’obligation de remettre des rapports nationaux. Il a pris note que 101 quatrième</w:t>
      </w:r>
      <w:r w:rsidR="0069730B">
        <w:rPr>
          <w:snapToGrid/>
          <w:kern w:val="22"/>
          <w:szCs w:val="22"/>
          <w:lang w:val="fr-CA" w:eastAsia="en-CA"/>
        </w:rPr>
        <w:t>s</w:t>
      </w:r>
      <w:r>
        <w:rPr>
          <w:snapToGrid/>
          <w:kern w:val="22"/>
          <w:szCs w:val="22"/>
          <w:lang w:val="fr-CA" w:eastAsia="en-CA"/>
        </w:rPr>
        <w:t xml:space="preserve"> rapports nationaux complets avaient été remis au centre d'échange sur la prévention des risques biotechnologiques </w:t>
      </w:r>
      <w:r w:rsidR="005F2D2C">
        <w:rPr>
          <w:snapToGrid/>
          <w:kern w:val="22"/>
          <w:szCs w:val="22"/>
          <w:lang w:val="fr-CA" w:eastAsia="en-CA"/>
        </w:rPr>
        <w:t>et que sept Parties avaient remis leur</w:t>
      </w:r>
      <w:r w:rsidR="0069730B">
        <w:rPr>
          <w:snapToGrid/>
          <w:kern w:val="22"/>
          <w:szCs w:val="22"/>
          <w:lang w:val="fr-CA" w:eastAsia="en-CA"/>
        </w:rPr>
        <w:t xml:space="preserve"> rapport hors ligne. Le Comité a été</w:t>
      </w:r>
      <w:r w:rsidR="005F2D2C">
        <w:rPr>
          <w:snapToGrid/>
          <w:kern w:val="22"/>
          <w:szCs w:val="22"/>
          <w:lang w:val="fr-CA" w:eastAsia="en-CA"/>
        </w:rPr>
        <w:t xml:space="preserve"> déçu du faible nombre de quatrièmes rapports nationaux reçu</w:t>
      </w:r>
      <w:r w:rsidR="0069730B">
        <w:rPr>
          <w:snapToGrid/>
          <w:kern w:val="22"/>
          <w:szCs w:val="22"/>
          <w:lang w:val="fr-CA" w:eastAsia="en-CA"/>
        </w:rPr>
        <w:t xml:space="preserve"> s’est dit </w:t>
      </w:r>
      <w:r w:rsidR="005F2D2C">
        <w:rPr>
          <w:snapToGrid/>
          <w:kern w:val="22"/>
          <w:szCs w:val="22"/>
          <w:lang w:val="fr-CA" w:eastAsia="en-CA"/>
        </w:rPr>
        <w:t>inquiet du fait qu’onze des Parties n’ayant pas remis de quatrième rapport national n’avaient pas remis de troisième rapport national. Le Comité a décidé d’assurer un suivi.</w:t>
      </w:r>
    </w:p>
    <w:p w14:paraId="5A840125" w14:textId="14E6D0A5" w:rsidR="00A268AF" w:rsidRPr="002807D2" w:rsidRDefault="005F2D2C"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lang w:val="fr-CA"/>
        </w:rPr>
      </w:pPr>
      <w:r>
        <w:rPr>
          <w:kern w:val="22"/>
          <w:szCs w:val="22"/>
          <w:lang w:val="fr-CA"/>
        </w:rPr>
        <w:lastRenderedPageBreak/>
        <w:t>Le Comité a examiné plusieurs facteurs qui auraient pu contribu</w:t>
      </w:r>
      <w:r w:rsidR="003F5467">
        <w:rPr>
          <w:kern w:val="22"/>
          <w:szCs w:val="22"/>
          <w:lang w:val="fr-CA"/>
        </w:rPr>
        <w:t>er</w:t>
      </w:r>
      <w:r>
        <w:rPr>
          <w:kern w:val="22"/>
          <w:szCs w:val="22"/>
          <w:lang w:val="fr-CA"/>
        </w:rPr>
        <w:t xml:space="preserve"> au faible nombre de quatrièmes rapports nationaux remis, dont </w:t>
      </w:r>
      <w:r w:rsidR="00BD51A4">
        <w:rPr>
          <w:kern w:val="22"/>
          <w:szCs w:val="22"/>
          <w:lang w:val="fr-CA"/>
        </w:rPr>
        <w:t xml:space="preserve">les délais d’accès au soutien financier, le manque de ressources humaines dédiées à l’échelle nationale et le peu d’importance accordée à la prévention des risques biotechnologiques et </w:t>
      </w:r>
      <w:r w:rsidR="00CE5038">
        <w:rPr>
          <w:kern w:val="22"/>
          <w:szCs w:val="22"/>
          <w:lang w:val="fr-CA"/>
        </w:rPr>
        <w:t xml:space="preserve">à </w:t>
      </w:r>
      <w:r w:rsidR="00BD51A4">
        <w:rPr>
          <w:kern w:val="22"/>
          <w:szCs w:val="22"/>
          <w:lang w:val="fr-CA"/>
        </w:rPr>
        <w:t xml:space="preserve">la sensibilisation à la question. Le Comité a constaté qu’un accès hâtif au soutien financier du Fonds pour l’environnement mondial </w:t>
      </w:r>
      <w:r w:rsidR="00C10958">
        <w:rPr>
          <w:kern w:val="22"/>
          <w:szCs w:val="22"/>
          <w:lang w:val="fr-CA"/>
        </w:rPr>
        <w:t xml:space="preserve">serait encore plus pertinent si le cycle synchronisé d’établissement de rapports prévu pour 2023 </w:t>
      </w:r>
      <w:r w:rsidR="00CE5038">
        <w:rPr>
          <w:kern w:val="22"/>
          <w:szCs w:val="22"/>
          <w:lang w:val="fr-CA"/>
        </w:rPr>
        <w:t>devait entraîner</w:t>
      </w:r>
      <w:r w:rsidR="00C10958">
        <w:rPr>
          <w:kern w:val="22"/>
          <w:szCs w:val="22"/>
          <w:lang w:val="fr-CA"/>
        </w:rPr>
        <w:t xml:space="preserve"> le devancement de la date limite de remis</w:t>
      </w:r>
      <w:r w:rsidR="00CE5038">
        <w:rPr>
          <w:kern w:val="22"/>
          <w:szCs w:val="22"/>
          <w:lang w:val="fr-CA"/>
        </w:rPr>
        <w:t>e</w:t>
      </w:r>
      <w:r w:rsidR="00C10958">
        <w:rPr>
          <w:kern w:val="22"/>
          <w:szCs w:val="22"/>
          <w:lang w:val="fr-CA"/>
        </w:rPr>
        <w:t xml:space="preserve"> du cinquième rapport national. Les sommes destinées à l’établissement de rapports au titre du Protocole seraient importantes</w:t>
      </w:r>
      <w:r w:rsidR="00A268AF" w:rsidRPr="002807D2">
        <w:rPr>
          <w:kern w:val="22"/>
          <w:szCs w:val="22"/>
          <w:lang w:val="fr-CA"/>
        </w:rPr>
        <w:t>.</w:t>
      </w:r>
    </w:p>
    <w:p w14:paraId="337A3191" w14:textId="36EE2CDB" w:rsidR="00E9605F" w:rsidRPr="002807D2" w:rsidRDefault="00C10958" w:rsidP="00480362">
      <w:pPr>
        <w:pStyle w:val="Para1"/>
        <w:tabs>
          <w:tab w:val="clear" w:pos="360"/>
        </w:tabs>
        <w:rPr>
          <w:kern w:val="22"/>
          <w:szCs w:val="22"/>
          <w:lang w:val="fr-CA"/>
        </w:rPr>
      </w:pPr>
      <w:r>
        <w:rPr>
          <w:kern w:val="22"/>
          <w:szCs w:val="22"/>
          <w:lang w:val="fr-CA"/>
        </w:rPr>
        <w:t>Le Comité s’est penché sur la contribution au quatrième exercice d’évaluation et examen du Protocole et l’évaluation finale du Plan stratégique. Il a demandé à la Secrétaire exécutive d’acheminer ses conclusions à l’Organe subsidiaire chargé de l'application pour examen à sa troisième réunion. Il a constaté d’importantes différences dans les progrès accomplis au titre des indicateurs</w:t>
      </w:r>
      <w:r w:rsidR="00273BAC">
        <w:rPr>
          <w:kern w:val="22"/>
          <w:szCs w:val="22"/>
          <w:lang w:val="fr-CA"/>
        </w:rPr>
        <w:t xml:space="preserve"> portant sur le respect des principales obligations au titre du Protocole par les Parties. Il s’est réjoui des progrès accomplis et a reconnu que ses travaux avaient contribué aux avancées en vue de la réalisation de l’objectif opérationnel 3.1. Le Comité est toutefois préoccupé par le fait que plusieurs Parties ne respectaient pas complètement leurs principales obligations au titre du Protocole. Le Comité</w:t>
      </w:r>
      <w:r w:rsidR="00225409">
        <w:rPr>
          <w:kern w:val="22"/>
          <w:szCs w:val="22"/>
          <w:lang w:val="fr-CA"/>
        </w:rPr>
        <w:t xml:space="preserve"> a reconnu que les Parties conna</w:t>
      </w:r>
      <w:r w:rsidR="00273BAC">
        <w:rPr>
          <w:kern w:val="22"/>
          <w:szCs w:val="22"/>
          <w:lang w:val="fr-CA"/>
        </w:rPr>
        <w:t xml:space="preserve">issaient plusieurs difficultés </w:t>
      </w:r>
      <w:r w:rsidR="00225409">
        <w:rPr>
          <w:kern w:val="22"/>
          <w:szCs w:val="22"/>
          <w:lang w:val="fr-CA"/>
        </w:rPr>
        <w:t>à respecter leurs oblig</w:t>
      </w:r>
      <w:r w:rsidR="00273BAC">
        <w:rPr>
          <w:kern w:val="22"/>
          <w:szCs w:val="22"/>
          <w:lang w:val="fr-CA"/>
        </w:rPr>
        <w:t>ations et qu’il fallait examiner ces difficultés de manière plus approfondie</w:t>
      </w:r>
      <w:r w:rsidR="007D7112" w:rsidRPr="002807D2">
        <w:rPr>
          <w:kern w:val="22"/>
          <w:szCs w:val="22"/>
          <w:lang w:val="fr-CA"/>
        </w:rPr>
        <w:t>.</w:t>
      </w:r>
    </w:p>
    <w:p w14:paraId="250E04AC" w14:textId="4897CFF7" w:rsidR="00480362" w:rsidRPr="002807D2" w:rsidRDefault="00225409" w:rsidP="00480362">
      <w:pPr>
        <w:pStyle w:val="Para1"/>
        <w:tabs>
          <w:tab w:val="clear" w:pos="360"/>
        </w:tabs>
        <w:rPr>
          <w:kern w:val="22"/>
          <w:szCs w:val="22"/>
          <w:lang w:val="fr-CA"/>
        </w:rPr>
      </w:pPr>
      <w:r>
        <w:rPr>
          <w:kern w:val="22"/>
          <w:szCs w:val="22"/>
          <w:lang w:val="fr-CA"/>
        </w:rPr>
        <w:t>Le Comité estime que le cadre mondial de la biodiversité pour l'après-2020 devrait faire référence au plan d’application du Protocole de Cartagena et au plan d’action pour le renforcement des capacités, afin de reconnaître la pertinence du Protocole à la réalisation des trois objectifs de la Convention sur la diversité biologique</w:t>
      </w:r>
      <w:r w:rsidR="00E9605F" w:rsidRPr="002807D2">
        <w:rPr>
          <w:kern w:val="22"/>
          <w:szCs w:val="22"/>
          <w:lang w:val="fr-CA"/>
        </w:rPr>
        <w:t>.</w:t>
      </w:r>
    </w:p>
    <w:p w14:paraId="3CD88CD5" w14:textId="4B00CF46" w:rsidR="00011218" w:rsidRPr="002807D2" w:rsidRDefault="00225409" w:rsidP="00011218">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lang w:val="fr-CA"/>
        </w:rPr>
      </w:pPr>
      <w:r>
        <w:rPr>
          <w:kern w:val="22"/>
          <w:szCs w:val="22"/>
          <w:lang w:val="fr-CA"/>
        </w:rPr>
        <w:t xml:space="preserve">Le Comité s’est penché sur les </w:t>
      </w:r>
      <w:r w:rsidR="00AA3906">
        <w:rPr>
          <w:kern w:val="22"/>
          <w:szCs w:val="22"/>
          <w:lang w:val="fr-CA"/>
        </w:rPr>
        <w:t>questions</w:t>
      </w:r>
      <w:r>
        <w:rPr>
          <w:kern w:val="22"/>
          <w:szCs w:val="22"/>
          <w:lang w:val="fr-CA"/>
        </w:rPr>
        <w:t xml:space="preserve"> g</w:t>
      </w:r>
      <w:r w:rsidR="00AA3906">
        <w:rPr>
          <w:kern w:val="22"/>
          <w:szCs w:val="22"/>
          <w:lang w:val="fr-CA"/>
        </w:rPr>
        <w:t xml:space="preserve">énérales de respect des </w:t>
      </w:r>
      <w:r w:rsidR="001B2344">
        <w:rPr>
          <w:kern w:val="22"/>
          <w:szCs w:val="22"/>
          <w:lang w:val="fr-CA"/>
        </w:rPr>
        <w:t>dispositions</w:t>
      </w:r>
      <w:r>
        <w:rPr>
          <w:kern w:val="22"/>
          <w:szCs w:val="22"/>
          <w:lang w:val="fr-CA"/>
        </w:rPr>
        <w:t xml:space="preserve">. Il </w:t>
      </w:r>
      <w:r w:rsidR="00AA3906">
        <w:rPr>
          <w:kern w:val="22"/>
          <w:szCs w:val="22"/>
          <w:lang w:val="fr-CA"/>
        </w:rPr>
        <w:t>a analysé</w:t>
      </w:r>
      <w:r>
        <w:rPr>
          <w:kern w:val="22"/>
          <w:szCs w:val="22"/>
          <w:lang w:val="fr-CA"/>
        </w:rPr>
        <w:t xml:space="preserve"> la mise à jour du suivi intersessions de l’obligation</w:t>
      </w:r>
      <w:r w:rsidR="00AA3906">
        <w:rPr>
          <w:kern w:val="22"/>
          <w:szCs w:val="22"/>
          <w:lang w:val="fr-CA"/>
        </w:rPr>
        <w:t xml:space="preserve"> de désigner des correspondants nationaux, des autorités nationales compétentes et des points de contact qui recevraient les notifications au titre de l’article 17</w:t>
      </w:r>
      <w:r w:rsidR="00991C04" w:rsidRPr="002807D2">
        <w:rPr>
          <w:kern w:val="22"/>
          <w:szCs w:val="22"/>
          <w:lang w:val="fr-CA"/>
        </w:rPr>
        <w:t>.</w:t>
      </w:r>
    </w:p>
    <w:p w14:paraId="13993A3A" w14:textId="6BC5ED59" w:rsidR="00871E71" w:rsidRPr="002807D2" w:rsidRDefault="00AA3906" w:rsidP="00871E71">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lang w:val="fr-CA"/>
        </w:rPr>
      </w:pPr>
      <w:r>
        <w:rPr>
          <w:kern w:val="22"/>
          <w:lang w:val="fr-CA"/>
        </w:rPr>
        <w:t>Dans son examen individuel des cas de non-respect des obligations, le Comité s’est réjoui de la remise du quatrième rappo</w:t>
      </w:r>
      <w:r w:rsidR="00CD6168">
        <w:rPr>
          <w:kern w:val="22"/>
          <w:lang w:val="fr-CA"/>
        </w:rPr>
        <w:t xml:space="preserve">rt national par le Monténégro. Le Comité a pris en compte la mise à jour des progrès accomplis dans l’élaboration des plans d’action pour le respect des dispositions lors de l’examen des </w:t>
      </w:r>
      <w:r>
        <w:rPr>
          <w:kern w:val="22"/>
          <w:lang w:val="fr-CA"/>
        </w:rPr>
        <w:t>cas individuels de non-respect de l’obligation</w:t>
      </w:r>
      <w:r w:rsidR="00EE48B8">
        <w:rPr>
          <w:kern w:val="22"/>
          <w:lang w:val="fr-CA"/>
        </w:rPr>
        <w:t xml:space="preserve"> de prendre les mesures légales, administratives et autres mesures nécessaires pour appliquer le Protocole conformément au paragraphe</w:t>
      </w:r>
      <w:r w:rsidR="00CD6168">
        <w:rPr>
          <w:kern w:val="22"/>
          <w:lang w:val="fr-CA"/>
        </w:rPr>
        <w:t xml:space="preserve"> 1 de l’article 2 du Protocole</w:t>
      </w:r>
      <w:r w:rsidR="00EE48B8">
        <w:rPr>
          <w:kern w:val="22"/>
          <w:lang w:val="fr-CA"/>
        </w:rPr>
        <w:t>. Il est convenu de plusieurs mesures de suivi et de prioriser l’examen de la question à sa prochaine réunion</w:t>
      </w:r>
      <w:r w:rsidR="00871E71" w:rsidRPr="002807D2">
        <w:rPr>
          <w:kern w:val="22"/>
          <w:szCs w:val="22"/>
          <w:lang w:val="fr-CA"/>
        </w:rPr>
        <w:t>.</w:t>
      </w:r>
    </w:p>
    <w:p w14:paraId="612EEAB2" w14:textId="6A034017" w:rsidR="00391A45" w:rsidRPr="00EE48B8" w:rsidRDefault="00EE48B8" w:rsidP="00391A45">
      <w:pPr>
        <w:pStyle w:val="Para1"/>
        <w:tabs>
          <w:tab w:val="clear" w:pos="360"/>
        </w:tabs>
        <w:rPr>
          <w:kern w:val="22"/>
          <w:szCs w:val="22"/>
          <w:lang w:val="fr-CA"/>
        </w:rPr>
      </w:pPr>
      <w:r w:rsidRPr="00EE48B8">
        <w:rPr>
          <w:rFonts w:eastAsia="SimSun"/>
          <w:kern w:val="22"/>
          <w:szCs w:val="22"/>
          <w:lang w:val="fr-CA" w:eastAsia="zh-CN"/>
        </w:rPr>
        <w:t>Le texte complet des rapports</w:t>
      </w:r>
      <w:r>
        <w:rPr>
          <w:rFonts w:eastAsia="SimSun"/>
          <w:kern w:val="22"/>
          <w:szCs w:val="22"/>
          <w:lang w:val="fr-CA" w:eastAsia="zh-CN"/>
        </w:rPr>
        <w:t xml:space="preserve"> du Comité sur les travaux de ses</w:t>
      </w:r>
      <w:r w:rsidRPr="00EE48B8">
        <w:rPr>
          <w:rFonts w:eastAsia="SimSun"/>
          <w:kern w:val="22"/>
          <w:szCs w:val="22"/>
          <w:lang w:val="fr-CA" w:eastAsia="zh-CN"/>
        </w:rPr>
        <w:t xml:space="preserve"> seizième</w:t>
      </w:r>
      <w:r w:rsidR="008A5789">
        <w:rPr>
          <w:rFonts w:eastAsia="SimSun"/>
          <w:kern w:val="22"/>
          <w:szCs w:val="22"/>
          <w:lang w:val="fr-CA" w:eastAsia="zh-CN"/>
        </w:rPr>
        <w:t xml:space="preserve"> (CBD/CP/CC/16/7) et dix-s</w:t>
      </w:r>
      <w:r>
        <w:rPr>
          <w:rFonts w:eastAsia="SimSun"/>
          <w:kern w:val="22"/>
          <w:szCs w:val="22"/>
          <w:lang w:val="fr-CA" w:eastAsia="zh-CN"/>
        </w:rPr>
        <w:t>eptième</w:t>
      </w:r>
      <w:r w:rsidR="008A5789">
        <w:rPr>
          <w:rFonts w:eastAsia="SimSun"/>
          <w:kern w:val="22"/>
          <w:szCs w:val="22"/>
          <w:lang w:val="fr-CA" w:eastAsia="zh-CN"/>
        </w:rPr>
        <w:t xml:space="preserve"> (CBD/CP/CC/17/6)</w:t>
      </w:r>
      <w:r w:rsidR="00391A45" w:rsidRPr="00EE48B8">
        <w:rPr>
          <w:rFonts w:eastAsia="SimSun"/>
          <w:kern w:val="22"/>
          <w:szCs w:val="22"/>
          <w:lang w:val="fr-CA" w:eastAsia="zh-CN"/>
        </w:rPr>
        <w:t xml:space="preserve"> </w:t>
      </w:r>
      <w:r>
        <w:rPr>
          <w:rFonts w:eastAsia="SimSun"/>
          <w:kern w:val="22"/>
          <w:szCs w:val="22"/>
          <w:lang w:val="fr-CA" w:eastAsia="zh-CN"/>
        </w:rPr>
        <w:t>réunions, ainsi que les documents de travail des différentes réunions sont publiés sur le</w:t>
      </w:r>
      <w:r w:rsidR="00391A45" w:rsidRPr="00EE48B8">
        <w:rPr>
          <w:rFonts w:eastAsia="SimSun"/>
          <w:kern w:val="22"/>
          <w:szCs w:val="22"/>
          <w:lang w:val="fr-CA" w:eastAsia="zh-CN"/>
        </w:rPr>
        <w:t xml:space="preserve"> </w:t>
      </w:r>
      <w:hyperlink r:id="rId17" w:history="1">
        <w:r w:rsidR="008A5789">
          <w:rPr>
            <w:rStyle w:val="Hyperlink"/>
            <w:rFonts w:eastAsia="SimSun"/>
            <w:kern w:val="22"/>
            <w:sz w:val="22"/>
            <w:lang w:val="fr-CA"/>
          </w:rPr>
          <w:t>site Web</w:t>
        </w:r>
      </w:hyperlink>
      <w:r>
        <w:rPr>
          <w:rFonts w:eastAsia="SimSun"/>
          <w:kern w:val="22"/>
          <w:szCs w:val="22"/>
          <w:lang w:val="fr-CA" w:eastAsia="zh-CN"/>
        </w:rPr>
        <w:t xml:space="preserve"> du Secrétariat</w:t>
      </w:r>
    </w:p>
    <w:p w14:paraId="2B2FF839" w14:textId="77777777" w:rsidR="00391A45" w:rsidRPr="00EE48B8" w:rsidRDefault="00391A45" w:rsidP="00391A45">
      <w:pPr>
        <w:pStyle w:val="Para1"/>
        <w:numPr>
          <w:ilvl w:val="0"/>
          <w:numId w:val="0"/>
        </w:numPr>
        <w:rPr>
          <w:kern w:val="22"/>
          <w:szCs w:val="22"/>
          <w:lang w:val="fr-CA"/>
        </w:rPr>
      </w:pPr>
    </w:p>
    <w:p w14:paraId="6A527174" w14:textId="11BFDD65" w:rsidR="00391A45" w:rsidRPr="00EE48B8" w:rsidRDefault="00D85053" w:rsidP="00D85053">
      <w:pPr>
        <w:pStyle w:val="Para1"/>
        <w:numPr>
          <w:ilvl w:val="0"/>
          <w:numId w:val="0"/>
        </w:numPr>
        <w:ind w:firstLine="360"/>
        <w:outlineLvl w:val="0"/>
        <w:rPr>
          <w:kern w:val="22"/>
          <w:szCs w:val="22"/>
          <w:lang w:val="fr-CA"/>
        </w:rPr>
        <w:sectPr w:rsidR="00391A45" w:rsidRPr="00EE48B8" w:rsidSect="005757EB">
          <w:headerReference w:type="even" r:id="rId18"/>
          <w:headerReference w:type="default" r:id="rId19"/>
          <w:footerReference w:type="even" r:id="rId20"/>
          <w:footerReference w:type="default" r:id="rId21"/>
          <w:footerReference w:type="first" r:id="rId22"/>
          <w:pgSz w:w="12240" w:h="15840" w:code="1"/>
          <w:pgMar w:top="630" w:right="1440" w:bottom="1140" w:left="1440" w:header="459" w:footer="720" w:gutter="0"/>
          <w:cols w:space="720"/>
          <w:titlePg/>
          <w:docGrid w:linePitch="299"/>
        </w:sectPr>
      </w:pPr>
      <w:r w:rsidRPr="00EE48B8">
        <w:rPr>
          <w:kern w:val="22"/>
          <w:lang w:val="fr-CA"/>
        </w:rPr>
        <w:t xml:space="preserve"> </w:t>
      </w:r>
      <w:r w:rsidR="00391A45" w:rsidRPr="00EE48B8">
        <w:rPr>
          <w:kern w:val="22"/>
          <w:szCs w:val="22"/>
          <w:lang w:val="fr-CA"/>
        </w:rPr>
        <w:br w:type="page"/>
      </w:r>
    </w:p>
    <w:p w14:paraId="77D76BAB" w14:textId="1A915AFF" w:rsidR="00391A45" w:rsidRPr="00FD311D" w:rsidRDefault="00391A45" w:rsidP="00391A45">
      <w:pPr>
        <w:pStyle w:val="Para1"/>
        <w:numPr>
          <w:ilvl w:val="0"/>
          <w:numId w:val="0"/>
        </w:numPr>
        <w:jc w:val="center"/>
        <w:outlineLvl w:val="0"/>
        <w:rPr>
          <w:i/>
          <w:kern w:val="22"/>
          <w:szCs w:val="22"/>
          <w:lang w:val="fr-CA"/>
        </w:rPr>
      </w:pPr>
      <w:bookmarkStart w:id="1" w:name="_GoBack"/>
      <w:bookmarkEnd w:id="1"/>
      <w:r w:rsidRPr="00FD311D">
        <w:rPr>
          <w:i/>
          <w:kern w:val="22"/>
          <w:szCs w:val="22"/>
          <w:lang w:val="fr-CA"/>
        </w:rPr>
        <w:lastRenderedPageBreak/>
        <w:t>Annex</w:t>
      </w:r>
      <w:r w:rsidR="00FD311D">
        <w:rPr>
          <w:i/>
          <w:kern w:val="22"/>
          <w:szCs w:val="22"/>
          <w:lang w:val="fr-CA"/>
        </w:rPr>
        <w:t>e</w:t>
      </w:r>
    </w:p>
    <w:p w14:paraId="1E4A7AFB" w14:textId="34F354D2" w:rsidR="00391A45" w:rsidRPr="00FD311D" w:rsidRDefault="00FD311D" w:rsidP="00F5491E">
      <w:pPr>
        <w:pStyle w:val="Para1"/>
        <w:numPr>
          <w:ilvl w:val="0"/>
          <w:numId w:val="0"/>
        </w:numPr>
        <w:jc w:val="center"/>
        <w:outlineLvl w:val="0"/>
        <w:rPr>
          <w:b/>
          <w:caps/>
          <w:kern w:val="22"/>
          <w:szCs w:val="22"/>
          <w:lang w:val="fr-CA"/>
        </w:rPr>
      </w:pPr>
      <w:r>
        <w:rPr>
          <w:b/>
          <w:caps/>
          <w:snapToGrid/>
          <w:kern w:val="22"/>
          <w:szCs w:val="22"/>
          <w:lang w:val="fr-CA"/>
        </w:rPr>
        <w:t>recommandations du comité du contrôle du respect des dispositions</w:t>
      </w:r>
      <w:r w:rsidR="001B2344">
        <w:rPr>
          <w:b/>
          <w:caps/>
          <w:snapToGrid/>
          <w:kern w:val="22"/>
          <w:szCs w:val="22"/>
          <w:lang w:val="fr-CA"/>
        </w:rPr>
        <w:t xml:space="preserve"> à la Conférence des Parties siégeant en tant que réunion des Parties au protocole de cartagena sur la prévention des risques biotechnologiques à sa dixième réunion</w:t>
      </w:r>
      <w:r>
        <w:rPr>
          <w:b/>
          <w:caps/>
          <w:snapToGrid/>
          <w:kern w:val="22"/>
          <w:szCs w:val="22"/>
          <w:lang w:val="fr-CA"/>
        </w:rPr>
        <w:t xml:space="preserve"> </w:t>
      </w:r>
      <w:r w:rsidR="00391A45" w:rsidRPr="00FD311D">
        <w:rPr>
          <w:rStyle w:val="FootnoteReference"/>
          <w:caps/>
          <w:snapToGrid/>
          <w:kern w:val="22"/>
          <w:szCs w:val="22"/>
          <w:lang w:val="fr-CA"/>
        </w:rPr>
        <w:footnoteReference w:id="3"/>
      </w:r>
    </w:p>
    <w:p w14:paraId="2A5CAC67" w14:textId="3190D191" w:rsidR="00391A45" w:rsidRPr="00FD311D" w:rsidRDefault="001B2344" w:rsidP="00391A45">
      <w:pPr>
        <w:spacing w:after="120"/>
        <w:ind w:firstLine="720"/>
        <w:rPr>
          <w:kern w:val="22"/>
          <w:szCs w:val="22"/>
          <w:lang w:val="fr-CA"/>
        </w:rPr>
      </w:pPr>
      <w:r>
        <w:rPr>
          <w:kern w:val="22"/>
          <w:szCs w:val="22"/>
          <w:lang w:val="fr-CA"/>
        </w:rPr>
        <w:t xml:space="preserve">Le Comité de contrôle du respect des dispositions recommande que la Conférence des Parties siégeant en tant que réunion des Parties au Protocole de Cartagena sur la prévention des risques biotechnologiques décide, à sa dixième réunion, de </w:t>
      </w:r>
      <w:r w:rsidR="00391A45" w:rsidRPr="00FD311D">
        <w:rPr>
          <w:kern w:val="22"/>
          <w:szCs w:val="22"/>
          <w:lang w:val="fr-CA"/>
        </w:rPr>
        <w:t>:</w:t>
      </w:r>
    </w:p>
    <w:p w14:paraId="257FCE5A" w14:textId="6C07AE41" w:rsidR="00391A45" w:rsidRPr="00FD311D" w:rsidRDefault="0093086A" w:rsidP="00F5491E">
      <w:pPr>
        <w:pStyle w:val="ListParagraph"/>
        <w:numPr>
          <w:ilvl w:val="0"/>
          <w:numId w:val="43"/>
        </w:numPr>
        <w:spacing w:after="120"/>
        <w:ind w:left="0" w:firstLine="0"/>
        <w:jc w:val="center"/>
        <w:outlineLvl w:val="1"/>
        <w:rPr>
          <w:b/>
          <w:kern w:val="22"/>
          <w:szCs w:val="22"/>
          <w:lang w:val="fr-CA"/>
        </w:rPr>
      </w:pPr>
      <w:r>
        <w:rPr>
          <w:b/>
          <w:kern w:val="22"/>
          <w:szCs w:val="22"/>
          <w:lang w:val="fr-CA"/>
        </w:rPr>
        <w:t>Respect des dispositions</w:t>
      </w:r>
    </w:p>
    <w:p w14:paraId="3CDEC16E" w14:textId="232F6798" w:rsidR="00D85053" w:rsidRPr="00443F2E" w:rsidRDefault="0093086A" w:rsidP="00FF084B">
      <w:pPr>
        <w:pStyle w:val="Para1"/>
        <w:numPr>
          <w:ilvl w:val="0"/>
          <w:numId w:val="37"/>
        </w:numPr>
        <w:tabs>
          <w:tab w:val="clear" w:pos="360"/>
        </w:tabs>
        <w:ind w:firstLine="567"/>
        <w:rPr>
          <w:kern w:val="22"/>
          <w:lang w:val="fr-CA"/>
        </w:rPr>
      </w:pPr>
      <w:r w:rsidRPr="00443F2E">
        <w:rPr>
          <w:kern w:val="22"/>
          <w:lang w:val="fr-CA"/>
        </w:rPr>
        <w:t xml:space="preserve">Rappeler aux Parties le paragraphe 4 du Règlement II des procédures et mécanismes de respect des dispositions et </w:t>
      </w:r>
      <w:r w:rsidR="00CD6168">
        <w:rPr>
          <w:kern w:val="22"/>
          <w:lang w:val="fr-CA"/>
        </w:rPr>
        <w:t xml:space="preserve">de </w:t>
      </w:r>
      <w:r w:rsidRPr="00443F2E">
        <w:rPr>
          <w:kern w:val="22"/>
          <w:lang w:val="fr-CA"/>
        </w:rPr>
        <w:t xml:space="preserve">les exhorter </w:t>
      </w:r>
      <w:r w:rsidR="00443F2E" w:rsidRPr="00443F2E">
        <w:rPr>
          <w:kern w:val="22"/>
          <w:lang w:val="fr-CA"/>
        </w:rPr>
        <w:t xml:space="preserve">d’informer les membres </w:t>
      </w:r>
      <w:r w:rsidRPr="00443F2E">
        <w:rPr>
          <w:kern w:val="22"/>
          <w:lang w:val="fr-CA"/>
        </w:rPr>
        <w:t>qu’ils sont élus pour un mandat complet de quatre ans</w:t>
      </w:r>
      <w:r w:rsidR="00D85053" w:rsidRPr="00443F2E">
        <w:rPr>
          <w:kern w:val="22"/>
          <w:lang w:val="fr-CA"/>
        </w:rPr>
        <w:t>;</w:t>
      </w:r>
    </w:p>
    <w:p w14:paraId="030E0405" w14:textId="2D6E7741" w:rsidR="00D85053" w:rsidRPr="00443F2E" w:rsidRDefault="0093086A" w:rsidP="00FF084B">
      <w:pPr>
        <w:pStyle w:val="Para1"/>
        <w:tabs>
          <w:tab w:val="clear" w:pos="360"/>
        </w:tabs>
        <w:ind w:firstLine="567"/>
        <w:rPr>
          <w:kern w:val="22"/>
          <w:lang w:val="fr-CA"/>
        </w:rPr>
      </w:pPr>
      <w:r w:rsidRPr="00443F2E">
        <w:rPr>
          <w:kern w:val="22"/>
          <w:lang w:val="fr-CA"/>
        </w:rPr>
        <w:t>Rappeler également aux Parties leur obligation de désigner un correspondant national pour le Protocole de Cartagena et une ou plusieurs autorités nationales compétentes, et d’informer le Secrétariat en conséquence, conformément à l’article 19 du Protocole</w:t>
      </w:r>
      <w:r w:rsidR="00D85053" w:rsidRPr="00443F2E">
        <w:rPr>
          <w:kern w:val="22"/>
          <w:lang w:val="fr-CA"/>
        </w:rPr>
        <w:t>;</w:t>
      </w:r>
    </w:p>
    <w:p w14:paraId="15CF1BED" w14:textId="7D329C33" w:rsidR="00D85053" w:rsidRPr="00443F2E" w:rsidRDefault="0093086A" w:rsidP="00FF084B">
      <w:pPr>
        <w:pStyle w:val="Para1"/>
        <w:tabs>
          <w:tab w:val="clear" w:pos="360"/>
        </w:tabs>
        <w:ind w:firstLine="567"/>
        <w:rPr>
          <w:kern w:val="22"/>
          <w:lang w:val="fr-CA"/>
        </w:rPr>
      </w:pPr>
      <w:r w:rsidRPr="00443F2E">
        <w:rPr>
          <w:kern w:val="22"/>
          <w:lang w:val="fr-CA"/>
        </w:rPr>
        <w:t>Rappeler en outre aux Parties leur obligation de désigner un correspondant national du centre d'échange sur la prévention des risques biotechnologiques, conformément aux décisions BS-I/3 et II/7 de la Conférence des Parties</w:t>
      </w:r>
      <w:r w:rsidR="00D85053" w:rsidRPr="00443F2E">
        <w:rPr>
          <w:kern w:val="22"/>
          <w:lang w:val="fr-CA"/>
        </w:rPr>
        <w:t>;</w:t>
      </w:r>
    </w:p>
    <w:p w14:paraId="1901B697" w14:textId="293646B0" w:rsidR="00D85053" w:rsidRPr="00443F2E" w:rsidRDefault="0093086A" w:rsidP="00FF084B">
      <w:pPr>
        <w:pStyle w:val="Para1"/>
        <w:tabs>
          <w:tab w:val="clear" w:pos="360"/>
        </w:tabs>
        <w:ind w:firstLine="567"/>
        <w:rPr>
          <w:kern w:val="22"/>
          <w:lang w:val="fr-CA"/>
        </w:rPr>
      </w:pPr>
      <w:r w:rsidRPr="00443F2E">
        <w:rPr>
          <w:kern w:val="22"/>
          <w:lang w:val="fr-CA"/>
        </w:rPr>
        <w:t xml:space="preserve">Rappeler aux Parties leur obligation </w:t>
      </w:r>
      <w:r w:rsidR="003A0D04" w:rsidRPr="00443F2E">
        <w:rPr>
          <w:kern w:val="22"/>
          <w:lang w:val="fr-CA"/>
        </w:rPr>
        <w:t>de mettre à disposition les détails concernant leur point de contact désigné pou</w:t>
      </w:r>
      <w:r w:rsidR="00443F2E" w:rsidRPr="00443F2E">
        <w:rPr>
          <w:kern w:val="22"/>
          <w:lang w:val="fr-CA"/>
        </w:rPr>
        <w:t>r rec</w:t>
      </w:r>
      <w:r w:rsidR="003A0D04" w:rsidRPr="00443F2E">
        <w:rPr>
          <w:kern w:val="22"/>
          <w:lang w:val="fr-CA"/>
        </w:rPr>
        <w:t xml:space="preserve">evoir les notifications au titre de l’article 17 du Protocole dans le centre d'échange sur la prévention des risques biotechnologiques et </w:t>
      </w:r>
      <w:r w:rsidR="00477145">
        <w:rPr>
          <w:kern w:val="22"/>
          <w:lang w:val="fr-CA"/>
        </w:rPr>
        <w:t xml:space="preserve">de </w:t>
      </w:r>
      <w:r w:rsidR="003A0D04" w:rsidRPr="00443F2E">
        <w:rPr>
          <w:kern w:val="22"/>
          <w:lang w:val="fr-CA"/>
        </w:rPr>
        <w:t>les exhorter à le faire dans les meilleurs délais</w:t>
      </w:r>
      <w:r w:rsidR="007705DA" w:rsidRPr="00443F2E">
        <w:rPr>
          <w:kern w:val="22"/>
          <w:lang w:val="fr-CA"/>
        </w:rPr>
        <w:t>;</w:t>
      </w:r>
    </w:p>
    <w:p w14:paraId="3442F52D" w14:textId="5FEB9A70" w:rsidR="00FF084B" w:rsidRPr="00443F2E" w:rsidRDefault="003A0D04" w:rsidP="00FF084B">
      <w:pPr>
        <w:pStyle w:val="Para1"/>
        <w:numPr>
          <w:ilvl w:val="0"/>
          <w:numId w:val="29"/>
        </w:numPr>
        <w:tabs>
          <w:tab w:val="clear" w:pos="360"/>
        </w:tabs>
        <w:ind w:firstLine="567"/>
        <w:rPr>
          <w:kern w:val="22"/>
          <w:lang w:val="fr-CA"/>
        </w:rPr>
      </w:pPr>
      <w:r w:rsidRPr="00443F2E">
        <w:rPr>
          <w:kern w:val="22"/>
          <w:lang w:val="fr-CA"/>
        </w:rPr>
        <w:t>Exhorter les Parties et les autres gouvernements à fournir volontairement des fonds en appui aux quatre Parties</w:t>
      </w:r>
      <w:r w:rsidRPr="00443F2E">
        <w:rPr>
          <w:kern w:val="22"/>
          <w:vertAlign w:val="superscript"/>
          <w:lang w:val="fr-CA"/>
        </w:rPr>
        <w:footnoteReference w:id="4"/>
      </w:r>
      <w:r w:rsidRPr="00443F2E">
        <w:rPr>
          <w:kern w:val="22"/>
          <w:lang w:val="fr-CA"/>
        </w:rPr>
        <w:t xml:space="preserve"> </w:t>
      </w:r>
      <w:r w:rsidR="005E2753" w:rsidRPr="00443F2E">
        <w:rPr>
          <w:kern w:val="22"/>
          <w:lang w:val="fr-CA"/>
        </w:rPr>
        <w:t>ayant élaboré un plan d’action pour le respect des dispositions ainsi que toute autre Partie qui élabore et met en œuvre des plans d’action pour le respect des dispositions à la demande du Comité</w:t>
      </w:r>
      <w:r w:rsidR="000A52EE" w:rsidRPr="00443F2E">
        <w:rPr>
          <w:kern w:val="22"/>
          <w:lang w:val="fr-CA"/>
        </w:rPr>
        <w:t>;</w:t>
      </w:r>
    </w:p>
    <w:p w14:paraId="5F6CCFAE" w14:textId="63E2C588" w:rsidR="008D39DD" w:rsidRPr="00443F2E" w:rsidRDefault="00FF084B" w:rsidP="00F5491E">
      <w:pPr>
        <w:pStyle w:val="BodyText"/>
        <w:ind w:firstLine="0"/>
        <w:jc w:val="center"/>
        <w:outlineLvl w:val="1"/>
        <w:rPr>
          <w:b/>
          <w:kern w:val="22"/>
          <w:szCs w:val="22"/>
          <w:lang w:val="fr-CA"/>
        </w:rPr>
      </w:pPr>
      <w:r w:rsidRPr="00443F2E">
        <w:rPr>
          <w:b/>
          <w:kern w:val="22"/>
          <w:szCs w:val="22"/>
          <w:lang w:val="fr-CA"/>
        </w:rPr>
        <w:t>B</w:t>
      </w:r>
      <w:r w:rsidR="0094563D" w:rsidRPr="00443F2E">
        <w:rPr>
          <w:b/>
          <w:kern w:val="22"/>
          <w:szCs w:val="22"/>
          <w:lang w:val="fr-CA"/>
        </w:rPr>
        <w:t>.</w:t>
      </w:r>
      <w:r w:rsidR="00C16AB3" w:rsidRPr="00443F2E">
        <w:rPr>
          <w:b/>
          <w:kern w:val="22"/>
          <w:szCs w:val="22"/>
          <w:lang w:val="fr-CA"/>
        </w:rPr>
        <w:tab/>
      </w:r>
      <w:r w:rsidR="005E2753" w:rsidRPr="00443F2E">
        <w:rPr>
          <w:b/>
          <w:kern w:val="22"/>
          <w:szCs w:val="22"/>
          <w:lang w:val="fr-CA"/>
        </w:rPr>
        <w:t>Suivi et établissement de rapports</w:t>
      </w:r>
    </w:p>
    <w:p w14:paraId="71432BA9" w14:textId="69D5D628" w:rsidR="00850A2A" w:rsidRPr="00443F2E" w:rsidRDefault="005E2753" w:rsidP="00FF084B">
      <w:pPr>
        <w:pStyle w:val="Para1"/>
        <w:numPr>
          <w:ilvl w:val="0"/>
          <w:numId w:val="29"/>
        </w:numPr>
        <w:tabs>
          <w:tab w:val="clear" w:pos="360"/>
        </w:tabs>
        <w:ind w:firstLine="567"/>
        <w:rPr>
          <w:kern w:val="22"/>
          <w:lang w:val="fr-CA"/>
        </w:rPr>
      </w:pPr>
      <w:r w:rsidRPr="00443F2E">
        <w:rPr>
          <w:kern w:val="22"/>
          <w:lang w:val="fr-CA"/>
        </w:rPr>
        <w:t>Accueillir avec satisfaction les 114 quatrièmes rapports nationaux complets soumis</w:t>
      </w:r>
      <w:r w:rsidR="00850A2A" w:rsidRPr="00443F2E">
        <w:rPr>
          <w:kern w:val="22"/>
          <w:lang w:val="fr-CA"/>
        </w:rPr>
        <w:t>;</w:t>
      </w:r>
      <w:r w:rsidR="00850A2A" w:rsidRPr="00443F2E">
        <w:rPr>
          <w:kern w:val="22"/>
          <w:vertAlign w:val="superscript"/>
          <w:lang w:val="fr-CA"/>
        </w:rPr>
        <w:footnoteReference w:id="5"/>
      </w:r>
    </w:p>
    <w:p w14:paraId="38EEDA9F" w14:textId="324E6858" w:rsidR="00850A2A" w:rsidRPr="00443F2E" w:rsidRDefault="005E2753" w:rsidP="00FF084B">
      <w:pPr>
        <w:pStyle w:val="Para1"/>
        <w:numPr>
          <w:ilvl w:val="0"/>
          <w:numId w:val="29"/>
        </w:numPr>
        <w:tabs>
          <w:tab w:val="clear" w:pos="360"/>
        </w:tabs>
        <w:ind w:firstLine="567"/>
        <w:rPr>
          <w:kern w:val="22"/>
          <w:lang w:val="fr-CA"/>
        </w:rPr>
      </w:pPr>
      <w:r w:rsidRPr="00443F2E">
        <w:rPr>
          <w:kern w:val="22"/>
          <w:lang w:val="fr-CA"/>
        </w:rPr>
        <w:t>Se préoccuper du faible nombre de quatrièmes rapports nationaux soumis</w:t>
      </w:r>
      <w:r w:rsidR="00850A2A" w:rsidRPr="00443F2E">
        <w:rPr>
          <w:kern w:val="22"/>
          <w:lang w:val="fr-CA"/>
        </w:rPr>
        <w:t>;</w:t>
      </w:r>
    </w:p>
    <w:p w14:paraId="6F469793" w14:textId="68C5D195" w:rsidR="00707EF0" w:rsidRPr="00443F2E" w:rsidRDefault="005E2753" w:rsidP="00635929">
      <w:pPr>
        <w:pStyle w:val="Para1"/>
        <w:numPr>
          <w:ilvl w:val="0"/>
          <w:numId w:val="29"/>
        </w:numPr>
        <w:tabs>
          <w:tab w:val="clear" w:pos="360"/>
        </w:tabs>
        <w:ind w:firstLine="567"/>
        <w:rPr>
          <w:kern w:val="22"/>
          <w:szCs w:val="22"/>
          <w:lang w:val="fr-CA"/>
        </w:rPr>
      </w:pPr>
      <w:r w:rsidRPr="00443F2E">
        <w:rPr>
          <w:kern w:val="22"/>
          <w:szCs w:val="22"/>
          <w:lang w:val="fr-CA"/>
        </w:rPr>
        <w:t xml:space="preserve">Se préoccuper également des retards dans le projet à </w:t>
      </w:r>
      <w:r w:rsidR="00991F84" w:rsidRPr="00443F2E">
        <w:rPr>
          <w:kern w:val="22"/>
          <w:szCs w:val="22"/>
          <w:lang w:val="fr-CA"/>
        </w:rPr>
        <w:t>soumettre</w:t>
      </w:r>
      <w:r w:rsidRPr="00443F2E">
        <w:rPr>
          <w:kern w:val="22"/>
          <w:szCs w:val="22"/>
          <w:lang w:val="fr-CA"/>
        </w:rPr>
        <w:t xml:space="preserve"> au Fonds pour l’environnement mondial</w:t>
      </w:r>
      <w:r w:rsidR="005F71CC">
        <w:rPr>
          <w:kern w:val="22"/>
          <w:szCs w:val="22"/>
          <w:lang w:val="fr-CA"/>
        </w:rPr>
        <w:t>,</w:t>
      </w:r>
      <w:r w:rsidRPr="00443F2E">
        <w:rPr>
          <w:kern w:val="22"/>
          <w:szCs w:val="22"/>
          <w:lang w:val="fr-CA"/>
        </w:rPr>
        <w:t xml:space="preserve"> </w:t>
      </w:r>
      <w:r w:rsidR="00991F84" w:rsidRPr="00443F2E">
        <w:rPr>
          <w:kern w:val="22"/>
          <w:szCs w:val="22"/>
          <w:lang w:val="fr-CA"/>
        </w:rPr>
        <w:t>ayant pour but d’appuyer</w:t>
      </w:r>
      <w:r w:rsidRPr="00443F2E">
        <w:rPr>
          <w:kern w:val="22"/>
          <w:szCs w:val="22"/>
          <w:lang w:val="fr-CA"/>
        </w:rPr>
        <w:t xml:space="preserve"> les Parties admissibles dans la p</w:t>
      </w:r>
      <w:r w:rsidR="00991F84" w:rsidRPr="00443F2E">
        <w:rPr>
          <w:kern w:val="22"/>
          <w:szCs w:val="22"/>
          <w:lang w:val="fr-CA"/>
        </w:rPr>
        <w:t>réparati</w:t>
      </w:r>
      <w:r w:rsidRPr="00443F2E">
        <w:rPr>
          <w:kern w:val="22"/>
          <w:szCs w:val="22"/>
          <w:lang w:val="fr-CA"/>
        </w:rPr>
        <w:t xml:space="preserve">on de leurs quatrièmes rapports nationaux, </w:t>
      </w:r>
      <w:r w:rsidR="00991F84" w:rsidRPr="00443F2E">
        <w:rPr>
          <w:kern w:val="22"/>
          <w:szCs w:val="22"/>
          <w:lang w:val="fr-CA"/>
        </w:rPr>
        <w:t xml:space="preserve">en </w:t>
      </w:r>
      <w:r w:rsidRPr="00443F2E">
        <w:rPr>
          <w:kern w:val="22"/>
          <w:szCs w:val="22"/>
          <w:lang w:val="fr-CA"/>
        </w:rPr>
        <w:t>sachant que ce soutien financier n’</w:t>
      </w:r>
      <w:r w:rsidR="00991F84" w:rsidRPr="00443F2E">
        <w:rPr>
          <w:kern w:val="22"/>
          <w:szCs w:val="22"/>
          <w:lang w:val="fr-CA"/>
        </w:rPr>
        <w:t>était pas dispon</w:t>
      </w:r>
      <w:r w:rsidRPr="00443F2E">
        <w:rPr>
          <w:kern w:val="22"/>
          <w:szCs w:val="22"/>
          <w:lang w:val="fr-CA"/>
        </w:rPr>
        <w:t>ib</w:t>
      </w:r>
      <w:r w:rsidR="005F71CC">
        <w:rPr>
          <w:kern w:val="22"/>
          <w:szCs w:val="22"/>
          <w:lang w:val="fr-CA"/>
        </w:rPr>
        <w:t>le avant la date limite de remi</w:t>
      </w:r>
      <w:r w:rsidRPr="00443F2E">
        <w:rPr>
          <w:kern w:val="22"/>
          <w:szCs w:val="22"/>
          <w:lang w:val="fr-CA"/>
        </w:rPr>
        <w:t xml:space="preserve">se des quatrièmes rapports nationaux, ce qui </w:t>
      </w:r>
      <w:r w:rsidR="00A10D54">
        <w:rPr>
          <w:kern w:val="22"/>
          <w:szCs w:val="22"/>
          <w:lang w:val="fr-CA"/>
        </w:rPr>
        <w:t>a pu</w:t>
      </w:r>
      <w:r w:rsidR="005F71CC">
        <w:rPr>
          <w:kern w:val="22"/>
          <w:szCs w:val="22"/>
          <w:lang w:val="fr-CA"/>
        </w:rPr>
        <w:t xml:space="preserve"> être un des </w:t>
      </w:r>
      <w:r w:rsidRPr="00443F2E">
        <w:rPr>
          <w:kern w:val="22"/>
          <w:szCs w:val="22"/>
          <w:lang w:val="fr-CA"/>
        </w:rPr>
        <w:t xml:space="preserve">facteurs </w:t>
      </w:r>
      <w:r w:rsidR="005F71CC">
        <w:rPr>
          <w:kern w:val="22"/>
          <w:szCs w:val="22"/>
          <w:lang w:val="fr-CA"/>
        </w:rPr>
        <w:t>ayant</w:t>
      </w:r>
      <w:r w:rsidRPr="00443F2E">
        <w:rPr>
          <w:kern w:val="22"/>
          <w:szCs w:val="22"/>
          <w:lang w:val="fr-CA"/>
        </w:rPr>
        <w:t xml:space="preserve"> influencé le taux de soumission</w:t>
      </w:r>
      <w:r w:rsidR="00707EF0" w:rsidRPr="00443F2E">
        <w:rPr>
          <w:kern w:val="22"/>
          <w:szCs w:val="22"/>
          <w:lang w:val="fr-CA"/>
        </w:rPr>
        <w:t>;</w:t>
      </w:r>
    </w:p>
    <w:p w14:paraId="17B17EDD" w14:textId="002305FF" w:rsidR="00850A2A" w:rsidRPr="00443F2E" w:rsidRDefault="00A00ADD" w:rsidP="00FF084B">
      <w:pPr>
        <w:pStyle w:val="Para1"/>
        <w:numPr>
          <w:ilvl w:val="0"/>
          <w:numId w:val="29"/>
        </w:numPr>
        <w:tabs>
          <w:tab w:val="clear" w:pos="360"/>
        </w:tabs>
        <w:ind w:firstLine="567"/>
        <w:rPr>
          <w:kern w:val="22"/>
          <w:lang w:val="fr-CA"/>
        </w:rPr>
      </w:pPr>
      <w:r w:rsidRPr="00443F2E">
        <w:rPr>
          <w:kern w:val="22"/>
          <w:lang w:val="fr-CA"/>
        </w:rPr>
        <w:t>Exhorter les Parties qui ne l’ont pas encore fait de remettre leur quatrième rapport national dans les meilleurs délais</w:t>
      </w:r>
      <w:r w:rsidR="00850A2A" w:rsidRPr="00443F2E">
        <w:rPr>
          <w:kern w:val="22"/>
          <w:lang w:val="fr-CA"/>
        </w:rPr>
        <w:t>;</w:t>
      </w:r>
      <w:r w:rsidR="00850A2A" w:rsidRPr="00443F2E">
        <w:rPr>
          <w:kern w:val="22"/>
          <w:vertAlign w:val="superscript"/>
          <w:lang w:val="fr-CA"/>
        </w:rPr>
        <w:footnoteReference w:id="6"/>
      </w:r>
    </w:p>
    <w:p w14:paraId="0F5CA999" w14:textId="68A9B806" w:rsidR="00850A2A" w:rsidRPr="00443F2E" w:rsidRDefault="00160BDA" w:rsidP="00FF084B">
      <w:pPr>
        <w:pStyle w:val="Para1"/>
        <w:numPr>
          <w:ilvl w:val="0"/>
          <w:numId w:val="29"/>
        </w:numPr>
        <w:tabs>
          <w:tab w:val="clear" w:pos="360"/>
        </w:tabs>
        <w:ind w:firstLine="567"/>
        <w:rPr>
          <w:kern w:val="22"/>
          <w:lang w:val="fr-CA"/>
        </w:rPr>
      </w:pPr>
      <w:r w:rsidRPr="00443F2E">
        <w:rPr>
          <w:kern w:val="22"/>
          <w:lang w:val="fr-CA"/>
        </w:rPr>
        <w:lastRenderedPageBreak/>
        <w:t>Prendre note avec préoccupation des Parties qui n’ont pas encore soumis leur quatrième rapport national et de certaines Parties qui n’ont pas non plus soumis leur troisième rapport national</w:t>
      </w:r>
      <w:r w:rsidR="00850A2A" w:rsidRPr="00443F2E">
        <w:rPr>
          <w:kern w:val="22"/>
          <w:lang w:val="fr-CA"/>
        </w:rPr>
        <w:t>;</w:t>
      </w:r>
      <w:r w:rsidR="00850A2A" w:rsidRPr="00443F2E">
        <w:rPr>
          <w:kern w:val="22"/>
          <w:vertAlign w:val="superscript"/>
          <w:lang w:val="fr-CA"/>
        </w:rPr>
        <w:footnoteReference w:id="7"/>
      </w:r>
    </w:p>
    <w:p w14:paraId="70E306BB" w14:textId="23ED7F5E" w:rsidR="00850A2A" w:rsidRPr="00443F2E" w:rsidRDefault="00160BDA" w:rsidP="00FF084B">
      <w:pPr>
        <w:pStyle w:val="Para1"/>
        <w:numPr>
          <w:ilvl w:val="0"/>
          <w:numId w:val="29"/>
        </w:numPr>
        <w:tabs>
          <w:tab w:val="clear" w:pos="360"/>
        </w:tabs>
        <w:ind w:firstLine="567"/>
        <w:rPr>
          <w:kern w:val="22"/>
          <w:lang w:val="fr-CA"/>
        </w:rPr>
      </w:pPr>
      <w:r w:rsidRPr="00443F2E">
        <w:rPr>
          <w:kern w:val="22"/>
          <w:lang w:val="fr-CA"/>
        </w:rPr>
        <w:t>Exhorter les Parties ayant soumis un rapport incomplet de fournir les informations manquantes dans les meilleurs délais</w:t>
      </w:r>
      <w:r w:rsidR="00850A2A" w:rsidRPr="00443F2E">
        <w:rPr>
          <w:kern w:val="22"/>
          <w:lang w:val="fr-CA"/>
        </w:rPr>
        <w:t>;</w:t>
      </w:r>
    </w:p>
    <w:p w14:paraId="0D5FB73F" w14:textId="534603DB" w:rsidR="002766CD" w:rsidRPr="00443F2E" w:rsidRDefault="00FF084B" w:rsidP="00F5491E">
      <w:pPr>
        <w:pStyle w:val="Para1"/>
        <w:numPr>
          <w:ilvl w:val="0"/>
          <w:numId w:val="0"/>
        </w:numPr>
        <w:ind w:left="1418" w:right="249" w:hanging="709"/>
        <w:jc w:val="left"/>
        <w:outlineLvl w:val="1"/>
        <w:rPr>
          <w:b/>
          <w:kern w:val="22"/>
          <w:szCs w:val="22"/>
          <w:lang w:val="fr-CA"/>
        </w:rPr>
      </w:pPr>
      <w:r w:rsidRPr="00443F2E">
        <w:rPr>
          <w:b/>
          <w:kern w:val="22"/>
          <w:szCs w:val="22"/>
          <w:lang w:val="fr-CA"/>
        </w:rPr>
        <w:t>C</w:t>
      </w:r>
      <w:r w:rsidR="002766CD" w:rsidRPr="00443F2E">
        <w:rPr>
          <w:b/>
          <w:kern w:val="22"/>
          <w:szCs w:val="22"/>
          <w:lang w:val="fr-CA"/>
        </w:rPr>
        <w:t>.</w:t>
      </w:r>
      <w:r w:rsidR="00347278" w:rsidRPr="00443F2E">
        <w:rPr>
          <w:b/>
          <w:kern w:val="22"/>
          <w:szCs w:val="22"/>
          <w:lang w:val="fr-CA"/>
        </w:rPr>
        <w:tab/>
      </w:r>
      <w:r w:rsidR="00160BDA" w:rsidRPr="00443F2E">
        <w:rPr>
          <w:b/>
          <w:kern w:val="22"/>
          <w:szCs w:val="22"/>
          <w:lang w:val="fr-CA"/>
        </w:rPr>
        <w:t xml:space="preserve">Évaluation et examen de l’efficacité du Protocole et évaluation finale du Plan stratégique pour le Protocole de </w:t>
      </w:r>
      <w:r w:rsidR="00B372B6">
        <w:rPr>
          <w:b/>
          <w:kern w:val="22"/>
          <w:szCs w:val="22"/>
          <w:lang w:val="fr-CA"/>
        </w:rPr>
        <w:t>Cartagena</w:t>
      </w:r>
    </w:p>
    <w:p w14:paraId="2D3FE2F7" w14:textId="4E7D9078" w:rsidR="00635AB3" w:rsidRPr="00443F2E" w:rsidRDefault="00160BDA" w:rsidP="00FF084B">
      <w:pPr>
        <w:pStyle w:val="Para1"/>
        <w:numPr>
          <w:ilvl w:val="0"/>
          <w:numId w:val="29"/>
        </w:numPr>
        <w:tabs>
          <w:tab w:val="clear" w:pos="360"/>
        </w:tabs>
        <w:ind w:firstLine="567"/>
        <w:rPr>
          <w:kern w:val="22"/>
          <w:lang w:val="fr-CA"/>
        </w:rPr>
      </w:pPr>
      <w:r w:rsidRPr="00443F2E">
        <w:rPr>
          <w:kern w:val="22"/>
          <w:lang w:val="fr-CA"/>
        </w:rPr>
        <w:t>S</w:t>
      </w:r>
      <w:r w:rsidR="008F2A42" w:rsidRPr="00443F2E">
        <w:rPr>
          <w:kern w:val="22"/>
          <w:lang w:val="fr-CA"/>
        </w:rPr>
        <w:t>e réjouir des progrès accomplis par les Parties concernant le respect de leurs obligations au titre du Protocole, dont les obligations : a) de mettre certaines informations à la disponibilité du centre d'échange sur la prévention des risques biotechnologiques et b) de désigner des correspondants nationaux et des autorités nationales compétentes</w:t>
      </w:r>
      <w:r w:rsidR="00635AB3" w:rsidRPr="00443F2E">
        <w:rPr>
          <w:kern w:val="22"/>
          <w:lang w:val="fr-CA"/>
        </w:rPr>
        <w:t>;</w:t>
      </w:r>
    </w:p>
    <w:p w14:paraId="06F2FA0C" w14:textId="28024C01" w:rsidR="00635AB3" w:rsidRPr="00443F2E" w:rsidRDefault="008F2A42" w:rsidP="00FF084B">
      <w:pPr>
        <w:pStyle w:val="Para1"/>
        <w:numPr>
          <w:ilvl w:val="0"/>
          <w:numId w:val="29"/>
        </w:numPr>
        <w:tabs>
          <w:tab w:val="clear" w:pos="360"/>
        </w:tabs>
        <w:ind w:firstLine="567"/>
        <w:rPr>
          <w:kern w:val="22"/>
          <w:lang w:val="fr-CA"/>
        </w:rPr>
      </w:pPr>
      <w:r w:rsidRPr="00443F2E">
        <w:rPr>
          <w:kern w:val="22"/>
          <w:lang w:val="fr-CA"/>
        </w:rPr>
        <w:t xml:space="preserve">Prendre note avec préoccupation </w:t>
      </w:r>
      <w:r w:rsidR="005F71CC">
        <w:rPr>
          <w:kern w:val="22"/>
          <w:lang w:val="fr-CA"/>
        </w:rPr>
        <w:t>que plusieurs</w:t>
      </w:r>
      <w:r w:rsidRPr="00443F2E">
        <w:rPr>
          <w:kern w:val="22"/>
          <w:lang w:val="fr-CA"/>
        </w:rPr>
        <w:t xml:space="preserve"> Parties ne respectent pas complètement leurs principales obligations au titre du Protocole, à savoir : a) l’obligation de prendre les mesures légales, administratives et autres mesures nécessaires pour appliquer le Protocole </w:t>
      </w:r>
      <w:r w:rsidR="00B372B6">
        <w:rPr>
          <w:kern w:val="22"/>
          <w:lang w:val="fr-CA"/>
        </w:rPr>
        <w:t>et b) l’obligation de remettre u</w:t>
      </w:r>
      <w:r w:rsidRPr="00443F2E">
        <w:rPr>
          <w:kern w:val="22"/>
          <w:lang w:val="fr-CA"/>
        </w:rPr>
        <w:t>n rapport national aux dates prévues</w:t>
      </w:r>
      <w:r w:rsidR="00635AB3" w:rsidRPr="00443F2E">
        <w:rPr>
          <w:kern w:val="22"/>
          <w:lang w:val="fr-CA"/>
        </w:rPr>
        <w:t>;</w:t>
      </w:r>
    </w:p>
    <w:p w14:paraId="326F4972" w14:textId="08063100" w:rsidR="00635AB3" w:rsidRPr="00443F2E" w:rsidRDefault="008F2A42" w:rsidP="00FF084B">
      <w:pPr>
        <w:pStyle w:val="Para1"/>
        <w:numPr>
          <w:ilvl w:val="0"/>
          <w:numId w:val="29"/>
        </w:numPr>
        <w:tabs>
          <w:tab w:val="clear" w:pos="360"/>
        </w:tabs>
        <w:ind w:firstLine="567"/>
        <w:rPr>
          <w:kern w:val="22"/>
          <w:lang w:val="fr-CA"/>
        </w:rPr>
      </w:pPr>
      <w:r w:rsidRPr="00443F2E">
        <w:rPr>
          <w:kern w:val="22"/>
          <w:lang w:val="fr-CA"/>
        </w:rPr>
        <w:t xml:space="preserve">Reconnaître </w:t>
      </w:r>
      <w:r w:rsidR="00940BD6" w:rsidRPr="00443F2E">
        <w:rPr>
          <w:kern w:val="22"/>
          <w:lang w:val="fr-CA"/>
        </w:rPr>
        <w:t>que les Parties doivent avoir en place des programmes de suivi et d’exécution pour l’application du Protocole</w:t>
      </w:r>
      <w:r w:rsidR="00635AB3" w:rsidRPr="00443F2E">
        <w:rPr>
          <w:kern w:val="22"/>
          <w:lang w:val="fr-CA"/>
        </w:rPr>
        <w:t>;</w:t>
      </w:r>
    </w:p>
    <w:p w14:paraId="72615EE5" w14:textId="546C9424" w:rsidR="00635AB3" w:rsidRPr="00443F2E" w:rsidRDefault="00940BD6" w:rsidP="00FF084B">
      <w:pPr>
        <w:pStyle w:val="Para1"/>
        <w:numPr>
          <w:ilvl w:val="0"/>
          <w:numId w:val="29"/>
        </w:numPr>
        <w:tabs>
          <w:tab w:val="clear" w:pos="360"/>
        </w:tabs>
        <w:ind w:firstLine="567"/>
        <w:rPr>
          <w:kern w:val="22"/>
          <w:lang w:val="fr-CA"/>
        </w:rPr>
      </w:pPr>
      <w:r w:rsidRPr="00443F2E">
        <w:rPr>
          <w:kern w:val="22"/>
          <w:lang w:val="fr-CA"/>
        </w:rPr>
        <w:t>Exhorter les Parties qui ne l’ont pas encore fait de mettre en place des mesures légales, administratives et autres mesures pour s’acquitter de leurs obligations au titre du Protocole</w:t>
      </w:r>
      <w:r w:rsidR="00635AB3" w:rsidRPr="00443F2E">
        <w:rPr>
          <w:kern w:val="22"/>
          <w:lang w:val="fr-CA"/>
        </w:rPr>
        <w:t>;</w:t>
      </w:r>
    </w:p>
    <w:p w14:paraId="1C827825" w14:textId="4881EA59" w:rsidR="00635AB3" w:rsidRPr="00443F2E" w:rsidRDefault="00940BD6" w:rsidP="00FF084B">
      <w:pPr>
        <w:pStyle w:val="Para1"/>
        <w:numPr>
          <w:ilvl w:val="0"/>
          <w:numId w:val="29"/>
        </w:numPr>
        <w:tabs>
          <w:tab w:val="clear" w:pos="360"/>
        </w:tabs>
        <w:ind w:firstLine="567"/>
        <w:rPr>
          <w:kern w:val="22"/>
          <w:lang w:val="fr-CA"/>
        </w:rPr>
      </w:pPr>
      <w:r w:rsidRPr="00443F2E">
        <w:rPr>
          <w:kern w:val="22"/>
          <w:lang w:val="fr-CA"/>
        </w:rPr>
        <w:t>Exhorter également les Parties qui ne l’ont pas encore entièrement fait de mettre toutes les informations requises à la disposition du centre d'échange sur la prévention des risques biotechnologiques et de maintenir leurs dossiers à jour, en mettant particulièrement l’accent sur les informations concernant :</w:t>
      </w:r>
      <w:r w:rsidR="0012502D">
        <w:rPr>
          <w:kern w:val="22"/>
          <w:lang w:val="fr-CA"/>
        </w:rPr>
        <w:t xml:space="preserve"> a) </w:t>
      </w:r>
      <w:r w:rsidR="00E10BAF" w:rsidRPr="00443F2E">
        <w:rPr>
          <w:kern w:val="22"/>
          <w:lang w:val="fr-CA"/>
        </w:rPr>
        <w:t>les mesures législatives, les réglementations et les directives nationales, b) les sommaires des évaluations des risques, c) les décisions finales concernant l’importation et la libération d’organismes vivants modifiés</w:t>
      </w:r>
      <w:r w:rsidR="0012502D">
        <w:rPr>
          <w:kern w:val="22"/>
          <w:lang w:val="fr-CA"/>
        </w:rPr>
        <w:t>, d) les correspondants nationaux, les points de contact nationaux et les autorités nationales compétentes, e) les renseignements sur les accords ou arrangements bilatéraux, régionaux ou multilatéraux auxquels elles participent et f) les informations concernant les mouvements transfrontières illégaux d’organismes vivants modifiés</w:t>
      </w:r>
      <w:r w:rsidR="00635AB3" w:rsidRPr="00443F2E">
        <w:rPr>
          <w:kern w:val="22"/>
          <w:lang w:val="fr-CA"/>
        </w:rPr>
        <w:t>;</w:t>
      </w:r>
    </w:p>
    <w:p w14:paraId="5447EE25" w14:textId="4920B2CC" w:rsidR="00635AB3" w:rsidRPr="00443F2E" w:rsidRDefault="00E10BAF" w:rsidP="00FF084B">
      <w:pPr>
        <w:pStyle w:val="Para1"/>
        <w:numPr>
          <w:ilvl w:val="0"/>
          <w:numId w:val="29"/>
        </w:numPr>
        <w:tabs>
          <w:tab w:val="clear" w:pos="360"/>
        </w:tabs>
        <w:ind w:firstLine="567"/>
        <w:rPr>
          <w:kern w:val="22"/>
          <w:lang w:val="fr-CA"/>
        </w:rPr>
      </w:pPr>
      <w:r w:rsidRPr="00443F2E">
        <w:rPr>
          <w:kern w:val="22"/>
          <w:lang w:val="fr-CA"/>
        </w:rPr>
        <w:t xml:space="preserve">Demander à la Secrétaire exécutive de </w:t>
      </w:r>
      <w:r w:rsidR="00635AB3" w:rsidRPr="00443F2E">
        <w:rPr>
          <w:kern w:val="22"/>
          <w:lang w:val="fr-CA"/>
        </w:rPr>
        <w:t>:</w:t>
      </w:r>
    </w:p>
    <w:p w14:paraId="6687DEF3" w14:textId="55AF288C" w:rsidR="00635AB3" w:rsidRPr="00443F2E" w:rsidRDefault="00E10BAF" w:rsidP="00BC7307">
      <w:pPr>
        <w:pStyle w:val="Para3"/>
        <w:numPr>
          <w:ilvl w:val="0"/>
          <w:numId w:val="33"/>
        </w:numPr>
        <w:tabs>
          <w:tab w:val="clear" w:pos="1980"/>
        </w:tabs>
        <w:ind w:left="0" w:firstLine="720"/>
        <w:rPr>
          <w:snapToGrid w:val="0"/>
          <w:kern w:val="22"/>
          <w:lang w:val="fr-CA"/>
        </w:rPr>
      </w:pPr>
      <w:r w:rsidRPr="00443F2E">
        <w:rPr>
          <w:snapToGrid w:val="0"/>
          <w:kern w:val="22"/>
          <w:lang w:val="fr-CA"/>
        </w:rPr>
        <w:t>Élaborer un questionnaire en ligne sur les limites</w:t>
      </w:r>
      <w:r w:rsidR="00BC7307" w:rsidRPr="00443F2E">
        <w:rPr>
          <w:snapToGrid w:val="0"/>
          <w:kern w:val="22"/>
          <w:lang w:val="fr-CA"/>
        </w:rPr>
        <w:t xml:space="preserve"> et les difficultés que connaissent les pays à respecter leur obligation : a) de prendre les mesures légales, administratives et autres mesures nécessaires pour appliquer le Protocole et ii) et l’obligation de remettre un rapport national aux dates prévues</w:t>
      </w:r>
      <w:r w:rsidR="00635AB3" w:rsidRPr="00443F2E">
        <w:rPr>
          <w:snapToGrid w:val="0"/>
          <w:kern w:val="22"/>
          <w:lang w:val="fr-CA"/>
        </w:rPr>
        <w:t xml:space="preserve">; </w:t>
      </w:r>
    </w:p>
    <w:p w14:paraId="0581047F" w14:textId="435682CD" w:rsidR="00635AB3" w:rsidRPr="00443F2E" w:rsidRDefault="00BC7307" w:rsidP="00F5491E">
      <w:pPr>
        <w:pStyle w:val="Para3"/>
        <w:numPr>
          <w:ilvl w:val="0"/>
          <w:numId w:val="33"/>
        </w:numPr>
        <w:tabs>
          <w:tab w:val="clear" w:pos="1980"/>
          <w:tab w:val="left" w:pos="1418"/>
          <w:tab w:val="num" w:pos="5747"/>
        </w:tabs>
        <w:ind w:left="0" w:firstLine="709"/>
        <w:rPr>
          <w:snapToGrid w:val="0"/>
          <w:kern w:val="22"/>
          <w:lang w:val="fr-CA"/>
        </w:rPr>
      </w:pPr>
      <w:r w:rsidRPr="00443F2E">
        <w:rPr>
          <w:snapToGrid w:val="0"/>
          <w:kern w:val="22"/>
          <w:lang w:val="fr-CA"/>
        </w:rPr>
        <w:t>Inviter toutes les Parties à répondre au questionnaire</w:t>
      </w:r>
      <w:r w:rsidR="00635AB3" w:rsidRPr="00443F2E">
        <w:rPr>
          <w:snapToGrid w:val="0"/>
          <w:kern w:val="22"/>
          <w:lang w:val="fr-CA"/>
        </w:rPr>
        <w:t>;</w:t>
      </w:r>
    </w:p>
    <w:p w14:paraId="4196250C" w14:textId="29E549F0" w:rsidR="00635AB3" w:rsidRPr="00443F2E" w:rsidRDefault="00BC7307" w:rsidP="00F5491E">
      <w:pPr>
        <w:pStyle w:val="Para3"/>
        <w:numPr>
          <w:ilvl w:val="0"/>
          <w:numId w:val="33"/>
        </w:numPr>
        <w:tabs>
          <w:tab w:val="clear" w:pos="1980"/>
          <w:tab w:val="left" w:pos="1418"/>
          <w:tab w:val="num" w:pos="5747"/>
        </w:tabs>
        <w:ind w:left="0" w:firstLine="709"/>
        <w:rPr>
          <w:snapToGrid w:val="0"/>
          <w:kern w:val="22"/>
          <w:lang w:val="fr-CA"/>
        </w:rPr>
      </w:pPr>
      <w:r w:rsidRPr="00443F2E">
        <w:rPr>
          <w:snapToGrid w:val="0"/>
          <w:kern w:val="22"/>
          <w:lang w:val="fr-CA"/>
        </w:rPr>
        <w:t>Compiler les résultats et les soumettre pour examen par le Comité à sa dix-huitième réunion</w:t>
      </w:r>
      <w:r w:rsidR="00635AB3" w:rsidRPr="00443F2E">
        <w:rPr>
          <w:snapToGrid w:val="0"/>
          <w:kern w:val="22"/>
          <w:lang w:val="fr-CA"/>
        </w:rPr>
        <w:t xml:space="preserve">; </w:t>
      </w:r>
    </w:p>
    <w:p w14:paraId="10418590" w14:textId="4183AC6B" w:rsidR="00635AB3" w:rsidRPr="00443F2E" w:rsidRDefault="00BC7307" w:rsidP="00FF084B">
      <w:pPr>
        <w:pStyle w:val="Para1"/>
        <w:numPr>
          <w:ilvl w:val="0"/>
          <w:numId w:val="29"/>
        </w:numPr>
        <w:tabs>
          <w:tab w:val="clear" w:pos="360"/>
        </w:tabs>
        <w:ind w:firstLine="567"/>
        <w:rPr>
          <w:kern w:val="22"/>
          <w:lang w:val="fr-CA"/>
        </w:rPr>
      </w:pPr>
      <w:r w:rsidRPr="00443F2E">
        <w:rPr>
          <w:kern w:val="22"/>
          <w:lang w:val="fr-CA"/>
        </w:rPr>
        <w:t>Reconnaître que le cadre mondial de la biodiversité pour l'après-2020 peut contribuer à l’application du Protocole de Cartagena sur la prévention des risques biotechnologiques et au respect de celui-ci</w:t>
      </w:r>
      <w:r w:rsidR="00E50070">
        <w:rPr>
          <w:kern w:val="22"/>
          <w:lang w:val="fr-CA"/>
        </w:rPr>
        <w:t>,</w:t>
      </w:r>
      <w:r w:rsidR="00AC7878" w:rsidRPr="00443F2E">
        <w:rPr>
          <w:kern w:val="22"/>
          <w:lang w:val="fr-CA"/>
        </w:rPr>
        <w:t xml:space="preserve"> et reconnaître la p</w:t>
      </w:r>
      <w:r w:rsidR="00E41760">
        <w:rPr>
          <w:kern w:val="22"/>
          <w:lang w:val="fr-CA"/>
        </w:rPr>
        <w:t>ertinence du Protocole et de ses</w:t>
      </w:r>
      <w:r w:rsidR="00AC7878" w:rsidRPr="00443F2E">
        <w:rPr>
          <w:kern w:val="22"/>
          <w:lang w:val="fr-CA"/>
        </w:rPr>
        <w:t xml:space="preserve"> plan</w:t>
      </w:r>
      <w:r w:rsidR="00E41760">
        <w:rPr>
          <w:kern w:val="22"/>
          <w:lang w:val="fr-CA"/>
        </w:rPr>
        <w:t>s</w:t>
      </w:r>
      <w:r w:rsidR="00AC7878" w:rsidRPr="00443F2E">
        <w:rPr>
          <w:kern w:val="22"/>
          <w:lang w:val="fr-CA"/>
        </w:rPr>
        <w:t xml:space="preserve"> de mise en œuvre pour l’après-2020 et de renforcement des capacités </w:t>
      </w:r>
      <w:r w:rsidR="00E50070">
        <w:rPr>
          <w:kern w:val="22"/>
          <w:lang w:val="fr-CA"/>
        </w:rPr>
        <w:t>à</w:t>
      </w:r>
      <w:r w:rsidR="00AC7878" w:rsidRPr="00443F2E">
        <w:rPr>
          <w:kern w:val="22"/>
          <w:lang w:val="fr-CA"/>
        </w:rPr>
        <w:t xml:space="preserve"> la réalisation des trois objectifs de la Convention sur l</w:t>
      </w:r>
      <w:r w:rsidR="00E41760">
        <w:rPr>
          <w:kern w:val="22"/>
          <w:lang w:val="fr-CA"/>
        </w:rPr>
        <w:t>a</w:t>
      </w:r>
      <w:r w:rsidR="00AC7878" w:rsidRPr="00443F2E">
        <w:rPr>
          <w:kern w:val="22"/>
          <w:lang w:val="fr-CA"/>
        </w:rPr>
        <w:t xml:space="preserve"> diversité biologique</w:t>
      </w:r>
      <w:r w:rsidR="00635AB3" w:rsidRPr="00443F2E">
        <w:rPr>
          <w:kern w:val="22"/>
          <w:lang w:val="fr-CA"/>
        </w:rPr>
        <w:t>;</w:t>
      </w:r>
    </w:p>
    <w:p w14:paraId="3CADA514" w14:textId="0C550B5F" w:rsidR="00635AB3" w:rsidRPr="00443F2E" w:rsidRDefault="00AC7878" w:rsidP="00F920AC">
      <w:pPr>
        <w:pStyle w:val="Para1"/>
        <w:numPr>
          <w:ilvl w:val="0"/>
          <w:numId w:val="29"/>
        </w:numPr>
        <w:tabs>
          <w:tab w:val="clear" w:pos="360"/>
        </w:tabs>
        <w:ind w:firstLine="567"/>
        <w:rPr>
          <w:kern w:val="22"/>
          <w:lang w:val="fr-CA"/>
        </w:rPr>
      </w:pPr>
      <w:r w:rsidRPr="00443F2E">
        <w:rPr>
          <w:kern w:val="22"/>
          <w:lang w:val="fr-CA"/>
        </w:rPr>
        <w:t xml:space="preserve">Se réjouir du rôle de soutien du Comité, exécuté conformément à la décision BS-V/1, en tant que contribution au progrès déclaré </w:t>
      </w:r>
      <w:r w:rsidR="00E41760">
        <w:rPr>
          <w:kern w:val="22"/>
          <w:lang w:val="fr-CA"/>
        </w:rPr>
        <w:t>dans</w:t>
      </w:r>
      <w:r w:rsidRPr="00443F2E">
        <w:rPr>
          <w:kern w:val="22"/>
          <w:lang w:val="fr-CA"/>
        </w:rPr>
        <w:t xml:space="preserve"> la réalisation de l’objectif opérationnel 3.1 sur le respect des dispositions</w:t>
      </w:r>
      <w:r w:rsidR="00F920AC" w:rsidRPr="00443F2E">
        <w:rPr>
          <w:kern w:val="22"/>
          <w:lang w:val="fr-CA"/>
        </w:rPr>
        <w:t>;</w:t>
      </w:r>
    </w:p>
    <w:p w14:paraId="6CA2B9D8" w14:textId="22ABA71F" w:rsidR="00635AB3" w:rsidRPr="00443F2E" w:rsidRDefault="00F60719" w:rsidP="00FF084B">
      <w:pPr>
        <w:pStyle w:val="Para1"/>
        <w:numPr>
          <w:ilvl w:val="0"/>
          <w:numId w:val="29"/>
        </w:numPr>
        <w:tabs>
          <w:tab w:val="clear" w:pos="360"/>
        </w:tabs>
        <w:ind w:firstLine="567"/>
        <w:rPr>
          <w:kern w:val="22"/>
          <w:lang w:val="fr-CA"/>
        </w:rPr>
      </w:pPr>
      <w:r w:rsidRPr="00443F2E">
        <w:rPr>
          <w:kern w:val="22"/>
          <w:lang w:val="fr-CA"/>
        </w:rPr>
        <w:t xml:space="preserve">Demander au Secrétariat de continuer à assurer le suivi auprès des Parties qui n’ont pas encore respecté leurs obligations </w:t>
      </w:r>
      <w:r w:rsidR="00CD2CA1">
        <w:rPr>
          <w:kern w:val="22"/>
          <w:lang w:val="fr-CA"/>
        </w:rPr>
        <w:t>au titre du Protocole, selon qu’</w:t>
      </w:r>
      <w:r w:rsidRPr="00443F2E">
        <w:rPr>
          <w:kern w:val="22"/>
          <w:lang w:val="fr-CA"/>
        </w:rPr>
        <w:t xml:space="preserve">il convient et conformément aux </w:t>
      </w:r>
      <w:r w:rsidR="00CD2CA1">
        <w:rPr>
          <w:kern w:val="22"/>
          <w:lang w:val="fr-CA"/>
        </w:rPr>
        <w:t>orientations</w:t>
      </w:r>
      <w:r w:rsidRPr="00443F2E">
        <w:rPr>
          <w:kern w:val="22"/>
          <w:lang w:val="fr-CA"/>
        </w:rPr>
        <w:t xml:space="preserve"> du Comité, et demander aux Parties leur entière collaboration à cet égard</w:t>
      </w:r>
      <w:r w:rsidR="00635AB3" w:rsidRPr="00443F2E">
        <w:rPr>
          <w:kern w:val="22"/>
          <w:lang w:val="fr-CA"/>
        </w:rPr>
        <w:t>;</w:t>
      </w:r>
    </w:p>
    <w:p w14:paraId="601C002F" w14:textId="40C16105" w:rsidR="00635AB3" w:rsidRPr="00443F2E" w:rsidRDefault="00F60719" w:rsidP="00C512F1">
      <w:pPr>
        <w:pStyle w:val="Para1"/>
        <w:numPr>
          <w:ilvl w:val="0"/>
          <w:numId w:val="29"/>
        </w:numPr>
        <w:tabs>
          <w:tab w:val="clear" w:pos="360"/>
        </w:tabs>
        <w:ind w:firstLine="567"/>
        <w:rPr>
          <w:kern w:val="22"/>
          <w:lang w:val="fr-CA"/>
        </w:rPr>
      </w:pPr>
      <w:r w:rsidRPr="00443F2E">
        <w:rPr>
          <w:kern w:val="22"/>
          <w:lang w:val="fr-CA"/>
        </w:rPr>
        <w:lastRenderedPageBreak/>
        <w:t xml:space="preserve">Accueillir la contribution du Comité au quatrième exercice d’évaluation et examen du Protocole et l’évaluation finale du Plan stratégique pour le Protocole de Cartagena, et demander au Comité de </w:t>
      </w:r>
      <w:r w:rsidR="00CD2CA1">
        <w:rPr>
          <w:kern w:val="22"/>
          <w:lang w:val="fr-CA"/>
        </w:rPr>
        <w:t>poursuivre sa contribution</w:t>
      </w:r>
      <w:r w:rsidRPr="00443F2E">
        <w:rPr>
          <w:kern w:val="22"/>
          <w:lang w:val="fr-CA"/>
        </w:rPr>
        <w:t xml:space="preserve"> au cinquième exercice d’évaluation et examen du suivi </w:t>
      </w:r>
      <w:proofErr w:type="gramStart"/>
      <w:r w:rsidRPr="00443F2E">
        <w:rPr>
          <w:kern w:val="22"/>
          <w:lang w:val="fr-CA"/>
        </w:rPr>
        <w:t>au</w:t>
      </w:r>
      <w:proofErr w:type="gramEnd"/>
      <w:r w:rsidRPr="00443F2E">
        <w:rPr>
          <w:kern w:val="22"/>
          <w:lang w:val="fr-CA"/>
        </w:rPr>
        <w:t xml:space="preserve"> Plan stratégique pour le Protocole de Cartagena, selon qu’il convient</w:t>
      </w:r>
      <w:r w:rsidR="00532EC0" w:rsidRPr="00443F2E">
        <w:rPr>
          <w:kern w:val="22"/>
          <w:lang w:val="fr-CA"/>
        </w:rPr>
        <w:t>;</w:t>
      </w:r>
    </w:p>
    <w:p w14:paraId="7D43C404" w14:textId="6EE99DC5" w:rsidR="0006055A" w:rsidRPr="00443F2E" w:rsidRDefault="00C512F1" w:rsidP="00F5491E">
      <w:pPr>
        <w:pStyle w:val="Para1"/>
        <w:numPr>
          <w:ilvl w:val="0"/>
          <w:numId w:val="0"/>
        </w:numPr>
        <w:jc w:val="center"/>
        <w:outlineLvl w:val="1"/>
        <w:rPr>
          <w:b/>
          <w:kern w:val="22"/>
          <w:szCs w:val="22"/>
          <w:lang w:val="fr-CA"/>
        </w:rPr>
      </w:pPr>
      <w:r w:rsidRPr="00443F2E">
        <w:rPr>
          <w:b/>
          <w:kern w:val="22"/>
          <w:szCs w:val="22"/>
          <w:lang w:val="fr-CA"/>
        </w:rPr>
        <w:t>D</w:t>
      </w:r>
      <w:r w:rsidR="002766CD" w:rsidRPr="00443F2E">
        <w:rPr>
          <w:b/>
          <w:kern w:val="22"/>
          <w:szCs w:val="22"/>
          <w:lang w:val="fr-CA"/>
        </w:rPr>
        <w:t>.</w:t>
      </w:r>
      <w:r w:rsidR="00E57760" w:rsidRPr="00443F2E">
        <w:rPr>
          <w:b/>
          <w:kern w:val="22"/>
          <w:szCs w:val="22"/>
          <w:lang w:val="fr-CA"/>
        </w:rPr>
        <w:tab/>
      </w:r>
      <w:r w:rsidR="00F60719" w:rsidRPr="00443F2E">
        <w:rPr>
          <w:b/>
          <w:kern w:val="22"/>
          <w:szCs w:val="22"/>
          <w:lang w:val="fr-CA"/>
        </w:rPr>
        <w:t>Questions relatives au mécanisme de financement et aux ressources</w:t>
      </w:r>
    </w:p>
    <w:p w14:paraId="4D08C2AD" w14:textId="73762E2E" w:rsidR="00222BB2" w:rsidRPr="00443F2E" w:rsidRDefault="00D23F41" w:rsidP="00222BB2">
      <w:pPr>
        <w:pStyle w:val="Para1"/>
        <w:numPr>
          <w:ilvl w:val="0"/>
          <w:numId w:val="29"/>
        </w:numPr>
        <w:tabs>
          <w:tab w:val="clear" w:pos="360"/>
        </w:tabs>
        <w:ind w:firstLine="567"/>
        <w:rPr>
          <w:kern w:val="22"/>
          <w:szCs w:val="22"/>
          <w:lang w:val="fr-CA"/>
        </w:rPr>
      </w:pPr>
      <w:bookmarkStart w:id="2" w:name="_Hlk34743170"/>
      <w:r w:rsidRPr="00443F2E">
        <w:rPr>
          <w:kern w:val="22"/>
          <w:szCs w:val="22"/>
          <w:lang w:val="fr-CA"/>
        </w:rPr>
        <w:t>Recommander que la Conférence des Parties invite le Fonds pour l’environnement mondial à mettre les ressources financières disponibles en appui aux Parties admissibles pour la préparation et la remise des cinquièmes rapports nationaux</w:t>
      </w:r>
      <w:r w:rsidR="00526091" w:rsidRPr="00443F2E">
        <w:rPr>
          <w:kern w:val="22"/>
          <w:szCs w:val="22"/>
          <w:lang w:val="fr-CA"/>
        </w:rPr>
        <w:t xml:space="preserve"> au moment opportun</w:t>
      </w:r>
      <w:r w:rsidRPr="00443F2E">
        <w:rPr>
          <w:kern w:val="22"/>
          <w:szCs w:val="22"/>
          <w:lang w:val="fr-CA"/>
        </w:rPr>
        <w:t>, lors de l’adoption des orientations au mécanisme de financ</w:t>
      </w:r>
      <w:r w:rsidR="00526091" w:rsidRPr="00443F2E">
        <w:rPr>
          <w:kern w:val="22"/>
          <w:szCs w:val="22"/>
          <w:lang w:val="fr-CA"/>
        </w:rPr>
        <w:t>e</w:t>
      </w:r>
      <w:r w:rsidRPr="00443F2E">
        <w:rPr>
          <w:kern w:val="22"/>
          <w:szCs w:val="22"/>
          <w:lang w:val="fr-CA"/>
        </w:rPr>
        <w:t>ment concernant le soutien à l’application du Protocole</w:t>
      </w:r>
      <w:r w:rsidR="001C3C07" w:rsidRPr="00443F2E">
        <w:rPr>
          <w:kern w:val="22"/>
          <w:szCs w:val="22"/>
          <w:lang w:val="fr-CA"/>
        </w:rPr>
        <w:t>;</w:t>
      </w:r>
      <w:bookmarkEnd w:id="2"/>
    </w:p>
    <w:p w14:paraId="020B2C58" w14:textId="0BFE2F65" w:rsidR="00FF084B" w:rsidRPr="00443F2E" w:rsidRDefault="00526091" w:rsidP="00FF084B">
      <w:pPr>
        <w:pStyle w:val="Para1"/>
        <w:numPr>
          <w:ilvl w:val="0"/>
          <w:numId w:val="29"/>
        </w:numPr>
        <w:tabs>
          <w:tab w:val="clear" w:pos="360"/>
        </w:tabs>
        <w:ind w:firstLine="567"/>
        <w:rPr>
          <w:kern w:val="22"/>
          <w:lang w:val="fr-CA"/>
        </w:rPr>
      </w:pPr>
      <w:r w:rsidRPr="00443F2E">
        <w:rPr>
          <w:kern w:val="22"/>
          <w:lang w:val="fr-CA"/>
        </w:rPr>
        <w:t xml:space="preserve">Recommander que la Conférence des Parties invite le Fonds pour l’environnement mondial à </w:t>
      </w:r>
      <w:r w:rsidR="00E55C89" w:rsidRPr="00443F2E">
        <w:rPr>
          <w:kern w:val="22"/>
          <w:lang w:val="fr-CA"/>
        </w:rPr>
        <w:t>offrir un</w:t>
      </w:r>
      <w:r w:rsidRPr="00443F2E">
        <w:rPr>
          <w:kern w:val="22"/>
          <w:lang w:val="fr-CA"/>
        </w:rPr>
        <w:t xml:space="preserve"> soutien financier aux Parties </w:t>
      </w:r>
      <w:r w:rsidR="00E55C89" w:rsidRPr="00443F2E">
        <w:rPr>
          <w:kern w:val="22"/>
          <w:lang w:val="fr-CA"/>
        </w:rPr>
        <w:t>en appui à</w:t>
      </w:r>
      <w:r w:rsidRPr="00443F2E">
        <w:rPr>
          <w:kern w:val="22"/>
          <w:lang w:val="fr-CA"/>
        </w:rPr>
        <w:t xml:space="preserve"> la mise en œuvre de</w:t>
      </w:r>
      <w:r w:rsidR="00CD2CA1">
        <w:rPr>
          <w:kern w:val="22"/>
          <w:lang w:val="fr-CA"/>
        </w:rPr>
        <w:t>s</w:t>
      </w:r>
      <w:r w:rsidRPr="00443F2E">
        <w:rPr>
          <w:kern w:val="22"/>
          <w:lang w:val="fr-CA"/>
        </w:rPr>
        <w:t xml:space="preserve"> plans d’action pour le respect des dispositions </w:t>
      </w:r>
      <w:r w:rsidR="00CD2CA1">
        <w:rPr>
          <w:kern w:val="22"/>
          <w:lang w:val="fr-CA"/>
        </w:rPr>
        <w:t xml:space="preserve">pour </w:t>
      </w:r>
      <w:r w:rsidR="00E55C89" w:rsidRPr="00443F2E">
        <w:rPr>
          <w:kern w:val="22"/>
          <w:lang w:val="fr-CA"/>
        </w:rPr>
        <w:t>assurer le</w:t>
      </w:r>
      <w:r w:rsidRPr="00443F2E">
        <w:rPr>
          <w:kern w:val="22"/>
          <w:lang w:val="fr-CA"/>
        </w:rPr>
        <w:t xml:space="preserve"> respect du Protocole, </w:t>
      </w:r>
      <w:r w:rsidRPr="00443F2E">
        <w:rPr>
          <w:kern w:val="22"/>
          <w:szCs w:val="22"/>
          <w:lang w:val="fr-CA"/>
        </w:rPr>
        <w:t>lors de l’adoption des orientations au mécanisme de financement concernant le soutien à l’application du Protocole</w:t>
      </w:r>
      <w:r w:rsidR="001C3C07" w:rsidRPr="00443F2E">
        <w:rPr>
          <w:kern w:val="22"/>
          <w:lang w:val="fr-CA"/>
        </w:rPr>
        <w:t>;</w:t>
      </w:r>
      <w:r w:rsidR="00FF084B" w:rsidRPr="00443F2E">
        <w:rPr>
          <w:kern w:val="22"/>
          <w:lang w:val="fr-CA"/>
        </w:rPr>
        <w:t xml:space="preserve"> </w:t>
      </w:r>
    </w:p>
    <w:p w14:paraId="505FA071" w14:textId="42E6F451" w:rsidR="002749E0" w:rsidRPr="00443F2E" w:rsidRDefault="00E55C89" w:rsidP="002749E0">
      <w:pPr>
        <w:pStyle w:val="Para1"/>
        <w:numPr>
          <w:ilvl w:val="0"/>
          <w:numId w:val="29"/>
        </w:numPr>
        <w:tabs>
          <w:tab w:val="clear" w:pos="360"/>
        </w:tabs>
        <w:ind w:firstLine="567"/>
        <w:rPr>
          <w:kern w:val="22"/>
          <w:lang w:val="fr-CA"/>
        </w:rPr>
      </w:pPr>
      <w:r w:rsidRPr="00443F2E">
        <w:rPr>
          <w:kern w:val="22"/>
          <w:lang w:val="fr-CA"/>
        </w:rPr>
        <w:t>Recommander que la Conférence des Parties invite le Fonds pour l’environnement mondial à offrir un soutien financier spécifique aux Parties admissibles, afin de</w:t>
      </w:r>
      <w:r w:rsidR="00673C5E" w:rsidRPr="00443F2E">
        <w:rPr>
          <w:kern w:val="22"/>
          <w:lang w:val="fr-CA"/>
        </w:rPr>
        <w:t xml:space="preserve"> : </w:t>
      </w:r>
      <w:r w:rsidRPr="00443F2E">
        <w:rPr>
          <w:kern w:val="22"/>
          <w:lang w:val="fr-CA"/>
        </w:rPr>
        <w:t>a</w:t>
      </w:r>
      <w:r w:rsidR="00673C5E" w:rsidRPr="00443F2E">
        <w:rPr>
          <w:kern w:val="22"/>
          <w:lang w:val="fr-CA"/>
        </w:rPr>
        <w:t>)</w:t>
      </w:r>
      <w:r w:rsidRPr="00443F2E">
        <w:rPr>
          <w:kern w:val="22"/>
          <w:lang w:val="fr-CA"/>
        </w:rPr>
        <w:t xml:space="preserve"> mettre en place les mesures légales, administratives et autres mesures nécessaires à l’application du Protocole et b) soutenir les Parties admissibles dans la mise </w:t>
      </w:r>
      <w:r w:rsidR="00F30235">
        <w:rPr>
          <w:kern w:val="22"/>
          <w:lang w:val="fr-CA"/>
        </w:rPr>
        <w:t>en</w:t>
      </w:r>
      <w:r w:rsidRPr="00443F2E">
        <w:rPr>
          <w:kern w:val="22"/>
          <w:lang w:val="fr-CA"/>
        </w:rPr>
        <w:t xml:space="preserve"> œuvre des plans de respect des dispositions du Protocole, </w:t>
      </w:r>
      <w:r w:rsidRPr="00443F2E">
        <w:rPr>
          <w:kern w:val="22"/>
          <w:szCs w:val="22"/>
          <w:lang w:val="fr-CA"/>
        </w:rPr>
        <w:t>lors de l’adoption des orientations au mécanisme de financement concernant le soutien à l’application du Protocole</w:t>
      </w:r>
      <w:r w:rsidR="00B46773" w:rsidRPr="00443F2E">
        <w:rPr>
          <w:kern w:val="22"/>
          <w:lang w:val="fr-CA"/>
        </w:rPr>
        <w:t>.</w:t>
      </w:r>
    </w:p>
    <w:p w14:paraId="00161E26" w14:textId="184C509F" w:rsidR="00B3369F" w:rsidRPr="00FD311D" w:rsidRDefault="00C22A80" w:rsidP="00087D95">
      <w:pPr>
        <w:jc w:val="center"/>
        <w:rPr>
          <w:kern w:val="22"/>
          <w:lang w:val="fr-CA"/>
        </w:rPr>
      </w:pPr>
      <w:r w:rsidRPr="00FD311D">
        <w:rPr>
          <w:kern w:val="22"/>
          <w:lang w:val="fr-CA"/>
        </w:rPr>
        <w:t>__________</w:t>
      </w:r>
    </w:p>
    <w:sectPr w:rsidR="00B3369F" w:rsidRPr="00FD311D" w:rsidSect="005757EB">
      <w:headerReference w:type="even" r:id="rId23"/>
      <w:headerReference w:type="default" r:id="rId24"/>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813D" w14:textId="77777777" w:rsidR="005650DB" w:rsidRDefault="005650DB" w:rsidP="00CF1848">
      <w:r>
        <w:separator/>
      </w:r>
    </w:p>
  </w:endnote>
  <w:endnote w:type="continuationSeparator" w:id="0">
    <w:p w14:paraId="10815A5B" w14:textId="77777777" w:rsidR="005650DB" w:rsidRDefault="005650DB" w:rsidP="00CF1848">
      <w:r>
        <w:continuationSeparator/>
      </w:r>
    </w:p>
  </w:endnote>
  <w:endnote w:type="continuationNotice" w:id="1">
    <w:p w14:paraId="76E2C82A" w14:textId="77777777" w:rsidR="005650DB" w:rsidRDefault="00565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7880" w14:textId="77777777" w:rsidR="0012502D" w:rsidRPr="00693712" w:rsidRDefault="0012502D" w:rsidP="00D7122E">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8235" w14:textId="77777777" w:rsidR="0012502D" w:rsidRDefault="0012502D" w:rsidP="00D7122E">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40C5" w14:textId="77777777" w:rsidR="0012502D" w:rsidRDefault="0012502D" w:rsidP="00D7122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9690" w14:textId="77777777" w:rsidR="005650DB" w:rsidRDefault="005650DB" w:rsidP="00CF1848">
      <w:r>
        <w:separator/>
      </w:r>
    </w:p>
  </w:footnote>
  <w:footnote w:type="continuationSeparator" w:id="0">
    <w:p w14:paraId="61282586" w14:textId="77777777" w:rsidR="005650DB" w:rsidRDefault="005650DB" w:rsidP="00CF1848">
      <w:r>
        <w:continuationSeparator/>
      </w:r>
    </w:p>
  </w:footnote>
  <w:footnote w:type="continuationNotice" w:id="1">
    <w:p w14:paraId="62076E8E" w14:textId="77777777" w:rsidR="005650DB" w:rsidRDefault="005650DB"/>
  </w:footnote>
  <w:footnote w:id="2">
    <w:p w14:paraId="581E0A50" w14:textId="685232A3" w:rsidR="0012502D" w:rsidRPr="00795461" w:rsidRDefault="0012502D" w:rsidP="00F5491E">
      <w:pPr>
        <w:pStyle w:val="FootnoteText"/>
        <w:suppressLineNumbers/>
        <w:suppressAutoHyphens/>
        <w:ind w:firstLine="0"/>
        <w:jc w:val="left"/>
        <w:rPr>
          <w:szCs w:val="18"/>
          <w:lang w:val="fr-CA"/>
        </w:rPr>
      </w:pPr>
      <w:r w:rsidRPr="00795461">
        <w:rPr>
          <w:rStyle w:val="FootnoteReference"/>
          <w:sz w:val="18"/>
          <w:szCs w:val="18"/>
          <w:lang w:val="fr-CA"/>
        </w:rPr>
        <w:t>*</w:t>
      </w:r>
      <w:r w:rsidRPr="00795461">
        <w:rPr>
          <w:szCs w:val="18"/>
          <w:lang w:val="fr-CA"/>
        </w:rPr>
        <w:t xml:space="preserve"> CBD/CP/MOP/10/1/Rev.1.</w:t>
      </w:r>
    </w:p>
  </w:footnote>
  <w:footnote w:id="3">
    <w:p w14:paraId="76C8677A" w14:textId="51E025A4" w:rsidR="0012502D" w:rsidRPr="00991F84" w:rsidRDefault="0012502D" w:rsidP="00F5491E">
      <w:pPr>
        <w:pStyle w:val="FootnoteText"/>
        <w:suppressLineNumbers/>
        <w:suppressAutoHyphens/>
        <w:ind w:firstLine="0"/>
        <w:jc w:val="left"/>
        <w:rPr>
          <w:kern w:val="18"/>
          <w:szCs w:val="18"/>
          <w:lang w:val="fr-CA"/>
        </w:rPr>
      </w:pPr>
      <w:r w:rsidRPr="00E543B7">
        <w:rPr>
          <w:rStyle w:val="FootnoteReference"/>
          <w:kern w:val="18"/>
          <w:sz w:val="18"/>
          <w:szCs w:val="18"/>
        </w:rPr>
        <w:footnoteRef/>
      </w:r>
      <w:r w:rsidRPr="00991F84">
        <w:rPr>
          <w:kern w:val="18"/>
          <w:szCs w:val="18"/>
          <w:lang w:val="fr-CA"/>
        </w:rPr>
        <w:t xml:space="preserve"> </w:t>
      </w:r>
      <w:r>
        <w:rPr>
          <w:kern w:val="18"/>
          <w:szCs w:val="18"/>
          <w:lang w:val="fr-CA"/>
        </w:rPr>
        <w:t>Les recommandations peuvent avoir été proposées aux différents points de l’ordre du jour au titre desquels elles conviennent le mieux, conformément à la pratique adoptée lors de réunions précédentes de la Conférence des Parties siégeant en tant que réunion des Parties au Protocole</w:t>
      </w:r>
      <w:proofErr w:type="gramStart"/>
      <w:r>
        <w:rPr>
          <w:kern w:val="18"/>
          <w:szCs w:val="18"/>
          <w:lang w:val="fr-CA"/>
        </w:rPr>
        <w:t xml:space="preserve">, </w:t>
      </w:r>
      <w:r w:rsidRPr="00991F84">
        <w:rPr>
          <w:kern w:val="18"/>
          <w:szCs w:val="18"/>
          <w:lang w:val="fr-CA"/>
        </w:rPr>
        <w:t>.</w:t>
      </w:r>
      <w:proofErr w:type="gramEnd"/>
    </w:p>
  </w:footnote>
  <w:footnote w:id="4">
    <w:p w14:paraId="7EA84388" w14:textId="7461F4E5" w:rsidR="0012502D" w:rsidRPr="00991F84" w:rsidRDefault="0012502D" w:rsidP="003A0D04">
      <w:pPr>
        <w:pStyle w:val="FootnoteText"/>
        <w:suppressLineNumbers/>
        <w:suppressAutoHyphens/>
        <w:ind w:firstLine="0"/>
        <w:jc w:val="left"/>
        <w:rPr>
          <w:kern w:val="18"/>
          <w:lang w:val="fr-CA"/>
        </w:rPr>
      </w:pPr>
      <w:r w:rsidRPr="00991F84">
        <w:rPr>
          <w:rStyle w:val="FootnoteReference"/>
          <w:rFonts w:eastAsiaTheme="majorEastAsia"/>
          <w:kern w:val="18"/>
          <w:sz w:val="18"/>
          <w:szCs w:val="18"/>
          <w:lang w:val="fr-CA"/>
        </w:rPr>
        <w:footnoteRef/>
      </w:r>
      <w:r w:rsidRPr="00991F84">
        <w:rPr>
          <w:kern w:val="18"/>
          <w:lang w:val="fr-CA"/>
        </w:rPr>
        <w:t xml:space="preserve"> </w:t>
      </w:r>
      <w:r>
        <w:rPr>
          <w:kern w:val="18"/>
          <w:lang w:val="fr-CA"/>
        </w:rPr>
        <w:t>Barbade, Kirghizistan, Maroc et Oman</w:t>
      </w:r>
      <w:r w:rsidRPr="00991F84">
        <w:rPr>
          <w:kern w:val="18"/>
          <w:lang w:val="fr-CA"/>
        </w:rPr>
        <w:t>.</w:t>
      </w:r>
    </w:p>
  </w:footnote>
  <w:footnote w:id="5">
    <w:p w14:paraId="50861DF5" w14:textId="22428FA7" w:rsidR="0012502D" w:rsidRPr="00991F84" w:rsidRDefault="0012502D" w:rsidP="00F5491E">
      <w:pPr>
        <w:pStyle w:val="FootnoteText"/>
        <w:suppressLineNumbers/>
        <w:suppressAutoHyphens/>
        <w:ind w:firstLine="0"/>
        <w:jc w:val="left"/>
        <w:rPr>
          <w:kern w:val="18"/>
          <w:szCs w:val="18"/>
          <w:lang w:val="fr-CA"/>
        </w:rPr>
      </w:pPr>
      <w:r w:rsidRPr="00991F84">
        <w:rPr>
          <w:rStyle w:val="FootnoteReference"/>
          <w:rFonts w:eastAsiaTheme="majorEastAsia"/>
          <w:snapToGrid w:val="0"/>
          <w:kern w:val="18"/>
          <w:sz w:val="18"/>
          <w:szCs w:val="18"/>
          <w:lang w:val="fr-CA"/>
        </w:rPr>
        <w:footnoteRef/>
      </w:r>
      <w:r w:rsidRPr="00991F84">
        <w:rPr>
          <w:kern w:val="18"/>
          <w:szCs w:val="18"/>
          <w:lang w:val="fr-CA"/>
        </w:rPr>
        <w:t xml:space="preserve"> </w:t>
      </w:r>
      <w:r>
        <w:rPr>
          <w:kern w:val="18"/>
          <w:szCs w:val="18"/>
          <w:lang w:val="fr-CA"/>
        </w:rPr>
        <w:t>Chiffr</w:t>
      </w:r>
      <w:r w:rsidR="00E50070">
        <w:rPr>
          <w:kern w:val="18"/>
          <w:szCs w:val="18"/>
          <w:lang w:val="fr-CA"/>
        </w:rPr>
        <w:t>e à actualiser selon le nombre d</w:t>
      </w:r>
      <w:r>
        <w:rPr>
          <w:kern w:val="18"/>
          <w:szCs w:val="18"/>
          <w:lang w:val="fr-CA"/>
        </w:rPr>
        <w:t>e rapports reçu au moment de la partie II de la dixième réunion de la Conférence des Parties siégeant en tant que réunion des Parties au Protocole de Cartagena</w:t>
      </w:r>
      <w:r w:rsidRPr="00991F84">
        <w:rPr>
          <w:kern w:val="18"/>
          <w:szCs w:val="18"/>
          <w:lang w:val="fr-CA"/>
        </w:rPr>
        <w:t>.</w:t>
      </w:r>
    </w:p>
  </w:footnote>
  <w:footnote w:id="6">
    <w:p w14:paraId="44381ABE" w14:textId="6AA8A459" w:rsidR="0012502D" w:rsidRPr="00AC7878" w:rsidRDefault="0012502D" w:rsidP="00F5491E">
      <w:pPr>
        <w:pStyle w:val="FootnoteText"/>
        <w:suppressLineNumbers/>
        <w:suppressAutoHyphens/>
        <w:ind w:firstLine="0"/>
        <w:jc w:val="left"/>
        <w:rPr>
          <w:kern w:val="18"/>
          <w:szCs w:val="18"/>
          <w:lang w:val="fr-CA"/>
        </w:rPr>
      </w:pPr>
      <w:r w:rsidRPr="00F5491E">
        <w:rPr>
          <w:rStyle w:val="FootnoteReference"/>
          <w:rFonts w:eastAsiaTheme="majorEastAsia"/>
          <w:snapToGrid w:val="0"/>
          <w:kern w:val="18"/>
          <w:sz w:val="18"/>
          <w:szCs w:val="18"/>
        </w:rPr>
        <w:footnoteRef/>
      </w:r>
      <w:r w:rsidRPr="00AC7878">
        <w:rPr>
          <w:kern w:val="18"/>
          <w:szCs w:val="18"/>
          <w:lang w:val="fr-CA"/>
        </w:rPr>
        <w:t xml:space="preserve"> Afghanistan, Albani</w:t>
      </w:r>
      <w:r>
        <w:rPr>
          <w:kern w:val="18"/>
          <w:szCs w:val="18"/>
          <w:lang w:val="fr-CA"/>
        </w:rPr>
        <w:t>e</w:t>
      </w:r>
      <w:r w:rsidRPr="00AC7878">
        <w:rPr>
          <w:kern w:val="18"/>
          <w:szCs w:val="18"/>
          <w:lang w:val="fr-CA"/>
        </w:rPr>
        <w:t xml:space="preserve">, Angola, </w:t>
      </w:r>
      <w:r>
        <w:rPr>
          <w:kern w:val="18"/>
          <w:szCs w:val="18"/>
          <w:lang w:val="fr-CA"/>
        </w:rPr>
        <w:t xml:space="preserve">Arabie saoudite, </w:t>
      </w:r>
      <w:r w:rsidRPr="00AC7878">
        <w:rPr>
          <w:kern w:val="18"/>
          <w:szCs w:val="18"/>
          <w:lang w:val="fr-CA"/>
        </w:rPr>
        <w:t>Azerba</w:t>
      </w:r>
      <w:r>
        <w:rPr>
          <w:kern w:val="18"/>
          <w:szCs w:val="18"/>
          <w:lang w:val="fr-CA"/>
        </w:rPr>
        <w:t>ïd</w:t>
      </w:r>
      <w:r w:rsidRPr="00AC7878">
        <w:rPr>
          <w:kern w:val="18"/>
          <w:szCs w:val="18"/>
          <w:lang w:val="fr-CA"/>
        </w:rPr>
        <w:t xml:space="preserve">jan, </w:t>
      </w:r>
      <w:r>
        <w:rPr>
          <w:kern w:val="18"/>
          <w:szCs w:val="18"/>
          <w:lang w:val="fr-CA"/>
        </w:rPr>
        <w:t>Bahreïn, Belize, Bolivie</w:t>
      </w:r>
      <w:r w:rsidRPr="00AC7878">
        <w:rPr>
          <w:kern w:val="18"/>
          <w:szCs w:val="18"/>
          <w:lang w:val="fr-CA"/>
        </w:rPr>
        <w:t>, Cabo Verde, Comor</w:t>
      </w:r>
      <w:r>
        <w:rPr>
          <w:kern w:val="18"/>
          <w:szCs w:val="18"/>
          <w:lang w:val="fr-CA"/>
        </w:rPr>
        <w:t>es</w:t>
      </w:r>
      <w:r w:rsidRPr="00AC7878">
        <w:rPr>
          <w:kern w:val="18"/>
          <w:szCs w:val="18"/>
          <w:lang w:val="fr-CA"/>
        </w:rPr>
        <w:t xml:space="preserve">, Djibouti, </w:t>
      </w:r>
      <w:r>
        <w:rPr>
          <w:kern w:val="18"/>
          <w:szCs w:val="18"/>
          <w:lang w:val="fr-CA"/>
        </w:rPr>
        <w:t>Dominique</w:t>
      </w:r>
      <w:r w:rsidRPr="00AC7878">
        <w:rPr>
          <w:kern w:val="18"/>
          <w:szCs w:val="18"/>
          <w:lang w:val="fr-CA"/>
        </w:rPr>
        <w:t>, Fi</w:t>
      </w:r>
      <w:r>
        <w:rPr>
          <w:kern w:val="18"/>
          <w:szCs w:val="18"/>
          <w:lang w:val="fr-CA"/>
        </w:rPr>
        <w:t>d</w:t>
      </w:r>
      <w:r w:rsidRPr="00AC7878">
        <w:rPr>
          <w:kern w:val="18"/>
          <w:szCs w:val="18"/>
          <w:lang w:val="fr-CA"/>
        </w:rPr>
        <w:t>ji, Gambi</w:t>
      </w:r>
      <w:r>
        <w:rPr>
          <w:kern w:val="18"/>
          <w:szCs w:val="18"/>
          <w:lang w:val="fr-CA"/>
        </w:rPr>
        <w:t>e, Guinée</w:t>
      </w:r>
      <w:r w:rsidRPr="00AC7878">
        <w:rPr>
          <w:kern w:val="18"/>
          <w:szCs w:val="18"/>
          <w:lang w:val="fr-CA"/>
        </w:rPr>
        <w:t xml:space="preserve">, Honduras, </w:t>
      </w:r>
      <w:r>
        <w:rPr>
          <w:kern w:val="18"/>
          <w:szCs w:val="18"/>
          <w:lang w:val="fr-CA"/>
        </w:rPr>
        <w:t xml:space="preserve">Îles Marshall, </w:t>
      </w:r>
      <w:r w:rsidRPr="00AC7878">
        <w:rPr>
          <w:kern w:val="18"/>
          <w:szCs w:val="18"/>
          <w:lang w:val="fr-CA"/>
        </w:rPr>
        <w:t>Jordan</w:t>
      </w:r>
      <w:r>
        <w:rPr>
          <w:kern w:val="18"/>
          <w:szCs w:val="18"/>
          <w:lang w:val="fr-CA"/>
        </w:rPr>
        <w:t>ie</w:t>
      </w:r>
      <w:r w:rsidRPr="00AC7878">
        <w:rPr>
          <w:kern w:val="18"/>
          <w:szCs w:val="18"/>
          <w:lang w:val="fr-CA"/>
        </w:rPr>
        <w:t>, K</w:t>
      </w:r>
      <w:r>
        <w:rPr>
          <w:kern w:val="18"/>
          <w:szCs w:val="18"/>
          <w:lang w:val="fr-CA"/>
        </w:rPr>
        <w:t>irghizistan</w:t>
      </w:r>
      <w:r w:rsidRPr="00AC7878">
        <w:rPr>
          <w:kern w:val="18"/>
          <w:szCs w:val="18"/>
          <w:lang w:val="fr-CA"/>
        </w:rPr>
        <w:t xml:space="preserve">, </w:t>
      </w:r>
      <w:r>
        <w:rPr>
          <w:kern w:val="18"/>
          <w:szCs w:val="18"/>
          <w:lang w:val="fr-CA"/>
        </w:rPr>
        <w:t>Kiribati, Liban</w:t>
      </w:r>
      <w:r w:rsidRPr="00AC7878">
        <w:rPr>
          <w:kern w:val="18"/>
          <w:szCs w:val="18"/>
          <w:lang w:val="fr-CA"/>
        </w:rPr>
        <w:t>, Liby</w:t>
      </w:r>
      <w:r>
        <w:rPr>
          <w:kern w:val="18"/>
          <w:szCs w:val="18"/>
          <w:lang w:val="fr-CA"/>
        </w:rPr>
        <w:t>e</w:t>
      </w:r>
      <w:r w:rsidRPr="00AC7878">
        <w:rPr>
          <w:kern w:val="18"/>
          <w:szCs w:val="18"/>
          <w:lang w:val="fr-CA"/>
        </w:rPr>
        <w:t xml:space="preserve">, Maldives, </w:t>
      </w:r>
      <w:r>
        <w:rPr>
          <w:kern w:val="18"/>
          <w:szCs w:val="18"/>
          <w:lang w:val="fr-CA"/>
        </w:rPr>
        <w:t xml:space="preserve">Maurice, </w:t>
      </w:r>
      <w:r w:rsidRPr="00AC7878">
        <w:rPr>
          <w:kern w:val="18"/>
          <w:szCs w:val="18"/>
          <w:lang w:val="fr-CA"/>
        </w:rPr>
        <w:t>M</w:t>
      </w:r>
      <w:r>
        <w:rPr>
          <w:kern w:val="18"/>
          <w:szCs w:val="18"/>
          <w:lang w:val="fr-CA"/>
        </w:rPr>
        <w:t>auritanie</w:t>
      </w:r>
      <w:r w:rsidRPr="00AC7878">
        <w:rPr>
          <w:kern w:val="18"/>
          <w:szCs w:val="18"/>
          <w:lang w:val="fr-CA"/>
        </w:rPr>
        <w:t xml:space="preserve">, </w:t>
      </w:r>
      <w:r>
        <w:rPr>
          <w:kern w:val="18"/>
          <w:szCs w:val="18"/>
          <w:lang w:val="fr-CA"/>
        </w:rPr>
        <w:t>Mongolie</w:t>
      </w:r>
      <w:r w:rsidRPr="00AC7878">
        <w:rPr>
          <w:kern w:val="18"/>
          <w:szCs w:val="18"/>
          <w:lang w:val="fr-CA"/>
        </w:rPr>
        <w:t xml:space="preserve">, Nauru, </w:t>
      </w:r>
      <w:r>
        <w:rPr>
          <w:kern w:val="18"/>
          <w:szCs w:val="18"/>
          <w:lang w:val="fr-CA"/>
        </w:rPr>
        <w:t>Nioué</w:t>
      </w:r>
      <w:r w:rsidRPr="00AC7878">
        <w:rPr>
          <w:kern w:val="18"/>
          <w:szCs w:val="18"/>
          <w:lang w:val="fr-CA"/>
        </w:rPr>
        <w:t xml:space="preserve">, Palau, </w:t>
      </w:r>
      <w:r>
        <w:rPr>
          <w:kern w:val="18"/>
          <w:szCs w:val="18"/>
          <w:lang w:val="fr-CA"/>
        </w:rPr>
        <w:t>Papouasie-Nouvelle-Guinée</w:t>
      </w:r>
      <w:r w:rsidRPr="00AC7878">
        <w:rPr>
          <w:kern w:val="18"/>
          <w:szCs w:val="18"/>
          <w:lang w:val="fr-CA"/>
        </w:rPr>
        <w:t xml:space="preserve">, Qatar, </w:t>
      </w:r>
      <w:r>
        <w:rPr>
          <w:kern w:val="18"/>
          <w:szCs w:val="18"/>
          <w:lang w:val="fr-CA"/>
        </w:rPr>
        <w:t>République arabe syrienne, République populaire démocratique de Corée, Saint-</w:t>
      </w:r>
      <w:r w:rsidRPr="00AC7878">
        <w:rPr>
          <w:kern w:val="18"/>
          <w:szCs w:val="18"/>
          <w:lang w:val="fr-CA"/>
        </w:rPr>
        <w:t>Vincent</w:t>
      </w:r>
      <w:r>
        <w:rPr>
          <w:kern w:val="18"/>
          <w:szCs w:val="18"/>
          <w:lang w:val="fr-CA"/>
        </w:rPr>
        <w:t>-et-les-</w:t>
      </w:r>
      <w:r w:rsidRPr="00AC7878">
        <w:rPr>
          <w:kern w:val="18"/>
          <w:szCs w:val="18"/>
          <w:lang w:val="fr-CA"/>
        </w:rPr>
        <w:t>Grenadines, Samoa, Serbi</w:t>
      </w:r>
      <w:r>
        <w:rPr>
          <w:kern w:val="18"/>
          <w:szCs w:val="18"/>
          <w:lang w:val="fr-CA"/>
        </w:rPr>
        <w:t>e</w:t>
      </w:r>
      <w:r w:rsidRPr="00AC7878">
        <w:rPr>
          <w:kern w:val="18"/>
          <w:szCs w:val="18"/>
          <w:lang w:val="fr-CA"/>
        </w:rPr>
        <w:t>, Seychelles, Somali</w:t>
      </w:r>
      <w:r>
        <w:rPr>
          <w:kern w:val="18"/>
          <w:szCs w:val="18"/>
          <w:lang w:val="fr-CA"/>
        </w:rPr>
        <w:t>e</w:t>
      </w:r>
      <w:r w:rsidRPr="00AC7878">
        <w:rPr>
          <w:kern w:val="18"/>
          <w:szCs w:val="18"/>
          <w:lang w:val="fr-CA"/>
        </w:rPr>
        <w:t>, Sri Lanka, Ta</w:t>
      </w:r>
      <w:r>
        <w:rPr>
          <w:kern w:val="18"/>
          <w:szCs w:val="18"/>
          <w:lang w:val="fr-CA"/>
        </w:rPr>
        <w:t>djikistan</w:t>
      </w:r>
      <w:r w:rsidRPr="00AC7878">
        <w:rPr>
          <w:kern w:val="18"/>
          <w:szCs w:val="18"/>
          <w:lang w:val="fr-CA"/>
        </w:rPr>
        <w:t xml:space="preserve">, Togo, </w:t>
      </w:r>
      <w:r>
        <w:rPr>
          <w:kern w:val="18"/>
          <w:szCs w:val="18"/>
          <w:lang w:val="fr-CA"/>
        </w:rPr>
        <w:t>Trinité-et-Tobago</w:t>
      </w:r>
      <w:r w:rsidRPr="00AC7878">
        <w:rPr>
          <w:kern w:val="18"/>
          <w:szCs w:val="18"/>
          <w:lang w:val="fr-CA"/>
        </w:rPr>
        <w:t>, Tunisi</w:t>
      </w:r>
      <w:r>
        <w:rPr>
          <w:kern w:val="18"/>
          <w:szCs w:val="18"/>
          <w:lang w:val="fr-CA"/>
        </w:rPr>
        <w:t>e, Yémen et</w:t>
      </w:r>
      <w:r w:rsidRPr="00AC7878">
        <w:rPr>
          <w:kern w:val="18"/>
          <w:szCs w:val="18"/>
          <w:lang w:val="fr-CA"/>
        </w:rPr>
        <w:t xml:space="preserve"> Zimbabwe. [</w:t>
      </w:r>
      <w:r>
        <w:rPr>
          <w:kern w:val="18"/>
          <w:szCs w:val="18"/>
          <w:lang w:val="fr-CA"/>
        </w:rPr>
        <w:t>La liste sera mise à jour lors de la partie II de la dixième réunion de la Conférence des Parties siégeant en tant que réunion des Parties au Protocole de Cartagena</w:t>
      </w:r>
      <w:r w:rsidRPr="00AC7878">
        <w:rPr>
          <w:kern w:val="18"/>
          <w:szCs w:val="18"/>
          <w:lang w:val="fr-CA"/>
        </w:rPr>
        <w:t>]</w:t>
      </w:r>
    </w:p>
  </w:footnote>
  <w:footnote w:id="7">
    <w:p w14:paraId="3766C397" w14:textId="40752AA4" w:rsidR="0012502D" w:rsidRPr="00AC7878" w:rsidRDefault="0012502D" w:rsidP="00F5491E">
      <w:pPr>
        <w:pStyle w:val="FootnoteText"/>
        <w:suppressLineNumbers/>
        <w:suppressAutoHyphens/>
        <w:ind w:firstLine="0"/>
        <w:jc w:val="left"/>
        <w:rPr>
          <w:kern w:val="18"/>
          <w:szCs w:val="18"/>
          <w:lang w:val="fr-CA"/>
        </w:rPr>
      </w:pPr>
      <w:r w:rsidRPr="00AC7878">
        <w:rPr>
          <w:rStyle w:val="FootnoteReference"/>
          <w:rFonts w:eastAsiaTheme="majorEastAsia"/>
          <w:snapToGrid w:val="0"/>
          <w:kern w:val="18"/>
          <w:sz w:val="18"/>
          <w:szCs w:val="18"/>
          <w:lang w:val="fr-CA"/>
        </w:rPr>
        <w:footnoteRef/>
      </w:r>
      <w:r w:rsidRPr="00AC7878">
        <w:rPr>
          <w:kern w:val="18"/>
          <w:szCs w:val="18"/>
          <w:lang w:val="fr-CA"/>
        </w:rPr>
        <w:t xml:space="preserve"> </w:t>
      </w:r>
      <w:r>
        <w:rPr>
          <w:kern w:val="18"/>
          <w:szCs w:val="18"/>
          <w:lang w:val="fr-CA"/>
        </w:rPr>
        <w:t>Arabie saoudite, Azerbaïdjan, Belize, Libye, Nauru, Papouasie-Nouvelle-Guinée, Qatar, République arabe syrienne et Seychelles</w:t>
      </w:r>
      <w:r w:rsidRPr="00AC7878">
        <w:rPr>
          <w:kern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118681069"/>
      <w:placeholder>
        <w:docPart w:val="4D7D1B30FC3C4D85AC821BD4587F0C5B"/>
      </w:placeholder>
      <w:dataBinding w:prefixMappings="xmlns:ns0='http://purl.org/dc/elements/1.1/' xmlns:ns1='http://schemas.openxmlformats.org/package/2006/metadata/core-properties' " w:xpath="/ns1:coreProperties[1]/ns0:subject[1]" w:storeItemID="{6C3C8BC8-F283-45AE-878A-BAB7291924A1}"/>
      <w:text/>
    </w:sdtPr>
    <w:sdtEndPr/>
    <w:sdtContent>
      <w:p w14:paraId="23CF2CEA" w14:textId="56EB8BFA" w:rsidR="0012502D" w:rsidRPr="00A45F85" w:rsidRDefault="0012502D" w:rsidP="00D7122E">
        <w:pPr>
          <w:jc w:val="left"/>
          <w:rPr>
            <w:noProof/>
            <w:kern w:val="22"/>
            <w:lang w:val="fr-FR"/>
          </w:rPr>
        </w:pPr>
        <w:r>
          <w:rPr>
            <w:noProof/>
            <w:kern w:val="22"/>
            <w:lang w:val="fr-FR"/>
          </w:rPr>
          <w:t>CBD/CP/MOP/10/2</w:t>
        </w:r>
      </w:p>
    </w:sdtContent>
  </w:sdt>
  <w:p w14:paraId="7804C339" w14:textId="091C63BB" w:rsidR="0012502D" w:rsidRPr="00A45F85" w:rsidRDefault="0012502D" w:rsidP="00F5491E">
    <w:pPr>
      <w:pStyle w:val="Header"/>
      <w:tabs>
        <w:tab w:val="clear" w:pos="4320"/>
        <w:tab w:val="clear" w:pos="8640"/>
      </w:tabs>
      <w:spacing w:after="240"/>
      <w:jc w:val="left"/>
      <w:rPr>
        <w:noProof/>
        <w:kern w:val="22"/>
        <w:lang w:val="fr-FR"/>
      </w:rPr>
    </w:pPr>
    <w:r w:rsidRPr="00A45F85">
      <w:rPr>
        <w:noProof/>
        <w:kern w:val="22"/>
        <w:lang w:val="fr-FR"/>
      </w:rPr>
      <w:t xml:space="preserve">Page </w:t>
    </w:r>
    <w:r w:rsidRPr="00745642">
      <w:rPr>
        <w:noProof/>
        <w:kern w:val="22"/>
      </w:rPr>
      <w:fldChar w:fldCharType="begin"/>
    </w:r>
    <w:r w:rsidRPr="00A45F85">
      <w:rPr>
        <w:noProof/>
        <w:kern w:val="22"/>
        <w:lang w:val="fr-FR"/>
      </w:rPr>
      <w:instrText xml:space="preserve"> PAGE   \* MERGEFORMAT </w:instrText>
    </w:r>
    <w:r w:rsidRPr="00745642">
      <w:rPr>
        <w:noProof/>
        <w:kern w:val="22"/>
      </w:rPr>
      <w:fldChar w:fldCharType="separate"/>
    </w:r>
    <w:r w:rsidR="003F5467">
      <w:rPr>
        <w:noProof/>
        <w:kern w:val="22"/>
        <w:lang w:val="fr-FR"/>
      </w:rPr>
      <w:t>2</w:t>
    </w:r>
    <w:r w:rsidRPr="00745642">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2138364639"/>
      <w:placeholder>
        <w:docPart w:val="5B638A896FDE44C182E6F4C321F292E9"/>
      </w:placeholder>
      <w:dataBinding w:prefixMappings="xmlns:ns0='http://purl.org/dc/elements/1.1/' xmlns:ns1='http://schemas.openxmlformats.org/package/2006/metadata/core-properties' " w:xpath="/ns1:coreProperties[1]/ns0:subject[1]" w:storeItemID="{6C3C8BC8-F283-45AE-878A-BAB7291924A1}"/>
      <w:text/>
    </w:sdtPr>
    <w:sdtEndPr/>
    <w:sdtContent>
      <w:p w14:paraId="61B4537F" w14:textId="5237A5E3" w:rsidR="0012502D" w:rsidRPr="00A45F85" w:rsidRDefault="0012502D" w:rsidP="00D7122E">
        <w:pPr>
          <w:jc w:val="right"/>
          <w:rPr>
            <w:noProof/>
            <w:kern w:val="22"/>
            <w:lang w:val="fr-FR"/>
          </w:rPr>
        </w:pPr>
        <w:r>
          <w:rPr>
            <w:noProof/>
            <w:kern w:val="22"/>
            <w:lang w:val="fr-FR"/>
          </w:rPr>
          <w:t>CBD/CP/MOP/10/2</w:t>
        </w:r>
      </w:p>
    </w:sdtContent>
  </w:sdt>
  <w:p w14:paraId="76EC4646" w14:textId="5C112190" w:rsidR="0012502D" w:rsidRPr="00A45F85" w:rsidRDefault="0012502D" w:rsidP="00F5491E">
    <w:pPr>
      <w:pStyle w:val="Header"/>
      <w:tabs>
        <w:tab w:val="clear" w:pos="4320"/>
        <w:tab w:val="clear" w:pos="8640"/>
      </w:tabs>
      <w:spacing w:after="240"/>
      <w:jc w:val="right"/>
      <w:rPr>
        <w:noProof/>
        <w:kern w:val="22"/>
        <w:lang w:val="fr-FR"/>
      </w:rPr>
    </w:pPr>
    <w:r w:rsidRPr="00A45F85">
      <w:rPr>
        <w:noProof/>
        <w:kern w:val="22"/>
        <w:lang w:val="fr-FR"/>
      </w:rPr>
      <w:t xml:space="preserve">Page </w:t>
    </w:r>
    <w:r w:rsidRPr="00745642">
      <w:rPr>
        <w:noProof/>
        <w:kern w:val="22"/>
      </w:rPr>
      <w:fldChar w:fldCharType="begin"/>
    </w:r>
    <w:r w:rsidRPr="00A45F85">
      <w:rPr>
        <w:noProof/>
        <w:kern w:val="22"/>
        <w:lang w:val="fr-FR"/>
      </w:rPr>
      <w:instrText xml:space="preserve"> PAGE   \* MERGEFORMAT </w:instrText>
    </w:r>
    <w:r w:rsidRPr="00745642">
      <w:rPr>
        <w:noProof/>
        <w:kern w:val="22"/>
      </w:rPr>
      <w:fldChar w:fldCharType="separate"/>
    </w:r>
    <w:r w:rsidR="003F5467">
      <w:rPr>
        <w:noProof/>
        <w:kern w:val="22"/>
        <w:lang w:val="fr-FR"/>
      </w:rPr>
      <w:t>3</w:t>
    </w:r>
    <w:r w:rsidRPr="00745642">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67EA2C5" w14:textId="2F5AE093" w:rsidR="0012502D" w:rsidRPr="00A45F85" w:rsidRDefault="0012502D" w:rsidP="00087D95">
        <w:pPr>
          <w:pStyle w:val="Header"/>
          <w:tabs>
            <w:tab w:val="clear" w:pos="4320"/>
            <w:tab w:val="clear" w:pos="8640"/>
          </w:tabs>
          <w:jc w:val="left"/>
          <w:rPr>
            <w:noProof/>
            <w:lang w:val="fr-FR"/>
          </w:rPr>
        </w:pPr>
        <w:r>
          <w:rPr>
            <w:noProof/>
            <w:lang w:val="fr-FR"/>
          </w:rPr>
          <w:t>CBD/CP/MOP/10/2</w:t>
        </w:r>
      </w:p>
    </w:sdtContent>
  </w:sdt>
  <w:p w14:paraId="670CCEB0" w14:textId="64EE42EF" w:rsidR="0012502D" w:rsidRPr="00A45F85" w:rsidRDefault="0012502D" w:rsidP="00F5491E">
    <w:pPr>
      <w:pStyle w:val="Header"/>
      <w:tabs>
        <w:tab w:val="clear" w:pos="4320"/>
        <w:tab w:val="clear" w:pos="8640"/>
      </w:tabs>
      <w:spacing w:after="240"/>
      <w:jc w:val="left"/>
      <w:rPr>
        <w:noProof/>
        <w:lang w:val="fr-FR"/>
      </w:rPr>
    </w:pPr>
    <w:r w:rsidRPr="00A45F85">
      <w:rPr>
        <w:noProof/>
        <w:lang w:val="fr-FR"/>
      </w:rPr>
      <w:t xml:space="preserve">Page </w:t>
    </w:r>
    <w:r>
      <w:rPr>
        <w:noProof/>
      </w:rPr>
      <w:fldChar w:fldCharType="begin"/>
    </w:r>
    <w:r w:rsidRPr="00A45F85">
      <w:rPr>
        <w:noProof/>
        <w:lang w:val="fr-FR"/>
      </w:rPr>
      <w:instrText xml:space="preserve"> PAGE   \* MERGEFORMAT </w:instrText>
    </w:r>
    <w:r>
      <w:rPr>
        <w:noProof/>
      </w:rPr>
      <w:fldChar w:fldCharType="separate"/>
    </w:r>
    <w:r w:rsidR="000801AA">
      <w:rPr>
        <w:noProof/>
        <w:lang w:val="fr-FR"/>
      </w:rPr>
      <w:t>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ACA6E0A" w14:textId="09F8B82A" w:rsidR="0012502D" w:rsidRPr="00A45F85" w:rsidRDefault="0012502D" w:rsidP="00087D95">
        <w:pPr>
          <w:pStyle w:val="Header"/>
          <w:tabs>
            <w:tab w:val="clear" w:pos="4320"/>
            <w:tab w:val="clear" w:pos="8640"/>
          </w:tabs>
          <w:jc w:val="right"/>
          <w:rPr>
            <w:noProof/>
            <w:lang w:val="fr-FR"/>
          </w:rPr>
        </w:pPr>
        <w:r>
          <w:rPr>
            <w:noProof/>
            <w:lang w:val="fr-FR"/>
          </w:rPr>
          <w:t>CBD/CP/MOP/10/2</w:t>
        </w:r>
      </w:p>
    </w:sdtContent>
  </w:sdt>
  <w:p w14:paraId="22EC65A7" w14:textId="77777777" w:rsidR="0012502D" w:rsidRPr="00A45F85" w:rsidRDefault="0012502D" w:rsidP="00087D95">
    <w:pPr>
      <w:pStyle w:val="Header"/>
      <w:tabs>
        <w:tab w:val="clear" w:pos="4320"/>
        <w:tab w:val="clear" w:pos="8640"/>
      </w:tabs>
      <w:jc w:val="right"/>
      <w:rPr>
        <w:noProof/>
        <w:lang w:val="fr-FR"/>
      </w:rPr>
    </w:pPr>
    <w:r w:rsidRPr="00A45F85">
      <w:rPr>
        <w:noProof/>
        <w:lang w:val="fr-FR"/>
      </w:rPr>
      <w:t xml:space="preserve">Page </w:t>
    </w:r>
    <w:r>
      <w:rPr>
        <w:noProof/>
      </w:rPr>
      <w:fldChar w:fldCharType="begin"/>
    </w:r>
    <w:r w:rsidRPr="00A45F85">
      <w:rPr>
        <w:noProof/>
        <w:lang w:val="fr-FR"/>
      </w:rPr>
      <w:instrText xml:space="preserve"> PAGE   \* MERGEFORMAT </w:instrText>
    </w:r>
    <w:r>
      <w:rPr>
        <w:noProof/>
      </w:rPr>
      <w:fldChar w:fldCharType="separate"/>
    </w:r>
    <w:r w:rsidR="000801AA">
      <w:rPr>
        <w:noProof/>
        <w:lang w:val="fr-FR"/>
      </w:rPr>
      <w:t>5</w:t>
    </w:r>
    <w:r>
      <w:rPr>
        <w:noProof/>
      </w:rPr>
      <w:fldChar w:fldCharType="end"/>
    </w:r>
  </w:p>
  <w:p w14:paraId="62048059" w14:textId="77777777" w:rsidR="0012502D" w:rsidRPr="00A45F85" w:rsidRDefault="0012502D" w:rsidP="00087D95">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4C"/>
    <w:multiLevelType w:val="hybridMultilevel"/>
    <w:tmpl w:val="C5FA9730"/>
    <w:lvl w:ilvl="0" w:tplc="8FE6E5B4">
      <w:start w:val="1"/>
      <w:numFmt w:val="lowerLetter"/>
      <w:lvlText w:val="%1)"/>
      <w:lvlJc w:val="left"/>
      <w:pPr>
        <w:ind w:left="2347" w:hanging="360"/>
      </w:pPr>
      <w:rPr>
        <w:rFonts w:ascii="Times New Roman" w:eastAsia="Times New Roman" w:hAnsi="Times New Roman" w:cs="Times New Roman"/>
        <w:b w:val="0"/>
        <w:i w:val="0"/>
      </w:rPr>
    </w:lvl>
    <w:lvl w:ilvl="1" w:tplc="10090019">
      <w:start w:val="1"/>
      <w:numFmt w:val="lowerLetter"/>
      <w:lvlText w:val="%2."/>
      <w:lvlJc w:val="left"/>
      <w:pPr>
        <w:ind w:left="3067" w:hanging="360"/>
      </w:pPr>
    </w:lvl>
    <w:lvl w:ilvl="2" w:tplc="1009001B" w:tentative="1">
      <w:start w:val="1"/>
      <w:numFmt w:val="lowerRoman"/>
      <w:lvlText w:val="%3."/>
      <w:lvlJc w:val="right"/>
      <w:pPr>
        <w:ind w:left="3787" w:hanging="180"/>
      </w:pPr>
    </w:lvl>
    <w:lvl w:ilvl="3" w:tplc="1009000F" w:tentative="1">
      <w:start w:val="1"/>
      <w:numFmt w:val="decimal"/>
      <w:lvlText w:val="%4."/>
      <w:lvlJc w:val="left"/>
      <w:pPr>
        <w:ind w:left="4507" w:hanging="360"/>
      </w:pPr>
    </w:lvl>
    <w:lvl w:ilvl="4" w:tplc="10090019" w:tentative="1">
      <w:start w:val="1"/>
      <w:numFmt w:val="lowerLetter"/>
      <w:lvlText w:val="%5."/>
      <w:lvlJc w:val="left"/>
      <w:pPr>
        <w:ind w:left="5227" w:hanging="360"/>
      </w:pPr>
    </w:lvl>
    <w:lvl w:ilvl="5" w:tplc="1009001B" w:tentative="1">
      <w:start w:val="1"/>
      <w:numFmt w:val="lowerRoman"/>
      <w:lvlText w:val="%6."/>
      <w:lvlJc w:val="right"/>
      <w:pPr>
        <w:ind w:left="5947" w:hanging="180"/>
      </w:pPr>
    </w:lvl>
    <w:lvl w:ilvl="6" w:tplc="1009000F" w:tentative="1">
      <w:start w:val="1"/>
      <w:numFmt w:val="decimal"/>
      <w:lvlText w:val="%7."/>
      <w:lvlJc w:val="left"/>
      <w:pPr>
        <w:ind w:left="6667" w:hanging="360"/>
      </w:pPr>
    </w:lvl>
    <w:lvl w:ilvl="7" w:tplc="10090019" w:tentative="1">
      <w:start w:val="1"/>
      <w:numFmt w:val="lowerLetter"/>
      <w:lvlText w:val="%8."/>
      <w:lvlJc w:val="left"/>
      <w:pPr>
        <w:ind w:left="7387" w:hanging="360"/>
      </w:pPr>
    </w:lvl>
    <w:lvl w:ilvl="8" w:tplc="1009001B" w:tentative="1">
      <w:start w:val="1"/>
      <w:numFmt w:val="lowerRoman"/>
      <w:lvlText w:val="%9."/>
      <w:lvlJc w:val="right"/>
      <w:pPr>
        <w:ind w:left="8107" w:hanging="180"/>
      </w:pPr>
    </w:lvl>
  </w:abstractNum>
  <w:abstractNum w:abstractNumId="1" w15:restartNumberingAfterBreak="0">
    <w:nsid w:val="045E356B"/>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7DAB"/>
    <w:multiLevelType w:val="hybridMultilevel"/>
    <w:tmpl w:val="430A5A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647C877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SimSu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F2122"/>
    <w:multiLevelType w:val="hybridMultilevel"/>
    <w:tmpl w:val="8C46C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5D1CF2"/>
    <w:multiLevelType w:val="hybridMultilevel"/>
    <w:tmpl w:val="558EA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9"/>
  </w:num>
  <w:num w:numId="5">
    <w:abstractNumId w:val="8"/>
  </w:num>
  <w:num w:numId="6">
    <w:abstractNumId w:val="2"/>
  </w:num>
  <w:num w:numId="7">
    <w:abstractNumId w:val="5"/>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16"/>
  </w:num>
  <w:num w:numId="20">
    <w:abstractNumId w:val="9"/>
  </w:num>
  <w:num w:numId="21">
    <w:abstractNumId w:val="10"/>
  </w:num>
  <w:num w:numId="22">
    <w:abstractNumId w:val="8"/>
  </w:num>
  <w:num w:numId="23">
    <w:abstractNumId w:val="1"/>
  </w:num>
  <w:num w:numId="24">
    <w:abstractNumId w:val="8"/>
  </w:num>
  <w:num w:numId="25">
    <w:abstractNumId w:val="17"/>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0"/>
  </w:num>
  <w:num w:numId="34">
    <w:abstractNumId w:val="8"/>
  </w:num>
  <w:num w:numId="35">
    <w:abstractNumId w:val="9"/>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9"/>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B58"/>
    <w:rsid w:val="000079C0"/>
    <w:rsid w:val="00011218"/>
    <w:rsid w:val="00015ED7"/>
    <w:rsid w:val="000171CA"/>
    <w:rsid w:val="0002173C"/>
    <w:rsid w:val="00031C69"/>
    <w:rsid w:val="00031D3E"/>
    <w:rsid w:val="00035BA6"/>
    <w:rsid w:val="0003705B"/>
    <w:rsid w:val="00037B5E"/>
    <w:rsid w:val="000525A2"/>
    <w:rsid w:val="00053DF6"/>
    <w:rsid w:val="0006055A"/>
    <w:rsid w:val="0006577C"/>
    <w:rsid w:val="000661B4"/>
    <w:rsid w:val="000669BB"/>
    <w:rsid w:val="0007014D"/>
    <w:rsid w:val="000716A5"/>
    <w:rsid w:val="000717C4"/>
    <w:rsid w:val="000801AA"/>
    <w:rsid w:val="00087D95"/>
    <w:rsid w:val="000906E6"/>
    <w:rsid w:val="000907B3"/>
    <w:rsid w:val="000A1CC8"/>
    <w:rsid w:val="000A24FB"/>
    <w:rsid w:val="000A52EE"/>
    <w:rsid w:val="000A5A6F"/>
    <w:rsid w:val="000A5D79"/>
    <w:rsid w:val="000B3E16"/>
    <w:rsid w:val="000B501F"/>
    <w:rsid w:val="000B5C43"/>
    <w:rsid w:val="000C3326"/>
    <w:rsid w:val="000D05CC"/>
    <w:rsid w:val="000D0FE4"/>
    <w:rsid w:val="000D100E"/>
    <w:rsid w:val="000D16E9"/>
    <w:rsid w:val="000D5D8D"/>
    <w:rsid w:val="000E0539"/>
    <w:rsid w:val="000E673A"/>
    <w:rsid w:val="000F0868"/>
    <w:rsid w:val="000F0A7F"/>
    <w:rsid w:val="000F539C"/>
    <w:rsid w:val="000F74F5"/>
    <w:rsid w:val="00105372"/>
    <w:rsid w:val="0010553B"/>
    <w:rsid w:val="0011328C"/>
    <w:rsid w:val="00120E96"/>
    <w:rsid w:val="0012502D"/>
    <w:rsid w:val="00131E7A"/>
    <w:rsid w:val="0013439B"/>
    <w:rsid w:val="00141515"/>
    <w:rsid w:val="001443F4"/>
    <w:rsid w:val="00146FC0"/>
    <w:rsid w:val="00160BDA"/>
    <w:rsid w:val="00165A24"/>
    <w:rsid w:val="0016778C"/>
    <w:rsid w:val="00171BB1"/>
    <w:rsid w:val="00171E20"/>
    <w:rsid w:val="00172AF6"/>
    <w:rsid w:val="0017359B"/>
    <w:rsid w:val="00176CEE"/>
    <w:rsid w:val="00181B29"/>
    <w:rsid w:val="00186694"/>
    <w:rsid w:val="00192A22"/>
    <w:rsid w:val="00196E19"/>
    <w:rsid w:val="00197CC1"/>
    <w:rsid w:val="001B2344"/>
    <w:rsid w:val="001B2FA4"/>
    <w:rsid w:val="001B427B"/>
    <w:rsid w:val="001B44BC"/>
    <w:rsid w:val="001B6D38"/>
    <w:rsid w:val="001C3C07"/>
    <w:rsid w:val="001C63AA"/>
    <w:rsid w:val="001C7B3F"/>
    <w:rsid w:val="001D0FE9"/>
    <w:rsid w:val="001D32F9"/>
    <w:rsid w:val="001D4CE2"/>
    <w:rsid w:val="001D4FF4"/>
    <w:rsid w:val="001D515D"/>
    <w:rsid w:val="001E4E8E"/>
    <w:rsid w:val="001E587D"/>
    <w:rsid w:val="001E6EC7"/>
    <w:rsid w:val="001E7381"/>
    <w:rsid w:val="001E76C7"/>
    <w:rsid w:val="001F254D"/>
    <w:rsid w:val="001F2A12"/>
    <w:rsid w:val="001F3FF9"/>
    <w:rsid w:val="00201D45"/>
    <w:rsid w:val="00203A55"/>
    <w:rsid w:val="00212A0C"/>
    <w:rsid w:val="00216F05"/>
    <w:rsid w:val="00220175"/>
    <w:rsid w:val="00222BB2"/>
    <w:rsid w:val="00225409"/>
    <w:rsid w:val="00227D1D"/>
    <w:rsid w:val="00231E34"/>
    <w:rsid w:val="00235197"/>
    <w:rsid w:val="002507D0"/>
    <w:rsid w:val="002536D2"/>
    <w:rsid w:val="00260CB0"/>
    <w:rsid w:val="00264940"/>
    <w:rsid w:val="00272ED0"/>
    <w:rsid w:val="00273BAC"/>
    <w:rsid w:val="002749E0"/>
    <w:rsid w:val="00274AA6"/>
    <w:rsid w:val="002766CD"/>
    <w:rsid w:val="002807D2"/>
    <w:rsid w:val="00286E19"/>
    <w:rsid w:val="002A5A18"/>
    <w:rsid w:val="002A5D28"/>
    <w:rsid w:val="002B1366"/>
    <w:rsid w:val="002B1819"/>
    <w:rsid w:val="002C2543"/>
    <w:rsid w:val="002C2613"/>
    <w:rsid w:val="002C2C8C"/>
    <w:rsid w:val="002C2D29"/>
    <w:rsid w:val="002D23BF"/>
    <w:rsid w:val="002D24BD"/>
    <w:rsid w:val="002E6190"/>
    <w:rsid w:val="002E65FA"/>
    <w:rsid w:val="002F0624"/>
    <w:rsid w:val="00300384"/>
    <w:rsid w:val="00303696"/>
    <w:rsid w:val="003040BF"/>
    <w:rsid w:val="003047C7"/>
    <w:rsid w:val="00314F56"/>
    <w:rsid w:val="00321914"/>
    <w:rsid w:val="00322966"/>
    <w:rsid w:val="00323C1D"/>
    <w:rsid w:val="00323C4E"/>
    <w:rsid w:val="0032438F"/>
    <w:rsid w:val="0033219B"/>
    <w:rsid w:val="0033349A"/>
    <w:rsid w:val="00333D3B"/>
    <w:rsid w:val="00334C65"/>
    <w:rsid w:val="00337054"/>
    <w:rsid w:val="0034223B"/>
    <w:rsid w:val="003443B2"/>
    <w:rsid w:val="00345EF4"/>
    <w:rsid w:val="00346EDA"/>
    <w:rsid w:val="00347278"/>
    <w:rsid w:val="003618A1"/>
    <w:rsid w:val="00363706"/>
    <w:rsid w:val="00363A11"/>
    <w:rsid w:val="00370B65"/>
    <w:rsid w:val="00372F74"/>
    <w:rsid w:val="003758CE"/>
    <w:rsid w:val="003776F6"/>
    <w:rsid w:val="00381875"/>
    <w:rsid w:val="003818EB"/>
    <w:rsid w:val="00386DC2"/>
    <w:rsid w:val="003919E7"/>
    <w:rsid w:val="00391A45"/>
    <w:rsid w:val="00392DE3"/>
    <w:rsid w:val="003A0D04"/>
    <w:rsid w:val="003A12BF"/>
    <w:rsid w:val="003A1CB9"/>
    <w:rsid w:val="003A5A36"/>
    <w:rsid w:val="003A6C59"/>
    <w:rsid w:val="003B45D4"/>
    <w:rsid w:val="003B5529"/>
    <w:rsid w:val="003B79FF"/>
    <w:rsid w:val="003D2F50"/>
    <w:rsid w:val="003E2CC2"/>
    <w:rsid w:val="003F5467"/>
    <w:rsid w:val="003F7224"/>
    <w:rsid w:val="003F7485"/>
    <w:rsid w:val="00410F0F"/>
    <w:rsid w:val="00414B98"/>
    <w:rsid w:val="00415BD8"/>
    <w:rsid w:val="004177E3"/>
    <w:rsid w:val="004208DE"/>
    <w:rsid w:val="00425192"/>
    <w:rsid w:val="00427D21"/>
    <w:rsid w:val="00430A26"/>
    <w:rsid w:val="00433E09"/>
    <w:rsid w:val="00443F2E"/>
    <w:rsid w:val="00445C1A"/>
    <w:rsid w:val="00447A51"/>
    <w:rsid w:val="0046359A"/>
    <w:rsid w:val="004644C2"/>
    <w:rsid w:val="004649A2"/>
    <w:rsid w:val="00465242"/>
    <w:rsid w:val="00467521"/>
    <w:rsid w:val="00467F9C"/>
    <w:rsid w:val="004702AE"/>
    <w:rsid w:val="004733AE"/>
    <w:rsid w:val="00477145"/>
    <w:rsid w:val="00480362"/>
    <w:rsid w:val="00481094"/>
    <w:rsid w:val="00484AEC"/>
    <w:rsid w:val="004A74FA"/>
    <w:rsid w:val="004B1995"/>
    <w:rsid w:val="004B4CF2"/>
    <w:rsid w:val="004C04BF"/>
    <w:rsid w:val="004C1D80"/>
    <w:rsid w:val="004C33F6"/>
    <w:rsid w:val="004D552A"/>
    <w:rsid w:val="004E0031"/>
    <w:rsid w:val="004E28AF"/>
    <w:rsid w:val="004E3435"/>
    <w:rsid w:val="004E374E"/>
    <w:rsid w:val="004E47DF"/>
    <w:rsid w:val="004E6864"/>
    <w:rsid w:val="004F1B5B"/>
    <w:rsid w:val="004F4C51"/>
    <w:rsid w:val="004F6F74"/>
    <w:rsid w:val="005025F2"/>
    <w:rsid w:val="005105A4"/>
    <w:rsid w:val="00513BFF"/>
    <w:rsid w:val="00514335"/>
    <w:rsid w:val="00526091"/>
    <w:rsid w:val="005264CB"/>
    <w:rsid w:val="00530E07"/>
    <w:rsid w:val="00532EC0"/>
    <w:rsid w:val="00534681"/>
    <w:rsid w:val="005438FC"/>
    <w:rsid w:val="005451A3"/>
    <w:rsid w:val="005502EC"/>
    <w:rsid w:val="005560C6"/>
    <w:rsid w:val="00561770"/>
    <w:rsid w:val="005650DB"/>
    <w:rsid w:val="0056535A"/>
    <w:rsid w:val="00567A3A"/>
    <w:rsid w:val="005709CE"/>
    <w:rsid w:val="005757EB"/>
    <w:rsid w:val="0058513A"/>
    <w:rsid w:val="0058726C"/>
    <w:rsid w:val="005908C4"/>
    <w:rsid w:val="00594727"/>
    <w:rsid w:val="005952C2"/>
    <w:rsid w:val="005A1D08"/>
    <w:rsid w:val="005B29CB"/>
    <w:rsid w:val="005D3C08"/>
    <w:rsid w:val="005D52EF"/>
    <w:rsid w:val="005D56F0"/>
    <w:rsid w:val="005E0B51"/>
    <w:rsid w:val="005E2753"/>
    <w:rsid w:val="005F00D7"/>
    <w:rsid w:val="005F042E"/>
    <w:rsid w:val="005F2D2C"/>
    <w:rsid w:val="005F2EF6"/>
    <w:rsid w:val="005F3F9A"/>
    <w:rsid w:val="005F71CC"/>
    <w:rsid w:val="0060024E"/>
    <w:rsid w:val="00604741"/>
    <w:rsid w:val="0061112E"/>
    <w:rsid w:val="006122BA"/>
    <w:rsid w:val="00621397"/>
    <w:rsid w:val="00630A06"/>
    <w:rsid w:val="00630D71"/>
    <w:rsid w:val="006313A4"/>
    <w:rsid w:val="00633D39"/>
    <w:rsid w:val="00635929"/>
    <w:rsid w:val="00635AB3"/>
    <w:rsid w:val="00641CF7"/>
    <w:rsid w:val="00645788"/>
    <w:rsid w:val="00645A46"/>
    <w:rsid w:val="006463AE"/>
    <w:rsid w:val="00651EFF"/>
    <w:rsid w:val="00653733"/>
    <w:rsid w:val="00661A0D"/>
    <w:rsid w:val="00665280"/>
    <w:rsid w:val="00670C15"/>
    <w:rsid w:val="006737D7"/>
    <w:rsid w:val="00673C5E"/>
    <w:rsid w:val="006802DA"/>
    <w:rsid w:val="00680547"/>
    <w:rsid w:val="0068134E"/>
    <w:rsid w:val="00681A31"/>
    <w:rsid w:val="00681B62"/>
    <w:rsid w:val="00681C92"/>
    <w:rsid w:val="006829D2"/>
    <w:rsid w:val="00683B29"/>
    <w:rsid w:val="006853EE"/>
    <w:rsid w:val="0069730B"/>
    <w:rsid w:val="006A06EC"/>
    <w:rsid w:val="006A5C03"/>
    <w:rsid w:val="006A71C7"/>
    <w:rsid w:val="006B0CB1"/>
    <w:rsid w:val="006B2290"/>
    <w:rsid w:val="006C05A1"/>
    <w:rsid w:val="006D6FE3"/>
    <w:rsid w:val="006D7654"/>
    <w:rsid w:val="006E28EC"/>
    <w:rsid w:val="006F1737"/>
    <w:rsid w:val="006F5683"/>
    <w:rsid w:val="00701CA9"/>
    <w:rsid w:val="00707EF0"/>
    <w:rsid w:val="007101F9"/>
    <w:rsid w:val="0071112E"/>
    <w:rsid w:val="00711C13"/>
    <w:rsid w:val="00711D80"/>
    <w:rsid w:val="00714E2E"/>
    <w:rsid w:val="007157F2"/>
    <w:rsid w:val="00715F32"/>
    <w:rsid w:val="00717D88"/>
    <w:rsid w:val="00721570"/>
    <w:rsid w:val="0072218C"/>
    <w:rsid w:val="0072285E"/>
    <w:rsid w:val="00723847"/>
    <w:rsid w:val="007269BB"/>
    <w:rsid w:val="007304B4"/>
    <w:rsid w:val="00732DB2"/>
    <w:rsid w:val="00734C35"/>
    <w:rsid w:val="0074030B"/>
    <w:rsid w:val="00743CBF"/>
    <w:rsid w:val="00743FB6"/>
    <w:rsid w:val="0074698F"/>
    <w:rsid w:val="007509D1"/>
    <w:rsid w:val="007564DA"/>
    <w:rsid w:val="00756613"/>
    <w:rsid w:val="007705DA"/>
    <w:rsid w:val="00772D25"/>
    <w:rsid w:val="007743FC"/>
    <w:rsid w:val="00780AA8"/>
    <w:rsid w:val="00782565"/>
    <w:rsid w:val="00786A55"/>
    <w:rsid w:val="007917D3"/>
    <w:rsid w:val="0079211F"/>
    <w:rsid w:val="00792EB7"/>
    <w:rsid w:val="00793765"/>
    <w:rsid w:val="007942D3"/>
    <w:rsid w:val="00795461"/>
    <w:rsid w:val="007A7328"/>
    <w:rsid w:val="007B0795"/>
    <w:rsid w:val="007B25F4"/>
    <w:rsid w:val="007B2EBF"/>
    <w:rsid w:val="007B6C09"/>
    <w:rsid w:val="007B7C97"/>
    <w:rsid w:val="007C00F1"/>
    <w:rsid w:val="007C163B"/>
    <w:rsid w:val="007C2CFC"/>
    <w:rsid w:val="007C3B40"/>
    <w:rsid w:val="007D692A"/>
    <w:rsid w:val="007D7112"/>
    <w:rsid w:val="007D7D48"/>
    <w:rsid w:val="007E09DA"/>
    <w:rsid w:val="007E4BAC"/>
    <w:rsid w:val="007F1CC3"/>
    <w:rsid w:val="00803F28"/>
    <w:rsid w:val="00812131"/>
    <w:rsid w:val="00814204"/>
    <w:rsid w:val="00814552"/>
    <w:rsid w:val="0081500D"/>
    <w:rsid w:val="008178B6"/>
    <w:rsid w:val="00830F11"/>
    <w:rsid w:val="00835E94"/>
    <w:rsid w:val="0083706A"/>
    <w:rsid w:val="00837BDB"/>
    <w:rsid w:val="00840499"/>
    <w:rsid w:val="008408EF"/>
    <w:rsid w:val="00850A2A"/>
    <w:rsid w:val="00854F7B"/>
    <w:rsid w:val="0086212B"/>
    <w:rsid w:val="00865B74"/>
    <w:rsid w:val="00871E71"/>
    <w:rsid w:val="008730CB"/>
    <w:rsid w:val="008763AB"/>
    <w:rsid w:val="00882745"/>
    <w:rsid w:val="00890C25"/>
    <w:rsid w:val="00894800"/>
    <w:rsid w:val="008A01E9"/>
    <w:rsid w:val="008A0BB1"/>
    <w:rsid w:val="008A5130"/>
    <w:rsid w:val="008A5789"/>
    <w:rsid w:val="008B0C6C"/>
    <w:rsid w:val="008B50DF"/>
    <w:rsid w:val="008C141B"/>
    <w:rsid w:val="008C1693"/>
    <w:rsid w:val="008C316A"/>
    <w:rsid w:val="008C4D41"/>
    <w:rsid w:val="008C56AE"/>
    <w:rsid w:val="008D0A94"/>
    <w:rsid w:val="008D39DD"/>
    <w:rsid w:val="008D7E33"/>
    <w:rsid w:val="008E1501"/>
    <w:rsid w:val="008E264C"/>
    <w:rsid w:val="008E51D3"/>
    <w:rsid w:val="008E65A7"/>
    <w:rsid w:val="008F2A42"/>
    <w:rsid w:val="008F7C28"/>
    <w:rsid w:val="00911921"/>
    <w:rsid w:val="00921131"/>
    <w:rsid w:val="00922354"/>
    <w:rsid w:val="00922D20"/>
    <w:rsid w:val="009231F2"/>
    <w:rsid w:val="009272E8"/>
    <w:rsid w:val="00927687"/>
    <w:rsid w:val="0093086A"/>
    <w:rsid w:val="00930BA1"/>
    <w:rsid w:val="00931329"/>
    <w:rsid w:val="009315F4"/>
    <w:rsid w:val="0093169E"/>
    <w:rsid w:val="00935CA5"/>
    <w:rsid w:val="00935CCA"/>
    <w:rsid w:val="00936BEE"/>
    <w:rsid w:val="00940BD6"/>
    <w:rsid w:val="00940BDB"/>
    <w:rsid w:val="00941F56"/>
    <w:rsid w:val="00943877"/>
    <w:rsid w:val="0094563D"/>
    <w:rsid w:val="00947037"/>
    <w:rsid w:val="009505C9"/>
    <w:rsid w:val="009630EB"/>
    <w:rsid w:val="00965011"/>
    <w:rsid w:val="00973B86"/>
    <w:rsid w:val="00973F48"/>
    <w:rsid w:val="0098391E"/>
    <w:rsid w:val="00983CCB"/>
    <w:rsid w:val="00991C04"/>
    <w:rsid w:val="00991F84"/>
    <w:rsid w:val="00996390"/>
    <w:rsid w:val="00996399"/>
    <w:rsid w:val="00997957"/>
    <w:rsid w:val="009B57A4"/>
    <w:rsid w:val="009C0169"/>
    <w:rsid w:val="009C3077"/>
    <w:rsid w:val="009C4645"/>
    <w:rsid w:val="009C73AF"/>
    <w:rsid w:val="009D21D5"/>
    <w:rsid w:val="009D4BB1"/>
    <w:rsid w:val="009E19D8"/>
    <w:rsid w:val="009E2053"/>
    <w:rsid w:val="009E2CF8"/>
    <w:rsid w:val="009F4C28"/>
    <w:rsid w:val="00A00ADD"/>
    <w:rsid w:val="00A10D54"/>
    <w:rsid w:val="00A151A8"/>
    <w:rsid w:val="00A268AF"/>
    <w:rsid w:val="00A26E08"/>
    <w:rsid w:val="00A34278"/>
    <w:rsid w:val="00A35618"/>
    <w:rsid w:val="00A35D9A"/>
    <w:rsid w:val="00A36A40"/>
    <w:rsid w:val="00A44C0A"/>
    <w:rsid w:val="00A45F85"/>
    <w:rsid w:val="00A52F80"/>
    <w:rsid w:val="00A57F79"/>
    <w:rsid w:val="00A606DF"/>
    <w:rsid w:val="00A775D1"/>
    <w:rsid w:val="00A9627B"/>
    <w:rsid w:val="00AA00CD"/>
    <w:rsid w:val="00AA3906"/>
    <w:rsid w:val="00AA7541"/>
    <w:rsid w:val="00AB401B"/>
    <w:rsid w:val="00AC4891"/>
    <w:rsid w:val="00AC55EB"/>
    <w:rsid w:val="00AC7878"/>
    <w:rsid w:val="00AC7FDE"/>
    <w:rsid w:val="00AD11C2"/>
    <w:rsid w:val="00AD15B5"/>
    <w:rsid w:val="00AD197E"/>
    <w:rsid w:val="00AD225C"/>
    <w:rsid w:val="00AD3A7E"/>
    <w:rsid w:val="00AD66EF"/>
    <w:rsid w:val="00AE103D"/>
    <w:rsid w:val="00AE157E"/>
    <w:rsid w:val="00AE213D"/>
    <w:rsid w:val="00AE6E7D"/>
    <w:rsid w:val="00AE789A"/>
    <w:rsid w:val="00B002E8"/>
    <w:rsid w:val="00B06016"/>
    <w:rsid w:val="00B0758B"/>
    <w:rsid w:val="00B1264D"/>
    <w:rsid w:val="00B13948"/>
    <w:rsid w:val="00B20780"/>
    <w:rsid w:val="00B239B6"/>
    <w:rsid w:val="00B27E17"/>
    <w:rsid w:val="00B3369F"/>
    <w:rsid w:val="00B372B6"/>
    <w:rsid w:val="00B41900"/>
    <w:rsid w:val="00B43ECC"/>
    <w:rsid w:val="00B445CA"/>
    <w:rsid w:val="00B46773"/>
    <w:rsid w:val="00B5121E"/>
    <w:rsid w:val="00B53754"/>
    <w:rsid w:val="00B53790"/>
    <w:rsid w:val="00B549C4"/>
    <w:rsid w:val="00B54D87"/>
    <w:rsid w:val="00B565FB"/>
    <w:rsid w:val="00B65640"/>
    <w:rsid w:val="00B65A39"/>
    <w:rsid w:val="00B6737D"/>
    <w:rsid w:val="00B67401"/>
    <w:rsid w:val="00B766B0"/>
    <w:rsid w:val="00B80A39"/>
    <w:rsid w:val="00B87D60"/>
    <w:rsid w:val="00B90AF8"/>
    <w:rsid w:val="00BA0526"/>
    <w:rsid w:val="00BA3AE8"/>
    <w:rsid w:val="00BB0EBF"/>
    <w:rsid w:val="00BB3C56"/>
    <w:rsid w:val="00BB762C"/>
    <w:rsid w:val="00BC3E08"/>
    <w:rsid w:val="00BC6343"/>
    <w:rsid w:val="00BC641B"/>
    <w:rsid w:val="00BC7307"/>
    <w:rsid w:val="00BD1A51"/>
    <w:rsid w:val="00BD51A4"/>
    <w:rsid w:val="00BD665E"/>
    <w:rsid w:val="00BE1EB8"/>
    <w:rsid w:val="00BE3193"/>
    <w:rsid w:val="00BE477C"/>
    <w:rsid w:val="00BE516D"/>
    <w:rsid w:val="00BE743E"/>
    <w:rsid w:val="00BF0F15"/>
    <w:rsid w:val="00BF6878"/>
    <w:rsid w:val="00C03EAB"/>
    <w:rsid w:val="00C10572"/>
    <w:rsid w:val="00C10958"/>
    <w:rsid w:val="00C1217F"/>
    <w:rsid w:val="00C157EF"/>
    <w:rsid w:val="00C167BD"/>
    <w:rsid w:val="00C16AB3"/>
    <w:rsid w:val="00C22A80"/>
    <w:rsid w:val="00C2339A"/>
    <w:rsid w:val="00C24856"/>
    <w:rsid w:val="00C33670"/>
    <w:rsid w:val="00C4198C"/>
    <w:rsid w:val="00C47D55"/>
    <w:rsid w:val="00C512F1"/>
    <w:rsid w:val="00C57766"/>
    <w:rsid w:val="00C62207"/>
    <w:rsid w:val="00C62224"/>
    <w:rsid w:val="00C62520"/>
    <w:rsid w:val="00C709D5"/>
    <w:rsid w:val="00C71444"/>
    <w:rsid w:val="00C864B6"/>
    <w:rsid w:val="00C91076"/>
    <w:rsid w:val="00C9161D"/>
    <w:rsid w:val="00CA132E"/>
    <w:rsid w:val="00CA2A48"/>
    <w:rsid w:val="00CB28EB"/>
    <w:rsid w:val="00CB3C79"/>
    <w:rsid w:val="00CB6CDA"/>
    <w:rsid w:val="00CB6E0A"/>
    <w:rsid w:val="00CD0C5B"/>
    <w:rsid w:val="00CD2CA1"/>
    <w:rsid w:val="00CD2DDB"/>
    <w:rsid w:val="00CD2F8E"/>
    <w:rsid w:val="00CD4714"/>
    <w:rsid w:val="00CD6168"/>
    <w:rsid w:val="00CD6426"/>
    <w:rsid w:val="00CE23BC"/>
    <w:rsid w:val="00CE5038"/>
    <w:rsid w:val="00CF1848"/>
    <w:rsid w:val="00D01C79"/>
    <w:rsid w:val="00D05B73"/>
    <w:rsid w:val="00D05F5C"/>
    <w:rsid w:val="00D12044"/>
    <w:rsid w:val="00D170B8"/>
    <w:rsid w:val="00D20A16"/>
    <w:rsid w:val="00D20E61"/>
    <w:rsid w:val="00D23F41"/>
    <w:rsid w:val="00D30E3D"/>
    <w:rsid w:val="00D31C1C"/>
    <w:rsid w:val="00D31F5F"/>
    <w:rsid w:val="00D403BD"/>
    <w:rsid w:val="00D4105F"/>
    <w:rsid w:val="00D43F09"/>
    <w:rsid w:val="00D4540C"/>
    <w:rsid w:val="00D46814"/>
    <w:rsid w:val="00D47AC4"/>
    <w:rsid w:val="00D50454"/>
    <w:rsid w:val="00D61C9B"/>
    <w:rsid w:val="00D6761F"/>
    <w:rsid w:val="00D7009E"/>
    <w:rsid w:val="00D7122E"/>
    <w:rsid w:val="00D71BF9"/>
    <w:rsid w:val="00D73336"/>
    <w:rsid w:val="00D7402A"/>
    <w:rsid w:val="00D74F8F"/>
    <w:rsid w:val="00D76A18"/>
    <w:rsid w:val="00D843CB"/>
    <w:rsid w:val="00D85053"/>
    <w:rsid w:val="00D86667"/>
    <w:rsid w:val="00D917C4"/>
    <w:rsid w:val="00DA125C"/>
    <w:rsid w:val="00DA2404"/>
    <w:rsid w:val="00DA4D2E"/>
    <w:rsid w:val="00DB23FA"/>
    <w:rsid w:val="00DB5EC1"/>
    <w:rsid w:val="00DB6CDA"/>
    <w:rsid w:val="00DC78E8"/>
    <w:rsid w:val="00DD118C"/>
    <w:rsid w:val="00DD3023"/>
    <w:rsid w:val="00DD4DA5"/>
    <w:rsid w:val="00DD7F73"/>
    <w:rsid w:val="00DE6E14"/>
    <w:rsid w:val="00E02E52"/>
    <w:rsid w:val="00E10BAF"/>
    <w:rsid w:val="00E11B91"/>
    <w:rsid w:val="00E22858"/>
    <w:rsid w:val="00E348EA"/>
    <w:rsid w:val="00E41760"/>
    <w:rsid w:val="00E450B3"/>
    <w:rsid w:val="00E50070"/>
    <w:rsid w:val="00E543B7"/>
    <w:rsid w:val="00E54BCD"/>
    <w:rsid w:val="00E55C89"/>
    <w:rsid w:val="00E57760"/>
    <w:rsid w:val="00E614B1"/>
    <w:rsid w:val="00E6339C"/>
    <w:rsid w:val="00E64714"/>
    <w:rsid w:val="00E66235"/>
    <w:rsid w:val="00E7005B"/>
    <w:rsid w:val="00E7195B"/>
    <w:rsid w:val="00E72F26"/>
    <w:rsid w:val="00E747BA"/>
    <w:rsid w:val="00E8316C"/>
    <w:rsid w:val="00E83C24"/>
    <w:rsid w:val="00E866D0"/>
    <w:rsid w:val="00E86F14"/>
    <w:rsid w:val="00E87A5F"/>
    <w:rsid w:val="00E9318D"/>
    <w:rsid w:val="00E95EBB"/>
    <w:rsid w:val="00E9605F"/>
    <w:rsid w:val="00E9779F"/>
    <w:rsid w:val="00EA0016"/>
    <w:rsid w:val="00EA02F6"/>
    <w:rsid w:val="00EA2F1D"/>
    <w:rsid w:val="00EA3ECF"/>
    <w:rsid w:val="00EB5B08"/>
    <w:rsid w:val="00EB7D1D"/>
    <w:rsid w:val="00EE3C5A"/>
    <w:rsid w:val="00EE433E"/>
    <w:rsid w:val="00EE48B8"/>
    <w:rsid w:val="00EE665E"/>
    <w:rsid w:val="00EF2230"/>
    <w:rsid w:val="00EF7ACF"/>
    <w:rsid w:val="00F0091D"/>
    <w:rsid w:val="00F0566B"/>
    <w:rsid w:val="00F063C8"/>
    <w:rsid w:val="00F16FFB"/>
    <w:rsid w:val="00F20A57"/>
    <w:rsid w:val="00F30235"/>
    <w:rsid w:val="00F34628"/>
    <w:rsid w:val="00F37F73"/>
    <w:rsid w:val="00F44531"/>
    <w:rsid w:val="00F512C2"/>
    <w:rsid w:val="00F53054"/>
    <w:rsid w:val="00F53A83"/>
    <w:rsid w:val="00F53D82"/>
    <w:rsid w:val="00F5491E"/>
    <w:rsid w:val="00F55736"/>
    <w:rsid w:val="00F60719"/>
    <w:rsid w:val="00F632F1"/>
    <w:rsid w:val="00F657CC"/>
    <w:rsid w:val="00F74128"/>
    <w:rsid w:val="00F75EA7"/>
    <w:rsid w:val="00F76274"/>
    <w:rsid w:val="00F81035"/>
    <w:rsid w:val="00F91C22"/>
    <w:rsid w:val="00F920AC"/>
    <w:rsid w:val="00F94774"/>
    <w:rsid w:val="00F97B13"/>
    <w:rsid w:val="00FA596A"/>
    <w:rsid w:val="00FB3E7B"/>
    <w:rsid w:val="00FB4B3B"/>
    <w:rsid w:val="00FB7E33"/>
    <w:rsid w:val="00FC1E5F"/>
    <w:rsid w:val="00FC3349"/>
    <w:rsid w:val="00FC53DB"/>
    <w:rsid w:val="00FC59F7"/>
    <w:rsid w:val="00FC66D4"/>
    <w:rsid w:val="00FD0CD0"/>
    <w:rsid w:val="00FD311D"/>
    <w:rsid w:val="00FD3EFA"/>
    <w:rsid w:val="00FD4B16"/>
    <w:rsid w:val="00FE5621"/>
    <w:rsid w:val="00FE65B9"/>
    <w:rsid w:val="00FF084B"/>
    <w:rsid w:val="00FF764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D8B1A4"/>
  <w15:docId w15:val="{0FA21206-D519-446E-A8B6-B47BECCD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606D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D471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D4714"/>
    <w:rPr>
      <w:rFonts w:ascii="Times New Roman" w:eastAsia="Times New Roman" w:hAnsi="Times New Roman" w:cs="Times New Roman"/>
      <w:b/>
      <w:bCs/>
      <w:sz w:val="20"/>
      <w:szCs w:val="20"/>
      <w:lang w:val="en-GB"/>
    </w:rPr>
  </w:style>
  <w:style w:type="paragraph" w:styleId="Revision">
    <w:name w:val="Revision"/>
    <w:hidden/>
    <w:uiPriority w:val="99"/>
    <w:semiHidden/>
    <w:rsid w:val="00F53054"/>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AD15B5"/>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0D16E9"/>
    <w:pPr>
      <w:spacing w:after="160" w:line="240" w:lineRule="exact"/>
      <w:jc w:val="left"/>
    </w:pPr>
    <w:rPr>
      <w:rFonts w:asciiTheme="minorHAnsi" w:eastAsiaTheme="minorEastAsia" w:hAnsiTheme="minorHAnsi" w:cstheme="minorBidi"/>
      <w:vertAlign w:val="superscript"/>
      <w:lang w:val="fr-CA"/>
    </w:rPr>
  </w:style>
  <w:style w:type="paragraph" w:customStyle="1" w:styleId="Para10">
    <w:name w:val="Para 1"/>
    <w:basedOn w:val="Normal"/>
    <w:rsid w:val="00B43ECC"/>
    <w:pPr>
      <w:tabs>
        <w:tab w:val="num" w:pos="3763"/>
      </w:tabs>
      <w:ind w:left="3403"/>
    </w:pPr>
  </w:style>
  <w:style w:type="character" w:customStyle="1" w:styleId="UnresolvedMention2">
    <w:name w:val="Unresolved Mention2"/>
    <w:basedOn w:val="DefaultParagraphFont"/>
    <w:uiPriority w:val="99"/>
    <w:semiHidden/>
    <w:unhideWhenUsed/>
    <w:rsid w:val="0074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433">
      <w:bodyDiv w:val="1"/>
      <w:marLeft w:val="0"/>
      <w:marRight w:val="0"/>
      <w:marTop w:val="0"/>
      <w:marBottom w:val="0"/>
      <w:divBdr>
        <w:top w:val="none" w:sz="0" w:space="0" w:color="auto"/>
        <w:left w:val="none" w:sz="0" w:space="0" w:color="auto"/>
        <w:bottom w:val="none" w:sz="0" w:space="0" w:color="auto"/>
        <w:right w:val="none" w:sz="0" w:space="0" w:color="auto"/>
      </w:divBdr>
    </w:div>
    <w:div w:id="68055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bch.cbd.int/protocol/cpb_art34_info.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p-mop-09/cp-mop-09-dec-02-f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cbd.int/doc/decisions/cp-mop-09/cp-mop-09-dec-01-fr.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4D7D1B30FC3C4D85AC821BD4587F0C5B"/>
        <w:category>
          <w:name w:val="General"/>
          <w:gallery w:val="placeholder"/>
        </w:category>
        <w:types>
          <w:type w:val="bbPlcHdr"/>
        </w:types>
        <w:behaviors>
          <w:behavior w:val="content"/>
        </w:behaviors>
        <w:guid w:val="{663AB8FD-8A47-4578-A7D0-85B9BC1FF4FB}"/>
      </w:docPartPr>
      <w:docPartBody>
        <w:p w:rsidR="00BB0A77" w:rsidRDefault="000203B2">
          <w:r w:rsidRPr="002F08F4">
            <w:rPr>
              <w:rStyle w:val="PlaceholderText"/>
            </w:rPr>
            <w:t>[Subject]</w:t>
          </w:r>
        </w:p>
      </w:docPartBody>
    </w:docPart>
    <w:docPart>
      <w:docPartPr>
        <w:name w:val="5B638A896FDE44C182E6F4C321F292E9"/>
        <w:category>
          <w:name w:val="General"/>
          <w:gallery w:val="placeholder"/>
        </w:category>
        <w:types>
          <w:type w:val="bbPlcHdr"/>
        </w:types>
        <w:behaviors>
          <w:behavior w:val="content"/>
        </w:behaviors>
        <w:guid w:val="{F934AB30-DFAD-43FB-81CD-CF7126AFDCE3}"/>
      </w:docPartPr>
      <w:docPartBody>
        <w:p w:rsidR="00BB0A77" w:rsidRDefault="000203B2">
          <w:r w:rsidRPr="002F08F4">
            <w:rPr>
              <w:rStyle w:val="PlaceholderText"/>
            </w:rPr>
            <w:t>[Subject]</w:t>
          </w:r>
        </w:p>
      </w:docPartBody>
    </w:docPart>
    <w:docPart>
      <w:docPartPr>
        <w:name w:val="4BFC2725F4D34E609C1F5397B8284F5F"/>
        <w:category>
          <w:name w:val="General"/>
          <w:gallery w:val="placeholder"/>
        </w:category>
        <w:types>
          <w:type w:val="bbPlcHdr"/>
        </w:types>
        <w:behaviors>
          <w:behavior w:val="content"/>
        </w:behaviors>
        <w:guid w:val="{C0A5E306-1C1A-4340-BA71-9085B586B884}"/>
      </w:docPartPr>
      <w:docPartBody>
        <w:p w:rsidR="006A79E6" w:rsidRDefault="004B056B" w:rsidP="004B056B">
          <w:pPr>
            <w:pStyle w:val="4BFC2725F4D34E609C1F5397B8284F5F"/>
          </w:pPr>
          <w:r w:rsidRPr="00F002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03B2"/>
    <w:rsid w:val="00074276"/>
    <w:rsid w:val="000973F2"/>
    <w:rsid w:val="002768CC"/>
    <w:rsid w:val="0037389A"/>
    <w:rsid w:val="004B056B"/>
    <w:rsid w:val="00500A2B"/>
    <w:rsid w:val="00534735"/>
    <w:rsid w:val="0058288D"/>
    <w:rsid w:val="006801B3"/>
    <w:rsid w:val="006A79E6"/>
    <w:rsid w:val="00740483"/>
    <w:rsid w:val="00770D55"/>
    <w:rsid w:val="00810A55"/>
    <w:rsid w:val="00866074"/>
    <w:rsid w:val="008C6619"/>
    <w:rsid w:val="008D420E"/>
    <w:rsid w:val="009723F0"/>
    <w:rsid w:val="0098642F"/>
    <w:rsid w:val="009B1E4B"/>
    <w:rsid w:val="00A05EC6"/>
    <w:rsid w:val="00AB5DD3"/>
    <w:rsid w:val="00B245E8"/>
    <w:rsid w:val="00BB0A77"/>
    <w:rsid w:val="00EC68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56B"/>
    <w:rPr>
      <w:color w:val="808080"/>
    </w:rPr>
  </w:style>
  <w:style w:type="paragraph" w:customStyle="1" w:styleId="4BFC2725F4D34E609C1F5397B8284F5F">
    <w:name w:val="4BFC2725F4D34E609C1F5397B8284F5F"/>
    <w:rsid w:val="004B05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B2446-9CD1-4178-8D0E-5AA94D80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D9088-111C-46D7-82AE-A92131740818}">
  <ds:schemaRefs>
    <ds:schemaRef ds:uri="http://schemas.microsoft.com/sharepoint/v3/contenttype/forms"/>
  </ds:schemaRefs>
</ds:datastoreItem>
</file>

<file path=customXml/itemProps4.xml><?xml version="1.0" encoding="utf-8"?>
<ds:datastoreItem xmlns:ds="http://schemas.openxmlformats.org/officeDocument/2006/customXml" ds:itemID="{6860B5D8-859C-44B5-BFB7-71A8106267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E830C1-D8AA-4B29-9D61-0DFA1A46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6</Pages>
  <Words>2784</Words>
  <Characters>15874</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du comité de contrôle du respect des dispositions  du protocole de cartagena sur la prévention des risques biotechnologiques sur les travaux de ses seizième et dix-septième réunions</vt:lpstr>
      <vt:lpstr>Report of the Compliance Committee under the Cartagena Protocol on Biosafety on the work of its sixteenth and seventeenth meetings</vt:lpstr>
    </vt:vector>
  </TitlesOfParts>
  <Company>SCBD</Company>
  <LinksUpToDate>false</LinksUpToDate>
  <CharactersWithSpaces>18621</CharactersWithSpaces>
  <SharedDoc>false</SharedDoc>
  <HLinks>
    <vt:vector size="36" baseType="variant">
      <vt:variant>
        <vt:i4>6029399</vt:i4>
      </vt:variant>
      <vt:variant>
        <vt:i4>15</vt:i4>
      </vt:variant>
      <vt:variant>
        <vt:i4>0</vt:i4>
      </vt:variant>
      <vt:variant>
        <vt:i4>5</vt:i4>
      </vt:variant>
      <vt:variant>
        <vt:lpwstr>https://bch.cbd.int/protocol/cpb_art34_info.shtml</vt:lpwstr>
      </vt:variant>
      <vt:variant>
        <vt:lpwstr/>
      </vt:variant>
      <vt:variant>
        <vt:i4>2752567</vt:i4>
      </vt:variant>
      <vt:variant>
        <vt:i4>12</vt:i4>
      </vt:variant>
      <vt:variant>
        <vt:i4>0</vt:i4>
      </vt:variant>
      <vt:variant>
        <vt:i4>5</vt:i4>
      </vt:variant>
      <vt:variant>
        <vt:lpwstr>https://www.cbd.int/doc/c/679b/5453/3b1a3616b09ba37af014ca24/cp-cc-17-06-en.pdf</vt:lpwstr>
      </vt:variant>
      <vt:variant>
        <vt:lpwstr/>
      </vt:variant>
      <vt:variant>
        <vt:i4>7340130</vt:i4>
      </vt:variant>
      <vt:variant>
        <vt:i4>9</vt:i4>
      </vt:variant>
      <vt:variant>
        <vt:i4>0</vt:i4>
      </vt:variant>
      <vt:variant>
        <vt:i4>5</vt:i4>
      </vt:variant>
      <vt:variant>
        <vt:lpwstr>https://www.cbd.int/doc/c/03cc/3d71/1b1c6b4a0920ece03ce4aefb/cp-cc-16-07-en.pdf</vt:lpwstr>
      </vt:variant>
      <vt:variant>
        <vt:lpwstr/>
      </vt:variant>
      <vt:variant>
        <vt:i4>3801181</vt:i4>
      </vt:variant>
      <vt:variant>
        <vt:i4>6</vt:i4>
      </vt:variant>
      <vt:variant>
        <vt:i4>0</vt:i4>
      </vt:variant>
      <vt:variant>
        <vt:i4>5</vt:i4>
      </vt:variant>
      <vt:variant>
        <vt:lpwstr>https://bch.cbd.int/protocol/issues/cpb_stplan.shtml</vt:lpwstr>
      </vt:variant>
      <vt:variant>
        <vt:lpwstr/>
      </vt:variant>
      <vt:variant>
        <vt:i4>7733297</vt:i4>
      </vt:variant>
      <vt:variant>
        <vt:i4>3</vt:i4>
      </vt:variant>
      <vt:variant>
        <vt:i4>0</vt:i4>
      </vt:variant>
      <vt:variant>
        <vt:i4>5</vt:i4>
      </vt:variant>
      <vt:variant>
        <vt:lpwstr>https://www.cbd.int/doc/decisions/cp-mop-09/cp-mop-09-dec-02-en.pdf</vt:lpwstr>
      </vt:variant>
      <vt:variant>
        <vt:lpwstr/>
      </vt:variant>
      <vt:variant>
        <vt:i4>7667761</vt:i4>
      </vt:variant>
      <vt:variant>
        <vt:i4>0</vt:i4>
      </vt:variant>
      <vt:variant>
        <vt:i4>0</vt:i4>
      </vt:variant>
      <vt:variant>
        <vt:i4>5</vt:i4>
      </vt:variant>
      <vt:variant>
        <vt:lpwstr>https://www.cbd.int/doc/decisions/cp-mop-09/cp-mop-09-dec-01-en.pdf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comité de contrôle du respect des dispositions  du protocole de cartagena sur la prévention des risques biotechnologiques sur les travaux de ses seizième et dix-septième réunions</dc:title>
  <dc:subject>CBD/CP/MOP/10/2</dc:subject>
  <dc:creator>SCBD</dc:creator>
  <cp:keywords>Conference of the Parties serving as the meeting of the Parties to the Cartagena Protocol on Biosafety, Tenth meeting, Kunming, China, 11-15 October 2021 and 25 April to 8 May 2022</cp:keywords>
  <cp:lastModifiedBy>Angela Xuehe Yan</cp:lastModifiedBy>
  <cp:revision>13</cp:revision>
  <cp:lastPrinted>2021-09-20T16:16:00Z</cp:lastPrinted>
  <dcterms:created xsi:type="dcterms:W3CDTF">2021-09-17T11:02:00Z</dcterms:created>
  <dcterms:modified xsi:type="dcterms:W3CDTF">2021-09-21T18:20:00Z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