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8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169"/>
      </w:tblGrid>
      <w:tr w:rsidR="00660CB5" w:rsidRPr="00917DAD" w14:paraId="2F15BC55" w14:textId="77777777" w:rsidTr="00103752">
        <w:trPr>
          <w:trHeight w:val="709"/>
        </w:trPr>
        <w:tc>
          <w:tcPr>
            <w:tcW w:w="976" w:type="dxa"/>
            <w:tcBorders>
              <w:bottom w:val="single" w:sz="12" w:space="0" w:color="auto"/>
            </w:tcBorders>
          </w:tcPr>
          <w:p w14:paraId="451A5BF4" w14:textId="77777777" w:rsidR="00660CB5" w:rsidRPr="00917DAD" w:rsidRDefault="00660CB5" w:rsidP="00614B67">
            <w:pPr>
              <w:rPr>
                <w:kern w:val="22"/>
                <w:lang w:val="es-ES_tradnl"/>
              </w:rPr>
            </w:pPr>
            <w:bookmarkStart w:id="0" w:name="_Hlk81414000"/>
            <w:r w:rsidRPr="00917DAD">
              <w:rPr>
                <w:noProof/>
                <w:kern w:val="22"/>
                <w:lang w:val="es-ES_tradnl"/>
              </w:rPr>
              <w:drawing>
                <wp:inline distT="0" distB="0" distL="0" distR="0" wp14:anchorId="64AB8762" wp14:editId="2375AA5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F466B2C" w14:textId="6CBF3252" w:rsidR="00660CB5" w:rsidRPr="00917DAD" w:rsidRDefault="00103752" w:rsidP="00614B67">
            <w:pPr>
              <w:rPr>
                <w:kern w:val="22"/>
                <w:lang w:val="es-ES_tradnl"/>
              </w:rPr>
            </w:pPr>
            <w:r w:rsidRPr="00917DAD">
              <w:rPr>
                <w:noProof/>
                <w:lang w:val="es-ES_tradnl" w:eastAsia="es-ES"/>
              </w:rPr>
              <w:drawing>
                <wp:anchor distT="0" distB="0" distL="114300" distR="114300" simplePos="0" relativeHeight="251659264" behindDoc="0" locked="0" layoutInCell="1" allowOverlap="1" wp14:anchorId="7DFA70C4" wp14:editId="6FB15CB8">
                  <wp:simplePos x="0" y="0"/>
                  <wp:positionH relativeFrom="column">
                    <wp:posOffset>1270</wp:posOffset>
                  </wp:positionH>
                  <wp:positionV relativeFrom="paragraph">
                    <wp:posOffset>3175</wp:posOffset>
                  </wp:positionV>
                  <wp:extent cx="668020" cy="390525"/>
                  <wp:effectExtent l="0" t="0" r="0" b="9525"/>
                  <wp:wrapSquare wrapText="bothSides"/>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srcRect/>
                          <a:stretch>
                            <a:fillRect/>
                          </a:stretch>
                        </pic:blipFill>
                        <pic:spPr bwMode="auto">
                          <a:xfrm>
                            <a:off x="0" y="0"/>
                            <a:ext cx="668020" cy="390525"/>
                          </a:xfrm>
                          <a:prstGeom prst="rect">
                            <a:avLst/>
                          </a:prstGeom>
                          <a:noFill/>
                        </pic:spPr>
                      </pic:pic>
                    </a:graphicData>
                  </a:graphic>
                </wp:anchor>
              </w:drawing>
            </w:r>
          </w:p>
        </w:tc>
        <w:tc>
          <w:tcPr>
            <w:tcW w:w="4169" w:type="dxa"/>
            <w:tcBorders>
              <w:bottom w:val="single" w:sz="12" w:space="0" w:color="auto"/>
            </w:tcBorders>
          </w:tcPr>
          <w:p w14:paraId="6B8A2E0E" w14:textId="77777777" w:rsidR="00660CB5" w:rsidRPr="00917DAD" w:rsidRDefault="00660CB5" w:rsidP="00614B67">
            <w:pPr>
              <w:jc w:val="right"/>
              <w:rPr>
                <w:rFonts w:ascii="Arial" w:hAnsi="Arial" w:cs="Arial"/>
                <w:b/>
                <w:kern w:val="22"/>
                <w:sz w:val="32"/>
                <w:szCs w:val="32"/>
                <w:lang w:val="es-ES_tradnl"/>
              </w:rPr>
            </w:pPr>
            <w:r w:rsidRPr="00917DAD">
              <w:rPr>
                <w:rFonts w:ascii="Arial" w:hAnsi="Arial" w:cs="Arial"/>
                <w:b/>
                <w:kern w:val="22"/>
                <w:sz w:val="32"/>
                <w:szCs w:val="32"/>
                <w:lang w:val="es-ES_tradnl"/>
              </w:rPr>
              <w:t>CBD</w:t>
            </w:r>
          </w:p>
        </w:tc>
      </w:tr>
      <w:tr w:rsidR="00660CB5" w:rsidRPr="00154172" w14:paraId="7A608A6E" w14:textId="77777777" w:rsidTr="00103752">
        <w:tc>
          <w:tcPr>
            <w:tcW w:w="6117" w:type="dxa"/>
            <w:gridSpan w:val="2"/>
            <w:tcBorders>
              <w:top w:val="single" w:sz="12" w:space="0" w:color="auto"/>
              <w:bottom w:val="single" w:sz="36" w:space="0" w:color="auto"/>
            </w:tcBorders>
            <w:vAlign w:val="center"/>
          </w:tcPr>
          <w:p w14:paraId="6FE6DC6C" w14:textId="08189520" w:rsidR="00660CB5" w:rsidRPr="00917DAD" w:rsidRDefault="00103752" w:rsidP="00614B67">
            <w:pPr>
              <w:rPr>
                <w:kern w:val="22"/>
                <w:lang w:val="es-ES_tradnl"/>
              </w:rPr>
            </w:pPr>
            <w:r w:rsidRPr="00917DAD">
              <w:rPr>
                <w:noProof/>
                <w:snapToGrid w:val="0"/>
                <w:szCs w:val="22"/>
                <w:lang w:val="es-ES_tradnl"/>
              </w:rPr>
              <w:drawing>
                <wp:inline distT="0" distB="0" distL="0" distR="0" wp14:anchorId="321DAE43" wp14:editId="37B31EAD">
                  <wp:extent cx="2910205" cy="1081405"/>
                  <wp:effectExtent l="0" t="0" r="4445" b="444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169" w:type="dxa"/>
            <w:tcBorders>
              <w:top w:val="single" w:sz="12" w:space="0" w:color="auto"/>
              <w:bottom w:val="single" w:sz="36" w:space="0" w:color="auto"/>
            </w:tcBorders>
          </w:tcPr>
          <w:p w14:paraId="06A30962" w14:textId="77777777" w:rsidR="00660CB5" w:rsidRPr="00917DAD" w:rsidRDefault="00660CB5" w:rsidP="00614B67">
            <w:pPr>
              <w:ind w:left="1575"/>
              <w:rPr>
                <w:kern w:val="22"/>
                <w:szCs w:val="22"/>
                <w:lang w:val="es-ES_tradnl"/>
              </w:rPr>
            </w:pPr>
            <w:proofErr w:type="spellStart"/>
            <w:r w:rsidRPr="00917DAD">
              <w:rPr>
                <w:kern w:val="22"/>
                <w:szCs w:val="22"/>
                <w:lang w:val="es-ES_tradnl"/>
              </w:rPr>
              <w:t>Distr</w:t>
            </w:r>
            <w:proofErr w:type="spellEnd"/>
            <w:r w:rsidRPr="00917DAD">
              <w:rPr>
                <w:kern w:val="22"/>
                <w:szCs w:val="22"/>
                <w:lang w:val="es-ES_tradnl"/>
              </w:rPr>
              <w:t>.</w:t>
            </w:r>
          </w:p>
          <w:p w14:paraId="37ABA8AD" w14:textId="067AF20A" w:rsidR="00660CB5" w:rsidRPr="00917DAD" w:rsidRDefault="000D0253" w:rsidP="00614B67">
            <w:pPr>
              <w:ind w:left="1575"/>
              <w:rPr>
                <w:kern w:val="22"/>
                <w:szCs w:val="22"/>
                <w:lang w:val="es-ES_tradnl"/>
              </w:rPr>
            </w:pPr>
            <w:r w:rsidRPr="00917DAD">
              <w:rPr>
                <w:caps/>
                <w:kern w:val="22"/>
                <w:szCs w:val="22"/>
                <w:lang w:val="es-ES_tradnl"/>
              </w:rPr>
              <w:t>GENERAL</w:t>
            </w:r>
          </w:p>
          <w:p w14:paraId="4F72D7E7" w14:textId="77777777" w:rsidR="00660CB5" w:rsidRPr="00917DAD" w:rsidRDefault="00660CB5" w:rsidP="00614B67">
            <w:pPr>
              <w:ind w:left="1575"/>
              <w:rPr>
                <w:kern w:val="22"/>
                <w:szCs w:val="22"/>
                <w:lang w:val="es-ES_tradnl"/>
              </w:rPr>
            </w:pPr>
          </w:p>
          <w:p w14:paraId="03D197B5" w14:textId="45B8CF8A" w:rsidR="00660CB5" w:rsidRPr="00917DAD" w:rsidRDefault="00154172" w:rsidP="00614B67">
            <w:pPr>
              <w:ind w:left="1575"/>
              <w:rPr>
                <w:kern w:val="22"/>
                <w:szCs w:val="22"/>
                <w:lang w:val="es-ES_tradnl"/>
              </w:rPr>
            </w:pPr>
            <w:sdt>
              <w:sdtPr>
                <w:rPr>
                  <w:kern w:val="22"/>
                  <w:lang w:val="es-ES_tradnl"/>
                </w:rPr>
                <w:alias w:val="Subject"/>
                <w:tag w:val=""/>
                <w:id w:val="2137136483"/>
                <w:placeholder>
                  <w:docPart w:val="0FBA093D03AA40D3B5552A05951AFA73"/>
                </w:placeholder>
                <w:dataBinding w:prefixMappings="xmlns:ns0='http://purl.org/dc/elements/1.1/' xmlns:ns1='http://schemas.openxmlformats.org/package/2006/metadata/core-properties' " w:xpath="/ns1:coreProperties[1]/ns0:subject[1]" w:storeItemID="{6C3C8BC8-F283-45AE-878A-BAB7291924A1}"/>
                <w:text/>
              </w:sdtPr>
              <w:sdtEndPr/>
              <w:sdtContent>
                <w:r w:rsidR="00176586" w:rsidRPr="00917DAD">
                  <w:rPr>
                    <w:kern w:val="22"/>
                    <w:lang w:val="es-ES_tradnl"/>
                  </w:rPr>
                  <w:t>CBD/CP/MOP/10/1/</w:t>
                </w:r>
                <w:r w:rsidR="003A11A6" w:rsidRPr="00917DAD">
                  <w:rPr>
                    <w:kern w:val="22"/>
                    <w:lang w:val="es-ES_tradnl"/>
                  </w:rPr>
                  <w:t>Add</w:t>
                </w:r>
                <w:r w:rsidR="00176586" w:rsidRPr="00917DAD">
                  <w:rPr>
                    <w:kern w:val="22"/>
                    <w:lang w:val="es-ES_tradnl"/>
                  </w:rPr>
                  <w:t>.1</w:t>
                </w:r>
              </w:sdtContent>
            </w:sdt>
          </w:p>
          <w:p w14:paraId="1AB5A59E" w14:textId="7A398E55" w:rsidR="00660CB5" w:rsidRPr="00917DAD" w:rsidRDefault="003A11A6" w:rsidP="00614B67">
            <w:pPr>
              <w:ind w:left="1575"/>
              <w:rPr>
                <w:kern w:val="22"/>
                <w:szCs w:val="22"/>
                <w:lang w:val="es-ES_tradnl"/>
              </w:rPr>
            </w:pPr>
            <w:r w:rsidRPr="00917DAD">
              <w:rPr>
                <w:kern w:val="22"/>
                <w:szCs w:val="22"/>
                <w:lang w:val="es-ES_tradnl"/>
              </w:rPr>
              <w:t>20</w:t>
            </w:r>
            <w:r w:rsidR="00103752" w:rsidRPr="00917DAD">
              <w:rPr>
                <w:kern w:val="22"/>
                <w:szCs w:val="22"/>
                <w:lang w:val="es-ES_tradnl"/>
              </w:rPr>
              <w:t xml:space="preserve"> de agosto de </w:t>
            </w:r>
            <w:r w:rsidR="00660CB5" w:rsidRPr="00917DAD">
              <w:rPr>
                <w:kern w:val="22"/>
                <w:szCs w:val="22"/>
                <w:lang w:val="es-ES_tradnl"/>
              </w:rPr>
              <w:t>2021</w:t>
            </w:r>
          </w:p>
          <w:p w14:paraId="459F4DFA" w14:textId="77777777" w:rsidR="00660CB5" w:rsidRPr="00917DAD" w:rsidRDefault="00660CB5" w:rsidP="00614B67">
            <w:pPr>
              <w:ind w:left="1575"/>
              <w:rPr>
                <w:kern w:val="22"/>
                <w:szCs w:val="22"/>
                <w:lang w:val="es-ES_tradnl"/>
              </w:rPr>
            </w:pPr>
          </w:p>
          <w:p w14:paraId="2F30B370" w14:textId="6B767ED7" w:rsidR="00660CB5" w:rsidRPr="00917DAD" w:rsidRDefault="00103752" w:rsidP="005B25AE">
            <w:pPr>
              <w:spacing w:after="120"/>
              <w:ind w:left="1575"/>
              <w:rPr>
                <w:kern w:val="22"/>
                <w:lang w:val="es-ES_tradnl"/>
              </w:rPr>
            </w:pPr>
            <w:r w:rsidRPr="00917DAD">
              <w:rPr>
                <w:kern w:val="22"/>
                <w:szCs w:val="22"/>
                <w:lang w:val="es-ES_tradnl"/>
              </w:rPr>
              <w:t>ESPAÑOL</w:t>
            </w:r>
            <w:r w:rsidRPr="00917DAD">
              <w:rPr>
                <w:kern w:val="22"/>
                <w:szCs w:val="22"/>
                <w:lang w:val="es-ES_tradnl"/>
              </w:rPr>
              <w:br/>
            </w:r>
            <w:r w:rsidR="00660CB5" w:rsidRPr="00917DAD">
              <w:rPr>
                <w:kern w:val="22"/>
                <w:szCs w:val="22"/>
                <w:lang w:val="es-ES_tradnl"/>
              </w:rPr>
              <w:t xml:space="preserve">ORIGINAL: </w:t>
            </w:r>
            <w:r w:rsidRPr="00917DAD">
              <w:rPr>
                <w:kern w:val="22"/>
                <w:szCs w:val="22"/>
                <w:lang w:val="es-ES_tradnl"/>
              </w:rPr>
              <w:t>INGLÉS</w:t>
            </w:r>
          </w:p>
        </w:tc>
      </w:tr>
    </w:tbl>
    <w:p w14:paraId="221C01DC" w14:textId="080A3086" w:rsidR="001C3FBA" w:rsidRPr="00917DAD" w:rsidRDefault="00103752" w:rsidP="005B25AE">
      <w:pPr>
        <w:pStyle w:val="Cornernotation"/>
        <w:kinsoku w:val="0"/>
        <w:overflowPunct w:val="0"/>
        <w:autoSpaceDE w:val="0"/>
        <w:autoSpaceDN w:val="0"/>
        <w:spacing w:before="60"/>
        <w:ind w:left="227" w:right="4302" w:hanging="227"/>
        <w:rPr>
          <w:snapToGrid w:val="0"/>
          <w:kern w:val="22"/>
          <w:lang w:val="es-ES_tradnl"/>
        </w:rPr>
      </w:pPr>
      <w:r w:rsidRPr="00917DAD">
        <w:rPr>
          <w:snapToGrid w:val="0"/>
          <w:kern w:val="22"/>
          <w:lang w:val="es-ES_tradnl"/>
        </w:rPr>
        <w:t>CONFERENCIA DE LAS PARTES EN EL CONVENIO SOBRE LA DIVERSIDAD BIOLÓGICA QUE ACTÚA COMO REUNIÓN DE LAS PARTES EN EL PROTOCOLO DE CARTAGENA SOBRE SEGURIDAD DE LA BIOTECNOLOGÍA</w:t>
      </w:r>
    </w:p>
    <w:p w14:paraId="278015D0" w14:textId="20C45798" w:rsidR="00660370" w:rsidRPr="00917DAD" w:rsidRDefault="0014387F" w:rsidP="00910961">
      <w:pPr>
        <w:pStyle w:val="Cornernotation"/>
        <w:kinsoku w:val="0"/>
        <w:overflowPunct w:val="0"/>
        <w:autoSpaceDE w:val="0"/>
        <w:autoSpaceDN w:val="0"/>
        <w:ind w:left="0" w:right="4512" w:firstLine="0"/>
        <w:rPr>
          <w:snapToGrid w:val="0"/>
          <w:kern w:val="22"/>
          <w:lang w:val="es-ES_tradnl"/>
        </w:rPr>
      </w:pPr>
      <w:r w:rsidRPr="00917DAD">
        <w:rPr>
          <w:snapToGrid w:val="0"/>
          <w:kern w:val="22"/>
          <w:lang w:val="es-ES_tradnl"/>
        </w:rPr>
        <w:t>Décima reunión</w:t>
      </w:r>
    </w:p>
    <w:p w14:paraId="26D92168" w14:textId="74178D21" w:rsidR="003A1274" w:rsidRPr="00917DAD" w:rsidRDefault="00C254BA" w:rsidP="00660CB5">
      <w:pPr>
        <w:pStyle w:val="Cornernotation"/>
        <w:kinsoku w:val="0"/>
        <w:overflowPunct w:val="0"/>
        <w:autoSpaceDE w:val="0"/>
        <w:autoSpaceDN w:val="0"/>
        <w:ind w:left="227" w:right="4512" w:hanging="227"/>
        <w:rPr>
          <w:snapToGrid w:val="0"/>
          <w:kern w:val="22"/>
          <w:szCs w:val="22"/>
          <w:lang w:val="es-ES_tradnl" w:eastAsia="nb-NO"/>
        </w:rPr>
      </w:pPr>
      <w:bookmarkStart w:id="1" w:name="_Hlk505863673"/>
      <w:r w:rsidRPr="00917DAD">
        <w:rPr>
          <w:snapToGrid w:val="0"/>
          <w:kern w:val="22"/>
          <w:szCs w:val="22"/>
          <w:lang w:val="es-ES_tradnl" w:eastAsia="nb-NO"/>
        </w:rPr>
        <w:t>Kunming</w:t>
      </w:r>
      <w:r w:rsidR="00103752" w:rsidRPr="00917DAD">
        <w:rPr>
          <w:snapToGrid w:val="0"/>
          <w:kern w:val="22"/>
          <w:szCs w:val="22"/>
          <w:lang w:val="es-ES_tradnl" w:eastAsia="nb-NO"/>
        </w:rPr>
        <w:t xml:space="preserve"> (</w:t>
      </w:r>
      <w:bookmarkEnd w:id="1"/>
      <w:r w:rsidR="00151E2B" w:rsidRPr="00917DAD">
        <w:rPr>
          <w:snapToGrid w:val="0"/>
          <w:kern w:val="22"/>
          <w:szCs w:val="22"/>
          <w:lang w:val="es-ES_tradnl" w:eastAsia="nb-NO"/>
        </w:rPr>
        <w:t>China</w:t>
      </w:r>
      <w:r w:rsidR="00103752" w:rsidRPr="00917DAD">
        <w:rPr>
          <w:snapToGrid w:val="0"/>
          <w:kern w:val="22"/>
          <w:szCs w:val="22"/>
          <w:lang w:val="es-ES_tradnl" w:eastAsia="nb-NO"/>
        </w:rPr>
        <w:t>)</w:t>
      </w:r>
      <w:r w:rsidR="001C3FBA" w:rsidRPr="00917DAD">
        <w:rPr>
          <w:snapToGrid w:val="0"/>
          <w:kern w:val="22"/>
          <w:szCs w:val="22"/>
          <w:lang w:val="es-ES_tradnl" w:eastAsia="nb-NO"/>
        </w:rPr>
        <w:t xml:space="preserve">, </w:t>
      </w:r>
      <w:r w:rsidR="00660CB5" w:rsidRPr="00917DAD">
        <w:rPr>
          <w:snapToGrid w:val="0"/>
          <w:kern w:val="22"/>
          <w:szCs w:val="22"/>
          <w:lang w:val="es-ES_tradnl" w:eastAsia="nb-NO"/>
        </w:rPr>
        <w:t>11</w:t>
      </w:r>
      <w:r w:rsidR="00103752" w:rsidRPr="00917DAD">
        <w:rPr>
          <w:snapToGrid w:val="0"/>
          <w:kern w:val="22"/>
          <w:szCs w:val="22"/>
          <w:lang w:val="es-ES_tradnl" w:eastAsia="nb-NO"/>
        </w:rPr>
        <w:t xml:space="preserve"> a </w:t>
      </w:r>
      <w:r w:rsidR="00360039" w:rsidRPr="00917DAD">
        <w:rPr>
          <w:snapToGrid w:val="0"/>
          <w:kern w:val="22"/>
          <w:szCs w:val="22"/>
          <w:lang w:val="es-ES_tradnl" w:eastAsia="nb-NO"/>
        </w:rPr>
        <w:t xml:space="preserve">15 </w:t>
      </w:r>
      <w:r w:rsidR="00103752" w:rsidRPr="00917DAD">
        <w:rPr>
          <w:snapToGrid w:val="0"/>
          <w:kern w:val="22"/>
          <w:szCs w:val="22"/>
          <w:lang w:val="es-ES_tradnl" w:eastAsia="nb-NO"/>
        </w:rPr>
        <w:t xml:space="preserve">de octubre de </w:t>
      </w:r>
      <w:r w:rsidR="001C3FBA" w:rsidRPr="00917DAD">
        <w:rPr>
          <w:snapToGrid w:val="0"/>
          <w:kern w:val="22"/>
          <w:szCs w:val="22"/>
          <w:lang w:val="es-ES_tradnl" w:eastAsia="nb-NO"/>
        </w:rPr>
        <w:t>20</w:t>
      </w:r>
      <w:r w:rsidR="00151E2B" w:rsidRPr="00917DAD">
        <w:rPr>
          <w:snapToGrid w:val="0"/>
          <w:kern w:val="22"/>
          <w:szCs w:val="22"/>
          <w:lang w:val="es-ES_tradnl" w:eastAsia="nb-NO"/>
        </w:rPr>
        <w:t>2</w:t>
      </w:r>
      <w:r w:rsidR="00230661" w:rsidRPr="00917DAD">
        <w:rPr>
          <w:snapToGrid w:val="0"/>
          <w:kern w:val="22"/>
          <w:szCs w:val="22"/>
          <w:lang w:val="es-ES_tradnl" w:eastAsia="nb-NO"/>
        </w:rPr>
        <w:t>1</w:t>
      </w:r>
    </w:p>
    <w:p w14:paraId="57EA74CA" w14:textId="76A9E96C" w:rsidR="00360039" w:rsidRPr="00917DAD" w:rsidRDefault="00103752" w:rsidP="007C3B23">
      <w:pPr>
        <w:pStyle w:val="Cornernotation"/>
        <w:kinsoku w:val="0"/>
        <w:overflowPunct w:val="0"/>
        <w:autoSpaceDE w:val="0"/>
        <w:autoSpaceDN w:val="0"/>
        <w:ind w:left="0" w:right="4512" w:firstLine="199"/>
        <w:rPr>
          <w:snapToGrid w:val="0"/>
          <w:kern w:val="22"/>
          <w:szCs w:val="22"/>
          <w:lang w:val="es-ES_tradnl" w:eastAsia="nb-NO"/>
        </w:rPr>
      </w:pPr>
      <w:r w:rsidRPr="00917DAD">
        <w:rPr>
          <w:snapToGrid w:val="0"/>
          <w:kern w:val="22"/>
          <w:szCs w:val="22"/>
          <w:lang w:val="es-ES_tradnl" w:eastAsia="nb-NO"/>
        </w:rPr>
        <w:t xml:space="preserve">y </w:t>
      </w:r>
      <w:r w:rsidR="00176586" w:rsidRPr="00917DAD">
        <w:rPr>
          <w:snapToGrid w:val="0"/>
          <w:kern w:val="22"/>
          <w:szCs w:val="22"/>
          <w:lang w:val="es-ES_tradnl" w:eastAsia="nb-NO"/>
        </w:rPr>
        <w:t xml:space="preserve">25 </w:t>
      </w:r>
      <w:r w:rsidRPr="00917DAD">
        <w:rPr>
          <w:snapToGrid w:val="0"/>
          <w:kern w:val="22"/>
          <w:szCs w:val="22"/>
          <w:lang w:val="es-ES_tradnl" w:eastAsia="nb-NO"/>
        </w:rPr>
        <w:t xml:space="preserve">de abril a </w:t>
      </w:r>
      <w:r w:rsidR="00176586" w:rsidRPr="00917DAD">
        <w:rPr>
          <w:snapToGrid w:val="0"/>
          <w:kern w:val="22"/>
          <w:szCs w:val="22"/>
          <w:lang w:val="es-ES_tradnl" w:eastAsia="nb-NO"/>
        </w:rPr>
        <w:t xml:space="preserve">8 </w:t>
      </w:r>
      <w:r w:rsidRPr="00917DAD">
        <w:rPr>
          <w:snapToGrid w:val="0"/>
          <w:kern w:val="22"/>
          <w:szCs w:val="22"/>
          <w:lang w:val="es-ES_tradnl" w:eastAsia="nb-NO"/>
        </w:rPr>
        <w:t xml:space="preserve">de mayo de </w:t>
      </w:r>
      <w:r w:rsidR="00176586" w:rsidRPr="00917DAD">
        <w:rPr>
          <w:snapToGrid w:val="0"/>
          <w:kern w:val="22"/>
          <w:szCs w:val="22"/>
          <w:lang w:val="es-ES_tradnl" w:eastAsia="nb-NO"/>
        </w:rPr>
        <w:t>2022</w:t>
      </w:r>
    </w:p>
    <w:sdt>
      <w:sdtPr>
        <w:rPr>
          <w:rFonts w:ascii="Times New Roman Bold" w:hAnsi="Times New Roman Bold" w:cs="Times New Roman Bold"/>
          <w:b/>
          <w:bCs/>
          <w:caps/>
          <w:kern w:val="22"/>
          <w:szCs w:val="22"/>
          <w:lang w:val="es-ES_tradnl"/>
        </w:rPr>
        <w:alias w:val="Title"/>
        <w:tag w:val=""/>
        <w:id w:val="-742252089"/>
        <w:placeholder>
          <w:docPart w:val="A1D0620CB8144B3F8AF82944CFC272F1"/>
        </w:placeholder>
        <w:dataBinding w:prefixMappings="xmlns:ns0='http://purl.org/dc/elements/1.1/' xmlns:ns1='http://schemas.openxmlformats.org/package/2006/metadata/core-properties' " w:xpath="/ns1:coreProperties[1]/ns0:title[1]" w:storeItemID="{6C3C8BC8-F283-45AE-878A-BAB7291924A1}"/>
        <w:text/>
      </w:sdtPr>
      <w:sdtEndPr/>
      <w:sdtContent>
        <w:p w14:paraId="3CE47D64" w14:textId="141E5192" w:rsidR="00176CEE" w:rsidRPr="00917DAD" w:rsidRDefault="0014387F" w:rsidP="00A23AD0">
          <w:pPr>
            <w:kinsoku w:val="0"/>
            <w:overflowPunct w:val="0"/>
            <w:autoSpaceDE w:val="0"/>
            <w:autoSpaceDN w:val="0"/>
            <w:spacing w:before="240" w:after="120"/>
            <w:jc w:val="center"/>
            <w:rPr>
              <w:rFonts w:cs="Times New Roman Bold"/>
              <w:b/>
              <w:bCs/>
              <w:caps/>
              <w:snapToGrid w:val="0"/>
              <w:kern w:val="22"/>
              <w:lang w:val="es-ES_tradnl"/>
            </w:rPr>
          </w:pPr>
          <w:r w:rsidRPr="00917DAD">
            <w:rPr>
              <w:rFonts w:ascii="Times New Roman Bold" w:hAnsi="Times New Roman Bold" w:cs="Times New Roman Bold"/>
              <w:b/>
              <w:bCs/>
              <w:caps/>
              <w:kern w:val="22"/>
              <w:szCs w:val="22"/>
              <w:lang w:val="es-ES_tradnl"/>
            </w:rPr>
            <w:t>PROGRAMA PROVISIONAL</w:t>
          </w:r>
          <w:r w:rsidR="00A96E39" w:rsidRPr="00917DAD">
            <w:rPr>
              <w:rFonts w:ascii="Times New Roman Bold" w:hAnsi="Times New Roman Bold" w:cs="Times New Roman Bold"/>
              <w:b/>
              <w:bCs/>
              <w:caps/>
              <w:kern w:val="22"/>
              <w:szCs w:val="22"/>
              <w:lang w:val="es-ES_tradnl"/>
            </w:rPr>
            <w:t xml:space="preserve"> ANOTADO</w:t>
          </w:r>
        </w:p>
      </w:sdtContent>
    </w:sdt>
    <w:p w14:paraId="15DF2205" w14:textId="661D18BA" w:rsidR="003A11A6" w:rsidRPr="00917DAD" w:rsidRDefault="003A11A6" w:rsidP="003A11A6">
      <w:pPr>
        <w:keepNext/>
        <w:kinsoku w:val="0"/>
        <w:overflowPunct w:val="0"/>
        <w:autoSpaceDE w:val="0"/>
        <w:autoSpaceDN w:val="0"/>
        <w:spacing w:before="120" w:after="120"/>
        <w:jc w:val="center"/>
        <w:outlineLvl w:val="0"/>
        <w:rPr>
          <w:rFonts w:ascii="Times New Roman Bold" w:hAnsi="Times New Roman Bold" w:cs="Times New Roman Bold"/>
          <w:b/>
          <w:snapToGrid w:val="0"/>
          <w:kern w:val="22"/>
          <w:szCs w:val="22"/>
          <w:lang w:val="es-ES_tradnl"/>
        </w:rPr>
      </w:pPr>
      <w:r w:rsidRPr="00917DAD">
        <w:rPr>
          <w:rFonts w:ascii="Times New Roman Bold" w:hAnsi="Times New Roman Bold" w:cs="Times New Roman Bold"/>
          <w:b/>
          <w:snapToGrid w:val="0"/>
          <w:kern w:val="22"/>
          <w:szCs w:val="22"/>
          <w:lang w:val="es-ES_tradnl"/>
        </w:rPr>
        <w:t>INTRODU</w:t>
      </w:r>
      <w:r w:rsidR="0014387F" w:rsidRPr="00917DAD">
        <w:rPr>
          <w:rFonts w:ascii="Times New Roman Bold" w:hAnsi="Times New Roman Bold" w:cs="Times New Roman Bold"/>
          <w:b/>
          <w:snapToGrid w:val="0"/>
          <w:kern w:val="22"/>
          <w:szCs w:val="22"/>
          <w:lang w:val="es-ES_tradnl"/>
        </w:rPr>
        <w:t>CCIÓN</w:t>
      </w:r>
    </w:p>
    <w:p w14:paraId="3302774F" w14:textId="72BC1B07" w:rsidR="003A11A6" w:rsidRPr="00917DAD" w:rsidRDefault="0018089C"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zCs w:val="22"/>
          <w:lang w:val="es-ES_tradnl"/>
        </w:rPr>
        <w:t xml:space="preserve">Por invitación del Gobierno de China, y en consonancia con la </w:t>
      </w:r>
      <w:hyperlink r:id="rId15" w:history="1">
        <w:r w:rsidRPr="00917DAD">
          <w:rPr>
            <w:snapToGrid w:val="0"/>
            <w:kern w:val="22"/>
            <w:szCs w:val="22"/>
            <w:lang w:val="es-ES_tradnl"/>
          </w:rPr>
          <w:t>decisión XIII/33</w:t>
        </w:r>
      </w:hyperlink>
      <w:r w:rsidRPr="00917DAD">
        <w:rPr>
          <w:snapToGrid w:val="0"/>
          <w:kern w:val="22"/>
          <w:szCs w:val="22"/>
          <w:lang w:val="es-ES_tradnl"/>
        </w:rPr>
        <w:t xml:space="preserve"> </w:t>
      </w:r>
      <w:r w:rsidRPr="00917DAD">
        <w:rPr>
          <w:szCs w:val="22"/>
          <w:lang w:val="es-ES_tradnl"/>
        </w:rPr>
        <w:t>de la Conferencia de las Partes,</w:t>
      </w:r>
      <w:r w:rsidR="00A66068" w:rsidRPr="00917DAD">
        <w:rPr>
          <w:szCs w:val="22"/>
          <w:lang w:val="es-ES_tradnl"/>
        </w:rPr>
        <w:t xml:space="preserve"> la </w:t>
      </w:r>
      <w:r w:rsidRPr="00917DAD">
        <w:rPr>
          <w:szCs w:val="22"/>
          <w:lang w:val="es-ES_tradnl"/>
        </w:rPr>
        <w:t xml:space="preserve">décima reunión de la Conferencia de las Partes </w:t>
      </w:r>
      <w:r w:rsidRPr="00917DAD">
        <w:rPr>
          <w:snapToGrid w:val="0"/>
          <w:kern w:val="22"/>
          <w:szCs w:val="22"/>
          <w:lang w:val="es-ES_tradnl"/>
        </w:rPr>
        <w:t xml:space="preserve">que actúa como reunión de las Partes en el Protocolo de Cartagena </w:t>
      </w:r>
      <w:r w:rsidRPr="00917DAD">
        <w:rPr>
          <w:snapToGrid w:val="0"/>
          <w:color w:val="000000"/>
          <w:szCs w:val="22"/>
          <w:lang w:val="es-ES_tradnl"/>
        </w:rPr>
        <w:t>sobre Seguridad de la Biotecnología estaba previst</w:t>
      </w:r>
      <w:r w:rsidR="00A66068" w:rsidRPr="00917DAD">
        <w:rPr>
          <w:snapToGrid w:val="0"/>
          <w:color w:val="000000"/>
          <w:szCs w:val="22"/>
          <w:lang w:val="es-ES_tradnl"/>
        </w:rPr>
        <w:t xml:space="preserve">a para </w:t>
      </w:r>
      <w:r w:rsidR="00920D97" w:rsidRPr="00917DAD">
        <w:rPr>
          <w:snapToGrid w:val="0"/>
          <w:color w:val="000000"/>
          <w:szCs w:val="22"/>
          <w:lang w:val="es-ES_tradnl"/>
        </w:rPr>
        <w:t xml:space="preserve">celebrarse en </w:t>
      </w:r>
      <w:r w:rsidR="00920D97" w:rsidRPr="00917DAD">
        <w:rPr>
          <w:snapToGrid w:val="0"/>
          <w:kern w:val="22"/>
          <w:szCs w:val="22"/>
          <w:lang w:val="es-ES_tradnl"/>
        </w:rPr>
        <w:t xml:space="preserve">Kunming, provincia de </w:t>
      </w:r>
      <w:r w:rsidR="00920D97" w:rsidRPr="00917DAD">
        <w:rPr>
          <w:kern w:val="22"/>
          <w:szCs w:val="22"/>
          <w:shd w:val="clear" w:color="auto" w:fill="FFFFFF"/>
          <w:lang w:val="es-ES_tradnl"/>
        </w:rPr>
        <w:t>Yunnan (</w:t>
      </w:r>
      <w:r w:rsidR="00920D97" w:rsidRPr="00917DAD">
        <w:rPr>
          <w:snapToGrid w:val="0"/>
          <w:kern w:val="22"/>
          <w:szCs w:val="22"/>
          <w:lang w:val="es-ES_tradnl"/>
        </w:rPr>
        <w:t>China) d</w:t>
      </w:r>
      <w:r w:rsidR="00A66068" w:rsidRPr="00917DAD">
        <w:rPr>
          <w:snapToGrid w:val="0"/>
          <w:color w:val="000000"/>
          <w:szCs w:val="22"/>
          <w:lang w:val="es-ES_tradnl"/>
        </w:rPr>
        <w:t xml:space="preserve">el </w:t>
      </w:r>
      <w:r w:rsidR="00A66068" w:rsidRPr="00917DAD">
        <w:rPr>
          <w:snapToGrid w:val="0"/>
          <w:kern w:val="22"/>
          <w:szCs w:val="22"/>
          <w:lang w:val="es-ES_tradnl"/>
        </w:rPr>
        <w:t>15 al 28 de octubre de 2020</w:t>
      </w:r>
      <w:r w:rsidR="00920D97" w:rsidRPr="00917DAD">
        <w:rPr>
          <w:snapToGrid w:val="0"/>
          <w:kern w:val="22"/>
          <w:szCs w:val="22"/>
          <w:lang w:val="es-ES_tradnl"/>
        </w:rPr>
        <w:t>.</w:t>
      </w:r>
      <w:r w:rsidR="003A11A6" w:rsidRPr="00917DAD">
        <w:rPr>
          <w:snapToGrid w:val="0"/>
          <w:kern w:val="22"/>
          <w:szCs w:val="22"/>
          <w:lang w:val="es-ES_tradnl"/>
        </w:rPr>
        <w:t xml:space="preserve"> </w:t>
      </w:r>
      <w:r w:rsidR="00124DD1" w:rsidRPr="00917DAD">
        <w:rPr>
          <w:snapToGrid w:val="0"/>
          <w:kern w:val="22"/>
          <w:szCs w:val="22"/>
          <w:lang w:val="es-ES_tradnl"/>
        </w:rPr>
        <w:t xml:space="preserve">La reunión se </w:t>
      </w:r>
      <w:r w:rsidR="00920D97" w:rsidRPr="00917DAD">
        <w:rPr>
          <w:snapToGrid w:val="0"/>
          <w:kern w:val="22"/>
          <w:szCs w:val="22"/>
          <w:lang w:val="es-ES_tradnl"/>
        </w:rPr>
        <w:t xml:space="preserve">iba a celebrar </w:t>
      </w:r>
      <w:r w:rsidR="0089140D" w:rsidRPr="00917DAD">
        <w:rPr>
          <w:snapToGrid w:val="0"/>
          <w:kern w:val="22"/>
          <w:szCs w:val="22"/>
          <w:lang w:val="es-ES_tradnl"/>
        </w:rPr>
        <w:t xml:space="preserve">en forma concurrente con la 15ª reunión de la Conferencia de las Partes en el Convenio sobre la Diversidad Biológica y la cuarta reunión de la </w:t>
      </w:r>
      <w:r w:rsidR="004B6F9B" w:rsidRPr="00917DAD">
        <w:rPr>
          <w:snapToGrid w:val="0"/>
          <w:kern w:val="22"/>
          <w:szCs w:val="22"/>
          <w:lang w:val="es-ES_tradnl"/>
        </w:rPr>
        <w:t>Conferencia de las Partes que actúa como reunión de las Partes</w:t>
      </w:r>
      <w:r w:rsidR="00DC75E8" w:rsidRPr="00917DAD">
        <w:rPr>
          <w:snapToGrid w:val="0"/>
          <w:kern w:val="22"/>
          <w:szCs w:val="22"/>
          <w:lang w:val="es-ES_tradnl"/>
        </w:rPr>
        <w:t xml:space="preserve"> </w:t>
      </w:r>
      <w:r w:rsidR="0089140D" w:rsidRPr="00917DAD">
        <w:rPr>
          <w:snapToGrid w:val="0"/>
          <w:kern w:val="22"/>
          <w:szCs w:val="22"/>
          <w:lang w:val="es-ES_tradnl"/>
        </w:rPr>
        <w:t xml:space="preserve">en el Protocolo de </w:t>
      </w:r>
      <w:r w:rsidR="003A11A6" w:rsidRPr="00917DAD">
        <w:rPr>
          <w:snapToGrid w:val="0"/>
          <w:kern w:val="22"/>
          <w:szCs w:val="22"/>
          <w:lang w:val="es-ES_tradnl"/>
        </w:rPr>
        <w:t xml:space="preserve">Nagoya </w:t>
      </w:r>
      <w:r w:rsidR="0089140D" w:rsidRPr="00917DAD">
        <w:rPr>
          <w:snapToGrid w:val="0"/>
          <w:kern w:val="22"/>
          <w:szCs w:val="22"/>
          <w:lang w:val="es-ES_tradnl"/>
        </w:rPr>
        <w:t>sobre Acceso a los Recursos Genéticos y Participación Justa y Equitativa en los Beneficios que se Deriven de su Utilización</w:t>
      </w:r>
      <w:r w:rsidR="003A11A6" w:rsidRPr="00917DAD">
        <w:rPr>
          <w:snapToGrid w:val="0"/>
          <w:kern w:val="22"/>
          <w:szCs w:val="22"/>
          <w:lang w:val="es-ES_tradnl"/>
        </w:rPr>
        <w:t xml:space="preserve">. </w:t>
      </w:r>
      <w:r w:rsidR="0089140D" w:rsidRPr="00917DAD">
        <w:rPr>
          <w:snapToGrid w:val="0"/>
          <w:kern w:val="22"/>
          <w:szCs w:val="22"/>
          <w:lang w:val="es-ES_tradnl"/>
        </w:rPr>
        <w:t>Sin embargo, debido a la actual pandemia de</w:t>
      </w:r>
      <w:r w:rsidR="003A11A6" w:rsidRPr="00917DAD">
        <w:rPr>
          <w:snapToGrid w:val="0"/>
          <w:kern w:val="22"/>
          <w:szCs w:val="22"/>
          <w:lang w:val="es-ES_tradnl"/>
        </w:rPr>
        <w:t xml:space="preserve"> COVID-19, </w:t>
      </w:r>
      <w:r w:rsidR="0089140D" w:rsidRPr="00917DAD">
        <w:rPr>
          <w:snapToGrid w:val="0"/>
          <w:kern w:val="22"/>
          <w:szCs w:val="22"/>
          <w:lang w:val="es-ES_tradnl"/>
        </w:rPr>
        <w:t xml:space="preserve">se postergaron las reuniones </w:t>
      </w:r>
      <w:r w:rsidR="003A11A6" w:rsidRPr="00917DAD">
        <w:rPr>
          <w:snapToGrid w:val="0"/>
          <w:kern w:val="22"/>
          <w:szCs w:val="22"/>
          <w:lang w:val="es-ES_tradnl"/>
        </w:rPr>
        <w:t>(</w:t>
      </w:r>
      <w:r w:rsidR="0089140D" w:rsidRPr="00917DAD">
        <w:rPr>
          <w:snapToGrid w:val="0"/>
          <w:kern w:val="22"/>
          <w:szCs w:val="22"/>
          <w:lang w:val="es-ES_tradnl"/>
        </w:rPr>
        <w:t xml:space="preserve">para más información, véase el programa provisional anotado para la Parte </w:t>
      </w:r>
      <w:r w:rsidR="003A11A6" w:rsidRPr="00917DAD">
        <w:rPr>
          <w:snapToGrid w:val="0"/>
          <w:kern w:val="22"/>
          <w:szCs w:val="22"/>
          <w:lang w:val="es-ES_tradnl"/>
        </w:rPr>
        <w:t xml:space="preserve">I </w:t>
      </w:r>
      <w:r w:rsidR="0089140D" w:rsidRPr="00917DAD">
        <w:rPr>
          <w:snapToGrid w:val="0"/>
          <w:kern w:val="22"/>
          <w:szCs w:val="22"/>
          <w:lang w:val="es-ES_tradnl"/>
        </w:rPr>
        <w:t xml:space="preserve">de la 15ª reunión de la Conferencia de las Partes en el Convenio </w:t>
      </w:r>
      <w:r w:rsidR="00B56957" w:rsidRPr="00917DAD">
        <w:rPr>
          <w:snapToGrid w:val="0"/>
          <w:kern w:val="22"/>
          <w:szCs w:val="22"/>
          <w:lang w:val="es-ES_tradnl"/>
        </w:rPr>
        <w:t>(</w:t>
      </w:r>
      <w:r w:rsidR="003A11A6" w:rsidRPr="00917DAD">
        <w:rPr>
          <w:snapToGrid w:val="0"/>
          <w:kern w:val="22"/>
          <w:szCs w:val="22"/>
          <w:lang w:val="es-ES_tradnl"/>
        </w:rPr>
        <w:t>CBD/COP/15/1/Add.1</w:t>
      </w:r>
      <w:r w:rsidR="00B56957" w:rsidRPr="00917DAD">
        <w:rPr>
          <w:snapToGrid w:val="0"/>
          <w:kern w:val="22"/>
          <w:szCs w:val="22"/>
          <w:lang w:val="es-ES_tradnl"/>
        </w:rPr>
        <w:t>)</w:t>
      </w:r>
      <w:r w:rsidR="003A11A6" w:rsidRPr="00917DAD">
        <w:rPr>
          <w:snapToGrid w:val="0"/>
          <w:kern w:val="22"/>
          <w:szCs w:val="22"/>
          <w:lang w:val="es-ES_tradnl"/>
        </w:rPr>
        <w:t>).</w:t>
      </w:r>
    </w:p>
    <w:p w14:paraId="00A7E2C7" w14:textId="0422D09E" w:rsidR="003A11A6" w:rsidRPr="00917DAD" w:rsidRDefault="00D45195"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napToGrid w:val="0"/>
          <w:kern w:val="22"/>
          <w:szCs w:val="22"/>
          <w:lang w:val="es-ES_tradnl"/>
        </w:rPr>
        <w:t>Tras amplias consultas, y teniendo en cuenta las dificultadas que la situación de</w:t>
      </w:r>
      <w:r w:rsidR="00920D97" w:rsidRPr="00917DAD">
        <w:rPr>
          <w:snapToGrid w:val="0"/>
          <w:kern w:val="22"/>
          <w:szCs w:val="22"/>
          <w:lang w:val="es-ES_tradnl"/>
        </w:rPr>
        <w:t xml:space="preserve"> la</w:t>
      </w:r>
      <w:r w:rsidRPr="00917DAD">
        <w:rPr>
          <w:snapToGrid w:val="0"/>
          <w:kern w:val="22"/>
          <w:szCs w:val="22"/>
          <w:lang w:val="es-ES_tradnl"/>
        </w:rPr>
        <w:t xml:space="preserve"> pandemia todavía plantea para </w:t>
      </w:r>
      <w:r w:rsidR="00920D97" w:rsidRPr="00917DAD">
        <w:rPr>
          <w:snapToGrid w:val="0"/>
          <w:kern w:val="22"/>
          <w:szCs w:val="22"/>
          <w:lang w:val="es-ES_tradnl"/>
        </w:rPr>
        <w:t xml:space="preserve">convocar </w:t>
      </w:r>
      <w:r w:rsidRPr="00917DAD">
        <w:rPr>
          <w:snapToGrid w:val="0"/>
          <w:kern w:val="22"/>
          <w:szCs w:val="22"/>
          <w:lang w:val="es-ES_tradnl"/>
        </w:rPr>
        <w:t>reuniones presenciales, la Mesa decidió, en su reunión del 19 de julio de 2021, celebrar la décima reunión de las Partes en el Protocolo de Cartagena, la 15ª reunión de la Conferencia de las Partes y la cuarta reunión de la Partes en el Protocolo de Nagoya en dos partes</w:t>
      </w:r>
      <w:r w:rsidR="0043074A" w:rsidRPr="00917DAD">
        <w:rPr>
          <w:snapToGrid w:val="0"/>
          <w:kern w:val="22"/>
          <w:szCs w:val="22"/>
          <w:lang w:val="es-ES_tradnl"/>
        </w:rPr>
        <w:t>:</w:t>
      </w:r>
      <w:r w:rsidR="003A11A6" w:rsidRPr="00917DAD">
        <w:rPr>
          <w:snapToGrid w:val="0"/>
          <w:kern w:val="22"/>
          <w:szCs w:val="22"/>
          <w:lang w:val="es-ES_tradnl"/>
        </w:rPr>
        <w:t xml:space="preserve"> </w:t>
      </w:r>
      <w:r w:rsidRPr="00917DAD">
        <w:rPr>
          <w:snapToGrid w:val="0"/>
          <w:kern w:val="22"/>
          <w:szCs w:val="22"/>
          <w:lang w:val="es-ES_tradnl"/>
        </w:rPr>
        <w:t xml:space="preserve">la primera parte </w:t>
      </w:r>
      <w:r w:rsidR="003A11A6" w:rsidRPr="00917DAD">
        <w:rPr>
          <w:snapToGrid w:val="0"/>
          <w:kern w:val="22"/>
          <w:szCs w:val="22"/>
          <w:lang w:val="es-ES_tradnl"/>
        </w:rPr>
        <w:t>(Part</w:t>
      </w:r>
      <w:r w:rsidRPr="00917DAD">
        <w:rPr>
          <w:snapToGrid w:val="0"/>
          <w:kern w:val="22"/>
          <w:szCs w:val="22"/>
          <w:lang w:val="es-ES_tradnl"/>
        </w:rPr>
        <w:t>e</w:t>
      </w:r>
      <w:r w:rsidR="003A11A6" w:rsidRPr="00917DAD">
        <w:rPr>
          <w:snapToGrid w:val="0"/>
          <w:kern w:val="22"/>
          <w:szCs w:val="22"/>
          <w:lang w:val="es-ES_tradnl"/>
        </w:rPr>
        <w:t xml:space="preserve"> I) </w:t>
      </w:r>
      <w:r w:rsidRPr="00917DAD">
        <w:rPr>
          <w:snapToGrid w:val="0"/>
          <w:kern w:val="22"/>
          <w:szCs w:val="22"/>
          <w:lang w:val="es-ES_tradnl"/>
        </w:rPr>
        <w:t xml:space="preserve">se celebrará </w:t>
      </w:r>
      <w:r w:rsidR="00DF72A9" w:rsidRPr="00917DAD">
        <w:rPr>
          <w:snapToGrid w:val="0"/>
          <w:kern w:val="22"/>
          <w:szCs w:val="22"/>
          <w:lang w:val="es-ES_tradnl"/>
        </w:rPr>
        <w:t xml:space="preserve">en línea del 11 al 15 de octubre de </w:t>
      </w:r>
      <w:r w:rsidR="003A11A6" w:rsidRPr="00917DAD">
        <w:rPr>
          <w:snapToGrid w:val="0"/>
          <w:kern w:val="22"/>
          <w:szCs w:val="22"/>
          <w:lang w:val="es-ES_tradnl"/>
        </w:rPr>
        <w:t>2021</w:t>
      </w:r>
      <w:r w:rsidR="00DF72A9" w:rsidRPr="00917DAD">
        <w:rPr>
          <w:snapToGrid w:val="0"/>
          <w:kern w:val="22"/>
          <w:szCs w:val="22"/>
          <w:lang w:val="es-ES_tradnl"/>
        </w:rPr>
        <w:t xml:space="preserve">, y la segunda parte </w:t>
      </w:r>
      <w:r w:rsidR="003A11A6" w:rsidRPr="00917DAD">
        <w:rPr>
          <w:snapToGrid w:val="0"/>
          <w:kern w:val="22"/>
          <w:szCs w:val="22"/>
          <w:lang w:val="es-ES_tradnl"/>
        </w:rPr>
        <w:t>(Part</w:t>
      </w:r>
      <w:r w:rsidR="00DF72A9" w:rsidRPr="00917DAD">
        <w:rPr>
          <w:snapToGrid w:val="0"/>
          <w:kern w:val="22"/>
          <w:szCs w:val="22"/>
          <w:lang w:val="es-ES_tradnl"/>
        </w:rPr>
        <w:t>e</w:t>
      </w:r>
      <w:r w:rsidR="003A11A6" w:rsidRPr="00917DAD">
        <w:rPr>
          <w:snapToGrid w:val="0"/>
          <w:kern w:val="22"/>
          <w:szCs w:val="22"/>
          <w:lang w:val="es-ES_tradnl"/>
        </w:rPr>
        <w:t xml:space="preserve"> II) </w:t>
      </w:r>
      <w:r w:rsidR="00DF72A9" w:rsidRPr="00917DAD">
        <w:rPr>
          <w:snapToGrid w:val="0"/>
          <w:kern w:val="22"/>
          <w:szCs w:val="22"/>
          <w:lang w:val="es-ES_tradnl"/>
        </w:rPr>
        <w:t xml:space="preserve">se celebrará en forma presencial en </w:t>
      </w:r>
      <w:r w:rsidR="003A11A6" w:rsidRPr="00917DAD">
        <w:rPr>
          <w:snapToGrid w:val="0"/>
          <w:kern w:val="22"/>
          <w:szCs w:val="22"/>
          <w:lang w:val="es-ES_tradnl"/>
        </w:rPr>
        <w:t>Kunming</w:t>
      </w:r>
      <w:r w:rsidR="00DF72A9" w:rsidRPr="00917DAD">
        <w:rPr>
          <w:snapToGrid w:val="0"/>
          <w:kern w:val="22"/>
          <w:szCs w:val="22"/>
          <w:lang w:val="es-ES_tradnl"/>
        </w:rPr>
        <w:t xml:space="preserve"> (</w:t>
      </w:r>
      <w:r w:rsidR="003A11A6" w:rsidRPr="00917DAD">
        <w:rPr>
          <w:snapToGrid w:val="0"/>
          <w:kern w:val="22"/>
          <w:szCs w:val="22"/>
          <w:lang w:val="es-ES_tradnl"/>
        </w:rPr>
        <w:t>China</w:t>
      </w:r>
      <w:r w:rsidR="00DF72A9" w:rsidRPr="00917DAD">
        <w:rPr>
          <w:snapToGrid w:val="0"/>
          <w:kern w:val="22"/>
          <w:szCs w:val="22"/>
          <w:lang w:val="es-ES_tradnl"/>
        </w:rPr>
        <w:t>)</w:t>
      </w:r>
      <w:r w:rsidR="003A11A6" w:rsidRPr="00917DAD">
        <w:rPr>
          <w:snapToGrid w:val="0"/>
          <w:kern w:val="22"/>
          <w:szCs w:val="22"/>
          <w:lang w:val="es-ES_tradnl"/>
        </w:rPr>
        <w:t xml:space="preserve">, </w:t>
      </w:r>
      <w:r w:rsidR="00DF72A9" w:rsidRPr="00917DAD">
        <w:rPr>
          <w:snapToGrid w:val="0"/>
          <w:kern w:val="22"/>
          <w:szCs w:val="22"/>
          <w:lang w:val="es-ES_tradnl"/>
        </w:rPr>
        <w:t xml:space="preserve">del 25 de abril al 8 de mayo de </w:t>
      </w:r>
      <w:r w:rsidR="003A11A6" w:rsidRPr="00917DAD">
        <w:rPr>
          <w:snapToGrid w:val="0"/>
          <w:kern w:val="22"/>
          <w:szCs w:val="22"/>
          <w:lang w:val="es-ES_tradnl"/>
        </w:rPr>
        <w:t xml:space="preserve">2022. </w:t>
      </w:r>
      <w:r w:rsidR="00DF72A9" w:rsidRPr="00917DAD">
        <w:rPr>
          <w:snapToGrid w:val="0"/>
          <w:kern w:val="22"/>
          <w:szCs w:val="22"/>
          <w:lang w:val="es-ES_tradnl"/>
        </w:rPr>
        <w:t>La Parte I de la reunión, si bien se convoca en forma virtual</w:t>
      </w:r>
      <w:r w:rsidR="003A11A6" w:rsidRPr="00917DAD">
        <w:rPr>
          <w:snapToGrid w:val="0"/>
          <w:kern w:val="22"/>
          <w:szCs w:val="22"/>
          <w:lang w:val="es-ES_tradnl"/>
        </w:rPr>
        <w:t xml:space="preserve">, </w:t>
      </w:r>
      <w:r w:rsidR="00DF72A9" w:rsidRPr="00917DAD">
        <w:rPr>
          <w:snapToGrid w:val="0"/>
          <w:kern w:val="22"/>
          <w:szCs w:val="22"/>
          <w:lang w:val="es-ES_tradnl"/>
        </w:rPr>
        <w:t xml:space="preserve">incluirá una presencia limitada de delegados en </w:t>
      </w:r>
      <w:r w:rsidR="003A11A6" w:rsidRPr="00917DAD">
        <w:rPr>
          <w:snapToGrid w:val="0"/>
          <w:kern w:val="22"/>
          <w:szCs w:val="22"/>
          <w:lang w:val="es-ES_tradnl"/>
        </w:rPr>
        <w:t>Kunming</w:t>
      </w:r>
      <w:r w:rsidR="00DF72A9" w:rsidRPr="00917DAD">
        <w:rPr>
          <w:snapToGrid w:val="0"/>
          <w:kern w:val="22"/>
          <w:szCs w:val="22"/>
          <w:lang w:val="es-ES_tradnl"/>
        </w:rPr>
        <w:t xml:space="preserve"> (</w:t>
      </w:r>
      <w:r w:rsidR="003A11A6" w:rsidRPr="00917DAD">
        <w:rPr>
          <w:snapToGrid w:val="0"/>
          <w:kern w:val="22"/>
          <w:szCs w:val="22"/>
          <w:lang w:val="es-ES_tradnl"/>
        </w:rPr>
        <w:t>China</w:t>
      </w:r>
      <w:r w:rsidR="00DF72A9" w:rsidRPr="00917DAD">
        <w:rPr>
          <w:snapToGrid w:val="0"/>
          <w:kern w:val="22"/>
          <w:szCs w:val="22"/>
          <w:lang w:val="es-ES_tradnl"/>
        </w:rPr>
        <w:t>)</w:t>
      </w:r>
      <w:r w:rsidR="003A11A6" w:rsidRPr="00917DAD">
        <w:rPr>
          <w:snapToGrid w:val="0"/>
          <w:kern w:val="22"/>
          <w:szCs w:val="22"/>
          <w:lang w:val="es-ES_tradnl"/>
        </w:rPr>
        <w:t xml:space="preserve">. </w:t>
      </w:r>
      <w:r w:rsidR="00DF72A9" w:rsidRPr="00917DAD">
        <w:rPr>
          <w:snapToGrid w:val="0"/>
          <w:kern w:val="22"/>
          <w:szCs w:val="22"/>
          <w:lang w:val="es-ES_tradnl"/>
        </w:rPr>
        <w:t>La Mesa, el país anfitrión y la Secretaría seguirán de cerca la evolución de la situación de la pandemia a fin de adoptar medidas alternativas en caso de que la modalidad y el calendario de la Parte II de la reunión, que</w:t>
      </w:r>
      <w:r w:rsidR="00110921" w:rsidRPr="00917DAD">
        <w:rPr>
          <w:snapToGrid w:val="0"/>
          <w:kern w:val="22"/>
          <w:szCs w:val="22"/>
          <w:lang w:val="es-ES_tradnl"/>
        </w:rPr>
        <w:t xml:space="preserve"> se prevé </w:t>
      </w:r>
      <w:r w:rsidR="00DF72A9" w:rsidRPr="00917DAD">
        <w:rPr>
          <w:snapToGrid w:val="0"/>
          <w:kern w:val="22"/>
          <w:szCs w:val="22"/>
          <w:lang w:val="es-ES_tradnl"/>
        </w:rPr>
        <w:t xml:space="preserve">celebrar en forma presencial en Kunming (China) </w:t>
      </w:r>
      <w:r w:rsidR="00A1525C" w:rsidRPr="00917DAD">
        <w:rPr>
          <w:snapToGrid w:val="0"/>
          <w:kern w:val="22"/>
          <w:szCs w:val="22"/>
          <w:lang w:val="es-ES_tradnl"/>
        </w:rPr>
        <w:t>no sea</w:t>
      </w:r>
      <w:r w:rsidR="00110921" w:rsidRPr="00917DAD">
        <w:rPr>
          <w:snapToGrid w:val="0"/>
          <w:kern w:val="22"/>
          <w:szCs w:val="22"/>
          <w:lang w:val="es-ES_tradnl"/>
        </w:rPr>
        <w:t>n</w:t>
      </w:r>
      <w:r w:rsidR="00A1525C" w:rsidRPr="00917DAD">
        <w:rPr>
          <w:snapToGrid w:val="0"/>
          <w:kern w:val="22"/>
          <w:szCs w:val="22"/>
          <w:lang w:val="es-ES_tradnl"/>
        </w:rPr>
        <w:t xml:space="preserve"> factible</w:t>
      </w:r>
      <w:r w:rsidR="00110921" w:rsidRPr="00917DAD">
        <w:rPr>
          <w:snapToGrid w:val="0"/>
          <w:kern w:val="22"/>
          <w:szCs w:val="22"/>
          <w:lang w:val="es-ES_tradnl"/>
        </w:rPr>
        <w:t>s</w:t>
      </w:r>
      <w:r w:rsidR="003A11A6" w:rsidRPr="00917DAD">
        <w:rPr>
          <w:snapToGrid w:val="0"/>
          <w:kern w:val="22"/>
          <w:szCs w:val="22"/>
          <w:lang w:val="es-ES_tradnl"/>
        </w:rPr>
        <w:t>.</w:t>
      </w:r>
    </w:p>
    <w:p w14:paraId="5B91C087" w14:textId="0D7C469E" w:rsidR="00991401" w:rsidRPr="00917DAD" w:rsidRDefault="00BC5408" w:rsidP="00991401">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spacing w:val="-2"/>
          <w:kern w:val="22"/>
          <w:szCs w:val="22"/>
          <w:lang w:val="es-ES_tradnl"/>
        </w:rPr>
      </w:pPr>
      <w:r w:rsidRPr="00917DAD">
        <w:rPr>
          <w:snapToGrid w:val="0"/>
          <w:spacing w:val="-2"/>
          <w:kern w:val="22"/>
          <w:szCs w:val="22"/>
          <w:lang w:val="es-ES_tradnl"/>
        </w:rPr>
        <w:t xml:space="preserve">La Mesa examinó y ultimó el programa provisional para la reunión </w:t>
      </w:r>
      <w:r w:rsidR="003A11A6" w:rsidRPr="00917DAD">
        <w:rPr>
          <w:snapToGrid w:val="0"/>
          <w:spacing w:val="-2"/>
          <w:kern w:val="22"/>
          <w:szCs w:val="22"/>
          <w:lang w:val="es-ES_tradnl"/>
        </w:rPr>
        <w:t>(CBD/CP/MOP/10/1</w:t>
      </w:r>
      <w:r w:rsidR="008F5851" w:rsidRPr="00917DAD">
        <w:rPr>
          <w:snapToGrid w:val="0"/>
          <w:spacing w:val="-2"/>
          <w:kern w:val="22"/>
          <w:szCs w:val="22"/>
          <w:lang w:val="es-ES_tradnl"/>
        </w:rPr>
        <w:t>/Rev.1</w:t>
      </w:r>
      <w:r w:rsidR="003A11A6" w:rsidRPr="00917DAD">
        <w:rPr>
          <w:snapToGrid w:val="0"/>
          <w:spacing w:val="-2"/>
          <w:kern w:val="22"/>
          <w:szCs w:val="22"/>
          <w:lang w:val="es-ES_tradnl"/>
        </w:rPr>
        <w:t xml:space="preserve">) </w:t>
      </w:r>
      <w:r w:rsidRPr="00917DAD">
        <w:rPr>
          <w:snapToGrid w:val="0"/>
          <w:spacing w:val="-2"/>
          <w:kern w:val="22"/>
          <w:szCs w:val="22"/>
          <w:lang w:val="es-ES_tradnl"/>
        </w:rPr>
        <w:t>en su reunión, celebrada en línea, del 26 de abril de</w:t>
      </w:r>
      <w:r w:rsidR="003A11A6" w:rsidRPr="00917DAD">
        <w:rPr>
          <w:snapToGrid w:val="0"/>
          <w:spacing w:val="-2"/>
          <w:kern w:val="22"/>
          <w:szCs w:val="22"/>
          <w:lang w:val="es-ES_tradnl"/>
        </w:rPr>
        <w:t xml:space="preserve"> 2021. </w:t>
      </w:r>
      <w:r w:rsidRPr="00917DAD">
        <w:rPr>
          <w:snapToGrid w:val="0"/>
          <w:spacing w:val="-2"/>
          <w:kern w:val="22"/>
          <w:szCs w:val="22"/>
          <w:lang w:val="es-ES_tradnl"/>
        </w:rPr>
        <w:t xml:space="preserve">También examinó el </w:t>
      </w:r>
      <w:r w:rsidR="00991401" w:rsidRPr="00917DAD">
        <w:rPr>
          <w:snapToGrid w:val="0"/>
          <w:spacing w:val="-2"/>
          <w:kern w:val="22"/>
          <w:szCs w:val="22"/>
          <w:lang w:val="es-ES_tradnl"/>
        </w:rPr>
        <w:t xml:space="preserve">borrador preliminar de </w:t>
      </w:r>
      <w:r w:rsidRPr="00917DAD">
        <w:rPr>
          <w:snapToGrid w:val="0"/>
          <w:spacing w:val="-2"/>
          <w:kern w:val="22"/>
          <w:szCs w:val="22"/>
          <w:lang w:val="es-ES_tradnl"/>
        </w:rPr>
        <w:t>anotaciones</w:t>
      </w:r>
      <w:r w:rsidR="003A11A6" w:rsidRPr="00917DAD">
        <w:rPr>
          <w:snapToGrid w:val="0"/>
          <w:spacing w:val="-2"/>
          <w:kern w:val="22"/>
          <w:szCs w:val="22"/>
          <w:lang w:val="es-ES_tradnl"/>
        </w:rPr>
        <w:t xml:space="preserve">. </w:t>
      </w:r>
      <w:r w:rsidR="00972FF5" w:rsidRPr="00917DAD">
        <w:rPr>
          <w:snapToGrid w:val="0"/>
          <w:spacing w:val="-2"/>
          <w:kern w:val="22"/>
          <w:szCs w:val="22"/>
          <w:lang w:val="es-ES_tradnl"/>
        </w:rPr>
        <w:t>La Secretaria Ejecutiva concluyó posteriormente las anotaciones relativas a los temas del programa que se tratarán en la Parte I de la reunión</w:t>
      </w:r>
      <w:r w:rsidR="003A11A6" w:rsidRPr="00917DAD">
        <w:rPr>
          <w:snapToGrid w:val="0"/>
          <w:spacing w:val="-2"/>
          <w:kern w:val="22"/>
          <w:szCs w:val="22"/>
          <w:lang w:val="es-ES_tradnl"/>
        </w:rPr>
        <w:t>,</w:t>
      </w:r>
      <w:r w:rsidR="00972FF5" w:rsidRPr="00917DAD">
        <w:rPr>
          <w:snapToGrid w:val="0"/>
          <w:spacing w:val="-2"/>
          <w:kern w:val="22"/>
          <w:szCs w:val="22"/>
          <w:lang w:val="es-ES_tradnl"/>
        </w:rPr>
        <w:t xml:space="preserve"> teniendo en cuenta las observaciones de la Mesa en su reunión del 26 de abril, las que figuran en el presente documento</w:t>
      </w:r>
      <w:r w:rsidR="003A11A6" w:rsidRPr="00917DAD">
        <w:rPr>
          <w:snapToGrid w:val="0"/>
          <w:spacing w:val="-2"/>
          <w:kern w:val="22"/>
          <w:szCs w:val="22"/>
          <w:lang w:val="es-ES_tradnl"/>
        </w:rPr>
        <w:t xml:space="preserve">. </w:t>
      </w:r>
      <w:r w:rsidR="00972FF5" w:rsidRPr="00917DAD">
        <w:rPr>
          <w:snapToGrid w:val="0"/>
          <w:spacing w:val="-2"/>
          <w:kern w:val="22"/>
          <w:szCs w:val="22"/>
          <w:lang w:val="es-ES_tradnl"/>
        </w:rPr>
        <w:t xml:space="preserve">Las anotaciones correspondientes a los temas del programa que se tratarán en la Parte II de la reunión se concluirán y actualizarán a la luz de los resultados de la 24ª reunión del </w:t>
      </w:r>
      <w:r w:rsidR="00972FF5" w:rsidRPr="00917DAD">
        <w:rPr>
          <w:szCs w:val="22"/>
          <w:lang w:val="es-ES_tradnl"/>
        </w:rPr>
        <w:t xml:space="preserve">Órgano Subsidiario de Asesoramiento Científico, Técnico y Tecnológico, la tercera reunión del Órgano Subsidiario sobre la Aplicación, y una reunión adicional del </w:t>
      </w:r>
      <w:r w:rsidR="00991401" w:rsidRPr="00917DAD">
        <w:rPr>
          <w:lang w:val="es-ES_tradnl"/>
        </w:rPr>
        <w:t>Grupo de Trabajo de Composición Abierta sobre el Marco Mundial de la Diversidad Biológica posterior a 2020.</w:t>
      </w:r>
    </w:p>
    <w:p w14:paraId="5A58F905" w14:textId="03650CEE" w:rsidR="003A11A6" w:rsidRPr="00917DAD" w:rsidRDefault="00121B9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napToGrid w:val="0"/>
          <w:kern w:val="22"/>
          <w:szCs w:val="22"/>
          <w:lang w:val="es-ES_tradnl"/>
        </w:rPr>
        <w:t>Los temas siguientes del programa se tratarán en la Parte I de la reunión</w:t>
      </w:r>
      <w:r w:rsidR="003A11A6" w:rsidRPr="00917DAD">
        <w:rPr>
          <w:snapToGrid w:val="0"/>
          <w:kern w:val="22"/>
          <w:szCs w:val="22"/>
          <w:lang w:val="es-ES_tradnl"/>
        </w:rPr>
        <w:t>: 1 (</w:t>
      </w:r>
      <w:r w:rsidRPr="00917DAD">
        <w:rPr>
          <w:snapToGrid w:val="0"/>
          <w:kern w:val="22"/>
          <w:szCs w:val="22"/>
          <w:lang w:val="es-ES_tradnl"/>
        </w:rPr>
        <w:t>apertura de la reunión</w:t>
      </w:r>
      <w:r w:rsidR="003A11A6" w:rsidRPr="00917DAD">
        <w:rPr>
          <w:snapToGrid w:val="0"/>
          <w:kern w:val="22"/>
          <w:szCs w:val="22"/>
          <w:lang w:val="es-ES_tradnl"/>
        </w:rPr>
        <w:t>)</w:t>
      </w:r>
      <w:r w:rsidR="00302A9B" w:rsidRPr="00917DAD">
        <w:rPr>
          <w:snapToGrid w:val="0"/>
          <w:kern w:val="22"/>
          <w:szCs w:val="22"/>
          <w:lang w:val="es-ES_tradnl"/>
        </w:rPr>
        <w:t>;</w:t>
      </w:r>
      <w:r w:rsidR="003A11A6" w:rsidRPr="00917DAD">
        <w:rPr>
          <w:snapToGrid w:val="0"/>
          <w:kern w:val="22"/>
          <w:szCs w:val="22"/>
          <w:lang w:val="es-ES_tradnl"/>
        </w:rPr>
        <w:t xml:space="preserve"> 2 (</w:t>
      </w:r>
      <w:r w:rsidRPr="00917DAD">
        <w:rPr>
          <w:snapToGrid w:val="0"/>
          <w:kern w:val="22"/>
          <w:szCs w:val="22"/>
          <w:lang w:val="es-ES_tradnl"/>
        </w:rPr>
        <w:t>cuestiones de organización</w:t>
      </w:r>
      <w:r w:rsidR="003A11A6" w:rsidRPr="00917DAD">
        <w:rPr>
          <w:snapToGrid w:val="0"/>
          <w:kern w:val="22"/>
          <w:szCs w:val="22"/>
          <w:lang w:val="es-ES_tradnl"/>
        </w:rPr>
        <w:t>)</w:t>
      </w:r>
      <w:r w:rsidR="00302A9B" w:rsidRPr="00917DAD">
        <w:rPr>
          <w:snapToGrid w:val="0"/>
          <w:kern w:val="22"/>
          <w:szCs w:val="22"/>
          <w:lang w:val="es-ES_tradnl"/>
        </w:rPr>
        <w:t>;</w:t>
      </w:r>
      <w:r w:rsidR="003A11A6" w:rsidRPr="00917DAD">
        <w:rPr>
          <w:snapToGrid w:val="0"/>
          <w:kern w:val="22"/>
          <w:szCs w:val="22"/>
          <w:lang w:val="es-ES_tradnl"/>
        </w:rPr>
        <w:t xml:space="preserve"> 3 (</w:t>
      </w:r>
      <w:r w:rsidR="00B010F5" w:rsidRPr="00917DAD">
        <w:rPr>
          <w:snapToGrid w:val="0"/>
          <w:kern w:val="22"/>
          <w:szCs w:val="22"/>
          <w:lang w:val="es-ES_tradnl"/>
        </w:rPr>
        <w:t>i</w:t>
      </w:r>
      <w:r w:rsidRPr="00917DAD">
        <w:rPr>
          <w:snapToGrid w:val="0"/>
          <w:kern w:val="22"/>
          <w:szCs w:val="22"/>
          <w:lang w:val="es-ES_tradnl"/>
        </w:rPr>
        <w:t xml:space="preserve">nforme sobre las credenciales de los representantes en la 10ª reunión de la </w:t>
      </w:r>
      <w:r w:rsidRPr="00917DAD">
        <w:rPr>
          <w:snapToGrid w:val="0"/>
          <w:kern w:val="22"/>
          <w:szCs w:val="22"/>
          <w:lang w:val="es-ES_tradnl"/>
        </w:rPr>
        <w:lastRenderedPageBreak/>
        <w:t>Conferencia de las Partes que actúa como reunión de las Partes en el Protocolo de Cartagena</w:t>
      </w:r>
      <w:r w:rsidR="003A11A6" w:rsidRPr="00917DAD">
        <w:rPr>
          <w:snapToGrid w:val="0"/>
          <w:kern w:val="22"/>
          <w:szCs w:val="22"/>
          <w:lang w:val="es-ES_tradnl"/>
        </w:rPr>
        <w:t>)</w:t>
      </w:r>
      <w:r w:rsidR="00302A9B" w:rsidRPr="00917DAD">
        <w:rPr>
          <w:snapToGrid w:val="0"/>
          <w:kern w:val="22"/>
          <w:szCs w:val="22"/>
          <w:lang w:val="es-ES_tradnl"/>
        </w:rPr>
        <w:t>;</w:t>
      </w:r>
      <w:r w:rsidR="003A11A6" w:rsidRPr="00917DAD">
        <w:rPr>
          <w:snapToGrid w:val="0"/>
          <w:kern w:val="22"/>
          <w:szCs w:val="22"/>
          <w:lang w:val="es-ES_tradnl"/>
        </w:rPr>
        <w:t xml:space="preserve"> 4 (</w:t>
      </w:r>
      <w:r w:rsidRPr="00917DAD">
        <w:rPr>
          <w:snapToGrid w:val="0"/>
          <w:kern w:val="22"/>
          <w:szCs w:val="22"/>
          <w:lang w:val="es-ES_tradnl"/>
        </w:rPr>
        <w:t>informes de los órganos subsidiarios</w:t>
      </w:r>
      <w:r w:rsidR="003A11A6" w:rsidRPr="00917DAD">
        <w:rPr>
          <w:snapToGrid w:val="0"/>
          <w:kern w:val="22"/>
          <w:szCs w:val="22"/>
          <w:lang w:val="es-ES_tradnl"/>
        </w:rPr>
        <w:t>)</w:t>
      </w:r>
      <w:r w:rsidR="00302A9B" w:rsidRPr="00917DAD">
        <w:rPr>
          <w:snapToGrid w:val="0"/>
          <w:kern w:val="22"/>
          <w:szCs w:val="22"/>
          <w:lang w:val="es-ES_tradnl"/>
        </w:rPr>
        <w:t>;</w:t>
      </w:r>
      <w:r w:rsidR="003A11A6" w:rsidRPr="00917DAD">
        <w:rPr>
          <w:snapToGrid w:val="0"/>
          <w:kern w:val="22"/>
          <w:szCs w:val="22"/>
          <w:lang w:val="es-ES_tradnl"/>
        </w:rPr>
        <w:t xml:space="preserve"> 5 (</w:t>
      </w:r>
      <w:r w:rsidRPr="00917DAD">
        <w:rPr>
          <w:snapToGrid w:val="0"/>
          <w:kern w:val="22"/>
          <w:szCs w:val="22"/>
          <w:lang w:val="es-ES_tradnl"/>
        </w:rPr>
        <w:t>informe del Comité de Cumplimiento</w:t>
      </w:r>
      <w:r w:rsidR="003A11A6" w:rsidRPr="00917DAD">
        <w:rPr>
          <w:snapToGrid w:val="0"/>
          <w:kern w:val="22"/>
          <w:szCs w:val="22"/>
          <w:lang w:val="es-ES_tradnl"/>
        </w:rPr>
        <w:t>)</w:t>
      </w:r>
      <w:r w:rsidR="00B010F5" w:rsidRPr="00917DAD">
        <w:rPr>
          <w:snapToGrid w:val="0"/>
          <w:kern w:val="22"/>
          <w:szCs w:val="22"/>
          <w:lang w:val="es-ES_tradnl"/>
        </w:rPr>
        <w:t>,</w:t>
      </w:r>
      <w:r w:rsidR="003A11A6" w:rsidRPr="00917DAD">
        <w:rPr>
          <w:snapToGrid w:val="0"/>
          <w:kern w:val="22"/>
          <w:szCs w:val="22"/>
          <w:lang w:val="es-ES_tradnl"/>
        </w:rPr>
        <w:t xml:space="preserve"> </w:t>
      </w:r>
      <w:r w:rsidR="00B010F5" w:rsidRPr="00917DAD">
        <w:rPr>
          <w:snapToGrid w:val="0"/>
          <w:kern w:val="22"/>
          <w:szCs w:val="22"/>
          <w:lang w:val="es-ES_tradnl"/>
        </w:rPr>
        <w:t>y</w:t>
      </w:r>
      <w:r w:rsidR="003A11A6" w:rsidRPr="00917DAD">
        <w:rPr>
          <w:snapToGrid w:val="0"/>
          <w:kern w:val="22"/>
          <w:szCs w:val="22"/>
          <w:lang w:val="es-ES_tradnl"/>
        </w:rPr>
        <w:t xml:space="preserve"> 6 (</w:t>
      </w:r>
      <w:r w:rsidRPr="00917DAD">
        <w:rPr>
          <w:snapToGrid w:val="0"/>
          <w:kern w:val="22"/>
          <w:szCs w:val="22"/>
          <w:lang w:val="es-ES_tradnl"/>
        </w:rPr>
        <w:t>administración del Protocolo y el presupuesto para los fondos fiduciarios</w:t>
      </w:r>
      <w:r w:rsidR="003A11A6" w:rsidRPr="00917DAD">
        <w:rPr>
          <w:snapToGrid w:val="0"/>
          <w:kern w:val="22"/>
          <w:szCs w:val="22"/>
          <w:lang w:val="es-ES_tradnl"/>
        </w:rPr>
        <w:t>)</w:t>
      </w:r>
      <w:r w:rsidR="00A21FE4" w:rsidRPr="00917DAD">
        <w:rPr>
          <w:snapToGrid w:val="0"/>
          <w:kern w:val="22"/>
          <w:szCs w:val="22"/>
          <w:lang w:val="es-ES_tradnl"/>
        </w:rPr>
        <w:t>;</w:t>
      </w:r>
      <w:r w:rsidR="003A11A6" w:rsidRPr="00917DAD">
        <w:rPr>
          <w:snapToGrid w:val="0"/>
          <w:kern w:val="22"/>
          <w:szCs w:val="22"/>
          <w:lang w:val="es-ES_tradnl"/>
        </w:rPr>
        <w:t xml:space="preserve"> </w:t>
      </w:r>
      <w:r w:rsidRPr="00917DAD">
        <w:rPr>
          <w:snapToGrid w:val="0"/>
          <w:kern w:val="22"/>
          <w:szCs w:val="22"/>
          <w:lang w:val="es-ES_tradnl"/>
        </w:rPr>
        <w:t xml:space="preserve">así como los temas </w:t>
      </w:r>
      <w:r w:rsidR="003A11A6" w:rsidRPr="00917DAD">
        <w:rPr>
          <w:snapToGrid w:val="0"/>
          <w:kern w:val="22"/>
          <w:szCs w:val="22"/>
          <w:lang w:val="es-ES_tradnl"/>
        </w:rPr>
        <w:t>18 (</w:t>
      </w:r>
      <w:r w:rsidRPr="00917DAD">
        <w:rPr>
          <w:snapToGrid w:val="0"/>
          <w:kern w:val="22"/>
          <w:szCs w:val="22"/>
          <w:lang w:val="es-ES_tradnl"/>
        </w:rPr>
        <w:t>otr</w:t>
      </w:r>
      <w:r w:rsidR="00B010F5" w:rsidRPr="00917DAD">
        <w:rPr>
          <w:snapToGrid w:val="0"/>
          <w:kern w:val="22"/>
          <w:szCs w:val="22"/>
          <w:lang w:val="es-ES_tradnl"/>
        </w:rPr>
        <w:t>o</w:t>
      </w:r>
      <w:r w:rsidRPr="00917DAD">
        <w:rPr>
          <w:snapToGrid w:val="0"/>
          <w:kern w:val="22"/>
          <w:szCs w:val="22"/>
          <w:lang w:val="es-ES_tradnl"/>
        </w:rPr>
        <w:t xml:space="preserve">s </w:t>
      </w:r>
      <w:r w:rsidR="00B010F5" w:rsidRPr="00917DAD">
        <w:rPr>
          <w:snapToGrid w:val="0"/>
          <w:kern w:val="22"/>
          <w:szCs w:val="22"/>
          <w:lang w:val="es-ES_tradnl"/>
        </w:rPr>
        <w:t>asuntos</w:t>
      </w:r>
      <w:r w:rsidR="003A11A6" w:rsidRPr="00917DAD">
        <w:rPr>
          <w:snapToGrid w:val="0"/>
          <w:kern w:val="22"/>
          <w:szCs w:val="22"/>
          <w:lang w:val="es-ES_tradnl"/>
        </w:rPr>
        <w:t>), 19 (</w:t>
      </w:r>
      <w:r w:rsidRPr="00917DAD">
        <w:rPr>
          <w:snapToGrid w:val="0"/>
          <w:kern w:val="22"/>
          <w:szCs w:val="22"/>
          <w:lang w:val="es-ES_tradnl"/>
        </w:rPr>
        <w:t>adopción del informe</w:t>
      </w:r>
      <w:r w:rsidR="003A11A6" w:rsidRPr="00917DAD">
        <w:rPr>
          <w:snapToGrid w:val="0"/>
          <w:kern w:val="22"/>
          <w:szCs w:val="22"/>
          <w:lang w:val="es-ES_tradnl"/>
        </w:rPr>
        <w:t xml:space="preserve">) </w:t>
      </w:r>
      <w:r w:rsidRPr="00917DAD">
        <w:rPr>
          <w:snapToGrid w:val="0"/>
          <w:kern w:val="22"/>
          <w:szCs w:val="22"/>
          <w:lang w:val="es-ES_tradnl"/>
        </w:rPr>
        <w:t xml:space="preserve">y </w:t>
      </w:r>
      <w:r w:rsidR="003A11A6" w:rsidRPr="00917DAD">
        <w:rPr>
          <w:snapToGrid w:val="0"/>
          <w:kern w:val="22"/>
          <w:szCs w:val="22"/>
          <w:lang w:val="es-ES_tradnl"/>
        </w:rPr>
        <w:t>20 (</w:t>
      </w:r>
      <w:r w:rsidRPr="00917DAD">
        <w:rPr>
          <w:snapToGrid w:val="0"/>
          <w:kern w:val="22"/>
          <w:szCs w:val="22"/>
          <w:lang w:val="es-ES_tradnl"/>
        </w:rPr>
        <w:t>clausura de la reunión</w:t>
      </w:r>
      <w:r w:rsidR="003A11A6" w:rsidRPr="00917DAD">
        <w:rPr>
          <w:snapToGrid w:val="0"/>
          <w:kern w:val="22"/>
          <w:szCs w:val="22"/>
          <w:lang w:val="es-ES_tradnl"/>
        </w:rPr>
        <w:t xml:space="preserve">). </w:t>
      </w:r>
      <w:r w:rsidRPr="00917DAD">
        <w:rPr>
          <w:snapToGrid w:val="0"/>
          <w:kern w:val="22"/>
          <w:szCs w:val="22"/>
          <w:lang w:val="es-ES_tradnl"/>
        </w:rPr>
        <w:t>Salvo el tema 1, se prevé que será necesario examinar nuevamente dichos temas en la Parte II de la reunión</w:t>
      </w:r>
      <w:r w:rsidR="003A11A6" w:rsidRPr="00917DAD">
        <w:rPr>
          <w:snapToGrid w:val="0"/>
          <w:kern w:val="22"/>
          <w:szCs w:val="22"/>
          <w:lang w:val="es-ES_tradnl"/>
        </w:rPr>
        <w:t xml:space="preserve">. </w:t>
      </w:r>
      <w:r w:rsidRPr="00917DAD">
        <w:rPr>
          <w:snapToGrid w:val="0"/>
          <w:kern w:val="22"/>
          <w:szCs w:val="22"/>
          <w:lang w:val="es-ES_tradnl"/>
        </w:rPr>
        <w:t>Los t</w:t>
      </w:r>
      <w:r w:rsidR="0052207C" w:rsidRPr="00917DAD">
        <w:rPr>
          <w:snapToGrid w:val="0"/>
          <w:kern w:val="22"/>
          <w:szCs w:val="22"/>
          <w:lang w:val="es-ES_tradnl"/>
        </w:rPr>
        <w:t>ema</w:t>
      </w:r>
      <w:r w:rsidR="003A11A6" w:rsidRPr="00917DAD">
        <w:rPr>
          <w:snapToGrid w:val="0"/>
          <w:kern w:val="22"/>
          <w:szCs w:val="22"/>
          <w:lang w:val="es-ES_tradnl"/>
        </w:rPr>
        <w:t>s</w:t>
      </w:r>
      <w:r w:rsidR="00B843E2" w:rsidRPr="00917DAD">
        <w:rPr>
          <w:snapToGrid w:val="0"/>
          <w:kern w:val="22"/>
          <w:szCs w:val="22"/>
          <w:lang w:val="es-ES_tradnl"/>
        </w:rPr>
        <w:t> </w:t>
      </w:r>
      <w:r w:rsidR="003A11A6" w:rsidRPr="00917DAD">
        <w:rPr>
          <w:snapToGrid w:val="0"/>
          <w:kern w:val="22"/>
          <w:szCs w:val="22"/>
          <w:lang w:val="es-ES_tradnl"/>
        </w:rPr>
        <w:t xml:space="preserve">7 </w:t>
      </w:r>
      <w:r w:rsidRPr="00917DAD">
        <w:rPr>
          <w:snapToGrid w:val="0"/>
          <w:kern w:val="22"/>
          <w:szCs w:val="22"/>
          <w:lang w:val="es-ES_tradnl"/>
        </w:rPr>
        <w:t xml:space="preserve">a </w:t>
      </w:r>
      <w:r w:rsidR="003A11A6" w:rsidRPr="00917DAD">
        <w:rPr>
          <w:snapToGrid w:val="0"/>
          <w:kern w:val="22"/>
          <w:szCs w:val="22"/>
          <w:lang w:val="es-ES_tradnl"/>
        </w:rPr>
        <w:t xml:space="preserve">17 </w:t>
      </w:r>
      <w:r w:rsidRPr="00917DAD">
        <w:rPr>
          <w:snapToGrid w:val="0"/>
          <w:kern w:val="22"/>
          <w:szCs w:val="22"/>
          <w:lang w:val="es-ES_tradnl"/>
        </w:rPr>
        <w:t>también se tratarán en la Parte II de la reunión</w:t>
      </w:r>
      <w:r w:rsidR="003A11A6" w:rsidRPr="00917DAD">
        <w:rPr>
          <w:snapToGrid w:val="0"/>
          <w:kern w:val="22"/>
          <w:szCs w:val="22"/>
          <w:lang w:val="es-ES_tradnl"/>
        </w:rPr>
        <w:t>.</w:t>
      </w:r>
    </w:p>
    <w:p w14:paraId="75AB3992" w14:textId="33ACC775" w:rsidR="00B840F1" w:rsidRPr="00917DAD" w:rsidRDefault="00B840F1" w:rsidP="00FC12B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zCs w:val="22"/>
          <w:lang w:val="es-ES_tradnl"/>
        </w:rPr>
        <w:t>El país anfitrión organizará una serie de sesiones ministeriales de alto nivel durante las dos partes de la</w:t>
      </w:r>
      <w:r w:rsidR="00A51DF5" w:rsidRPr="00917DAD">
        <w:rPr>
          <w:szCs w:val="22"/>
          <w:lang w:val="es-ES_tradnl"/>
        </w:rPr>
        <w:t xml:space="preserve"> </w:t>
      </w:r>
      <w:r w:rsidRPr="00917DAD">
        <w:rPr>
          <w:szCs w:val="22"/>
          <w:lang w:val="es-ES_tradnl"/>
        </w:rPr>
        <w:t>reunión en consulta con la Secretaría y la Mesa. La serie de sesiones de alto nivel programadas para la primera parte de la reunión se celebrará los días 12 y 13 de octubre de 2021.</w:t>
      </w:r>
    </w:p>
    <w:p w14:paraId="178732EA" w14:textId="2143ABD7" w:rsidR="00BA13C3" w:rsidRPr="00917DAD" w:rsidRDefault="00BA13C3" w:rsidP="001B2E03">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zCs w:val="22"/>
          <w:lang w:val="es-ES_tradnl"/>
        </w:rPr>
        <w:t>De conformidad con la práctica establecida, la Secretaria Ejecutiva preparará una recopilación de los proyectos de decisión propuestos en las reuniones celebradas por los órganos subsidiarios durante el período entre sesiones o preparados por la Secretaria Ejecutiva teniendo en cuenta las decisiones y recomendaciones anteriores, y preparará un resumen de las consecuencias financieras de los proyectos de decisión y pondrá a disposición dicha recopilación seis semanas antes de</w:t>
      </w:r>
      <w:r w:rsidR="0066276F" w:rsidRPr="00917DAD">
        <w:rPr>
          <w:szCs w:val="22"/>
          <w:lang w:val="es-ES_tradnl"/>
        </w:rPr>
        <w:t xml:space="preserve"> </w:t>
      </w:r>
      <w:r w:rsidR="0066276F" w:rsidRPr="00917DAD">
        <w:rPr>
          <w:lang w:val="es-ES_tradnl"/>
        </w:rPr>
        <w:t xml:space="preserve">la continuación del período de sesiones </w:t>
      </w:r>
      <w:r w:rsidR="0066276F" w:rsidRPr="00917DAD">
        <w:rPr>
          <w:snapToGrid w:val="0"/>
          <w:kern w:val="22"/>
          <w:szCs w:val="22"/>
          <w:lang w:val="es-ES_tradnl"/>
        </w:rPr>
        <w:t>(Parte II) de la reunión.</w:t>
      </w:r>
    </w:p>
    <w:p w14:paraId="3CEF10FB" w14:textId="54293162" w:rsidR="003A11A6" w:rsidRPr="00917DAD" w:rsidRDefault="00AD0D5A" w:rsidP="00A23AD0">
      <w:pPr>
        <w:keepNext/>
        <w:suppressLineNumbers/>
        <w:tabs>
          <w:tab w:val="left" w:pos="851"/>
        </w:tabs>
        <w:suppressAutoHyphens/>
        <w:kinsoku w:val="0"/>
        <w:overflowPunct w:val="0"/>
        <w:autoSpaceDE w:val="0"/>
        <w:autoSpaceDN w:val="0"/>
        <w:adjustRightInd w:val="0"/>
        <w:snapToGrid w:val="0"/>
        <w:spacing w:before="120" w:after="120"/>
        <w:jc w:val="center"/>
        <w:outlineLvl w:val="0"/>
        <w:rPr>
          <w:b/>
          <w:bCs/>
          <w:iCs/>
          <w:snapToGrid w:val="0"/>
          <w:kern w:val="22"/>
          <w:szCs w:val="22"/>
          <w:lang w:val="es-ES_tradnl"/>
        </w:rPr>
      </w:pPr>
      <w:bookmarkStart w:id="2" w:name="Item01"/>
      <w:r w:rsidRPr="00917DAD">
        <w:rPr>
          <w:b/>
          <w:bCs/>
          <w:iCs/>
          <w:snapToGrid w:val="0"/>
          <w:kern w:val="22"/>
          <w:szCs w:val="22"/>
          <w:lang w:val="es-ES_tradnl"/>
        </w:rPr>
        <w:t xml:space="preserve">Tema </w:t>
      </w:r>
      <w:r w:rsidR="003A11A6" w:rsidRPr="00917DAD">
        <w:rPr>
          <w:b/>
          <w:bCs/>
          <w:iCs/>
          <w:snapToGrid w:val="0"/>
          <w:kern w:val="22"/>
          <w:szCs w:val="22"/>
          <w:lang w:val="es-ES_tradnl"/>
        </w:rPr>
        <w:t>1.</w:t>
      </w:r>
      <w:r w:rsidR="003A11A6" w:rsidRPr="00917DAD">
        <w:rPr>
          <w:b/>
          <w:iCs/>
          <w:snapToGrid w:val="0"/>
          <w:kern w:val="22"/>
          <w:szCs w:val="22"/>
          <w:lang w:val="es-ES_tradnl"/>
        </w:rPr>
        <w:tab/>
      </w:r>
      <w:r w:rsidRPr="00917DAD">
        <w:rPr>
          <w:b/>
          <w:iCs/>
          <w:snapToGrid w:val="0"/>
          <w:kern w:val="22"/>
          <w:szCs w:val="22"/>
          <w:lang w:val="es-ES_tradnl"/>
        </w:rPr>
        <w:t>Apertura de la reunión</w:t>
      </w:r>
    </w:p>
    <w:bookmarkEnd w:id="2"/>
    <w:p w14:paraId="3A6B45AD" w14:textId="7F13470C" w:rsidR="003A11A6" w:rsidRPr="00917DAD" w:rsidRDefault="0056116C"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napToGrid w:val="0"/>
          <w:kern w:val="22"/>
          <w:szCs w:val="22"/>
          <w:lang w:val="es-ES_tradnl"/>
        </w:rPr>
        <w:t>La reunión se inaugurará el lunes 11 de octubre de 2021 a las 15.00 horas (hora de Kunming, China)</w:t>
      </w:r>
      <w:r w:rsidR="00B010F5" w:rsidRPr="00917DAD">
        <w:rPr>
          <w:snapToGrid w:val="0"/>
          <w:kern w:val="22"/>
          <w:szCs w:val="22"/>
          <w:lang w:val="es-ES_tradnl"/>
        </w:rPr>
        <w:t xml:space="preserve">. </w:t>
      </w:r>
      <w:r w:rsidRPr="00917DAD">
        <w:rPr>
          <w:snapToGrid w:val="0"/>
          <w:kern w:val="22"/>
          <w:szCs w:val="22"/>
          <w:lang w:val="es-ES_tradnl"/>
        </w:rPr>
        <w:t xml:space="preserve">Inmediatamente después, se inaugurará la reunión que se celebrará </w:t>
      </w:r>
      <w:proofErr w:type="gramStart"/>
      <w:r w:rsidRPr="00917DAD">
        <w:rPr>
          <w:snapToGrid w:val="0"/>
          <w:kern w:val="22"/>
          <w:szCs w:val="22"/>
          <w:lang w:val="es-ES_tradnl"/>
        </w:rPr>
        <w:t>conjuntamente con</w:t>
      </w:r>
      <w:proofErr w:type="gramEnd"/>
      <w:r w:rsidRPr="00917DAD">
        <w:rPr>
          <w:snapToGrid w:val="0"/>
          <w:kern w:val="22"/>
          <w:szCs w:val="22"/>
          <w:lang w:val="es-ES_tradnl"/>
        </w:rPr>
        <w:t xml:space="preserve"> la apertura de la 15ª reunión de la Conferencia de las Partes en el Convenio y la cuarta reunión de las Partes en el Protocolo de Nagoya</w:t>
      </w:r>
      <w:r w:rsidR="003A11A6" w:rsidRPr="00917DAD">
        <w:rPr>
          <w:snapToGrid w:val="0"/>
          <w:kern w:val="22"/>
          <w:szCs w:val="22"/>
          <w:vertAlign w:val="superscript"/>
          <w:lang w:val="es-ES_tradnl"/>
        </w:rPr>
        <w:footnoteReference w:id="2"/>
      </w:r>
      <w:r w:rsidRPr="00917DAD">
        <w:rPr>
          <w:snapToGrid w:val="0"/>
          <w:kern w:val="22"/>
          <w:szCs w:val="22"/>
          <w:lang w:val="es-ES_tradnl"/>
        </w:rPr>
        <w:t>.</w:t>
      </w:r>
    </w:p>
    <w:p w14:paraId="5D170987" w14:textId="7AFFE183" w:rsidR="00BA13C3" w:rsidRPr="00917DAD" w:rsidRDefault="00BA13C3" w:rsidP="00BA13C3">
      <w:pPr>
        <w:pStyle w:val="Para1"/>
        <w:numPr>
          <w:ilvl w:val="0"/>
          <w:numId w:val="37"/>
        </w:numPr>
        <w:tabs>
          <w:tab w:val="clear" w:pos="450"/>
          <w:tab w:val="left" w:pos="720"/>
        </w:tabs>
        <w:kinsoku w:val="0"/>
        <w:overflowPunct w:val="0"/>
        <w:autoSpaceDE w:val="0"/>
        <w:autoSpaceDN w:val="0"/>
        <w:snapToGrid w:val="0"/>
        <w:ind w:left="0"/>
        <w:rPr>
          <w:kern w:val="22"/>
          <w:szCs w:val="22"/>
          <w:lang w:val="es-ES_tradnl"/>
        </w:rPr>
      </w:pPr>
      <w:r w:rsidRPr="00917DAD">
        <w:rPr>
          <w:szCs w:val="22"/>
          <w:lang w:val="es-ES_tradnl"/>
        </w:rPr>
        <w:t xml:space="preserve">La apertura de la reunión estará a cargo de la </w:t>
      </w:r>
      <w:proofErr w:type="gramStart"/>
      <w:r w:rsidRPr="00917DAD">
        <w:rPr>
          <w:szCs w:val="22"/>
          <w:lang w:val="es-ES_tradnl"/>
        </w:rPr>
        <w:t>Presidenta</w:t>
      </w:r>
      <w:proofErr w:type="gramEnd"/>
      <w:r w:rsidRPr="00917DAD">
        <w:rPr>
          <w:szCs w:val="22"/>
          <w:lang w:val="es-ES_tradnl"/>
        </w:rPr>
        <w:t xml:space="preserve"> de la 14ª reunión de la Conferencia de las Partes o su representante. En la sesión de apertura, formularán declaraciones de bienvenida ante la Conferencia los representantes del Gobierno de China y las autoridades locales.</w:t>
      </w:r>
    </w:p>
    <w:p w14:paraId="2614A901" w14:textId="77777777" w:rsidR="00BA13C3" w:rsidRPr="00917DAD" w:rsidRDefault="00BA13C3" w:rsidP="00BA13C3">
      <w:pPr>
        <w:pStyle w:val="Para1"/>
        <w:numPr>
          <w:ilvl w:val="0"/>
          <w:numId w:val="37"/>
        </w:numPr>
        <w:tabs>
          <w:tab w:val="clear" w:pos="450"/>
          <w:tab w:val="left" w:pos="720"/>
        </w:tabs>
        <w:kinsoku w:val="0"/>
        <w:overflowPunct w:val="0"/>
        <w:autoSpaceDE w:val="0"/>
        <w:autoSpaceDN w:val="0"/>
        <w:snapToGrid w:val="0"/>
        <w:ind w:left="0"/>
        <w:rPr>
          <w:kern w:val="22"/>
          <w:szCs w:val="22"/>
          <w:lang w:val="es-ES_tradnl"/>
        </w:rPr>
      </w:pPr>
      <w:r w:rsidRPr="00917DAD">
        <w:rPr>
          <w:szCs w:val="22"/>
          <w:lang w:val="es-ES_tradnl"/>
        </w:rPr>
        <w:t>La Secretaria Ejecutiva se dirigirá a la reunión y destacará los temas principales que la Conferencia de las Partes tendrá ante sí.</w:t>
      </w:r>
    </w:p>
    <w:p w14:paraId="45B56190" w14:textId="4F6C9F25" w:rsidR="00BA13C3" w:rsidRPr="00917DAD" w:rsidRDefault="00BA13C3" w:rsidP="00BA13C3">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zCs w:val="22"/>
          <w:lang w:val="es-ES_tradnl"/>
        </w:rPr>
        <w:t>También podrán formular declaraciones los representantes de los grupos regionales, los pueblos indígenas y las comunidades locales y un número limitado de otros grupos.</w:t>
      </w:r>
    </w:p>
    <w:p w14:paraId="77ED8FF4" w14:textId="74CE68C2" w:rsidR="003A11A6" w:rsidRPr="00917DAD" w:rsidRDefault="0052207C" w:rsidP="00A23AD0">
      <w:pPr>
        <w:keepNext/>
        <w:suppressLineNumbers/>
        <w:tabs>
          <w:tab w:val="left" w:pos="851"/>
        </w:tabs>
        <w:suppressAutoHyphens/>
        <w:kinsoku w:val="0"/>
        <w:overflowPunct w:val="0"/>
        <w:autoSpaceDE w:val="0"/>
        <w:autoSpaceDN w:val="0"/>
        <w:adjustRightInd w:val="0"/>
        <w:snapToGrid w:val="0"/>
        <w:spacing w:before="120" w:after="120"/>
        <w:jc w:val="center"/>
        <w:outlineLvl w:val="0"/>
        <w:rPr>
          <w:b/>
          <w:kern w:val="22"/>
          <w:szCs w:val="22"/>
          <w:lang w:val="es-ES_tradnl"/>
        </w:rPr>
      </w:pPr>
      <w:r w:rsidRPr="00917DAD">
        <w:rPr>
          <w:b/>
          <w:kern w:val="22"/>
          <w:szCs w:val="22"/>
          <w:lang w:val="es-ES_tradnl"/>
        </w:rPr>
        <w:t>Tema</w:t>
      </w:r>
      <w:r w:rsidR="003A11A6" w:rsidRPr="00917DAD">
        <w:rPr>
          <w:b/>
          <w:kern w:val="22"/>
          <w:szCs w:val="22"/>
          <w:lang w:val="es-ES_tradnl"/>
        </w:rPr>
        <w:t xml:space="preserve"> 2.</w:t>
      </w:r>
      <w:r w:rsidR="003A11A6" w:rsidRPr="00917DAD">
        <w:rPr>
          <w:b/>
          <w:kern w:val="22"/>
          <w:szCs w:val="22"/>
          <w:lang w:val="es-ES_tradnl"/>
        </w:rPr>
        <w:tab/>
      </w:r>
      <w:r w:rsidRPr="00917DAD">
        <w:rPr>
          <w:b/>
          <w:kern w:val="22"/>
          <w:szCs w:val="22"/>
          <w:lang w:val="es-ES_tradnl"/>
        </w:rPr>
        <w:t>Cuestiones de organización</w:t>
      </w:r>
    </w:p>
    <w:p w14:paraId="6FB8693E" w14:textId="7CCC7B61" w:rsidR="003A11A6" w:rsidRPr="00917DAD" w:rsidRDefault="003A11A6" w:rsidP="00A23AD0">
      <w:pPr>
        <w:keepNext/>
        <w:suppressLineNumbers/>
        <w:suppressAutoHyphens/>
        <w:kinsoku w:val="0"/>
        <w:overflowPunct w:val="0"/>
        <w:autoSpaceDE w:val="0"/>
        <w:autoSpaceDN w:val="0"/>
        <w:adjustRightInd w:val="0"/>
        <w:snapToGrid w:val="0"/>
        <w:spacing w:before="120" w:after="120"/>
        <w:outlineLvl w:val="1"/>
        <w:rPr>
          <w:i/>
          <w:iCs/>
          <w:snapToGrid w:val="0"/>
          <w:kern w:val="22"/>
          <w:szCs w:val="22"/>
          <w:lang w:val="es-ES_tradnl"/>
        </w:rPr>
      </w:pPr>
      <w:r w:rsidRPr="00917DAD">
        <w:rPr>
          <w:i/>
          <w:iCs/>
          <w:snapToGrid w:val="0"/>
          <w:kern w:val="22"/>
          <w:szCs w:val="22"/>
          <w:lang w:val="es-ES_tradnl"/>
        </w:rPr>
        <w:t>E</w:t>
      </w:r>
      <w:r w:rsidR="00B01523" w:rsidRPr="00917DAD">
        <w:rPr>
          <w:i/>
          <w:iCs/>
          <w:snapToGrid w:val="0"/>
          <w:kern w:val="22"/>
          <w:szCs w:val="22"/>
          <w:lang w:val="es-ES_tradnl"/>
        </w:rPr>
        <w:t xml:space="preserve">lección del </w:t>
      </w:r>
      <w:proofErr w:type="gramStart"/>
      <w:r w:rsidR="00B01523" w:rsidRPr="00917DAD">
        <w:rPr>
          <w:i/>
          <w:iCs/>
          <w:snapToGrid w:val="0"/>
          <w:kern w:val="22"/>
          <w:szCs w:val="22"/>
          <w:lang w:val="es-ES_tradnl"/>
        </w:rPr>
        <w:t>Presidente</w:t>
      </w:r>
      <w:proofErr w:type="gramEnd"/>
    </w:p>
    <w:p w14:paraId="446696E6" w14:textId="123D3054" w:rsidR="001B4C23" w:rsidRPr="00917DAD" w:rsidRDefault="001B4C23" w:rsidP="00F83526">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rFonts w:eastAsia="Angsana New"/>
          <w:kern w:val="22"/>
          <w:lang w:val="es-ES_tradnl"/>
        </w:rPr>
        <w:t>Se prevé que</w:t>
      </w:r>
      <w:r w:rsidR="00B010F5" w:rsidRPr="00917DAD">
        <w:rPr>
          <w:rFonts w:eastAsia="Angsana New"/>
          <w:kern w:val="22"/>
          <w:lang w:val="es-ES_tradnl"/>
        </w:rPr>
        <w:t>,</w:t>
      </w:r>
      <w:r w:rsidRPr="00917DAD">
        <w:rPr>
          <w:rFonts w:eastAsia="Angsana New"/>
          <w:kern w:val="22"/>
          <w:lang w:val="es-ES_tradnl"/>
        </w:rPr>
        <w:t xml:space="preserve"> en la sesión inaugural</w:t>
      </w:r>
      <w:r w:rsidR="00B010F5" w:rsidRPr="00917DAD">
        <w:rPr>
          <w:rFonts w:eastAsia="Angsana New"/>
          <w:kern w:val="22"/>
          <w:lang w:val="es-ES_tradnl"/>
        </w:rPr>
        <w:t>,</w:t>
      </w:r>
      <w:r w:rsidRPr="00917DAD">
        <w:rPr>
          <w:rFonts w:eastAsia="Angsana New"/>
          <w:kern w:val="22"/>
          <w:lang w:val="es-ES_tradnl"/>
        </w:rPr>
        <w:t xml:space="preserve"> la </w:t>
      </w:r>
      <w:proofErr w:type="gramStart"/>
      <w:r w:rsidRPr="00917DAD">
        <w:rPr>
          <w:rFonts w:eastAsia="Angsana New"/>
          <w:kern w:val="22"/>
          <w:lang w:val="es-ES_tradnl"/>
        </w:rPr>
        <w:t>Presidenta</w:t>
      </w:r>
      <w:proofErr w:type="gramEnd"/>
      <w:r w:rsidRPr="00917DAD">
        <w:rPr>
          <w:rFonts w:eastAsia="Angsana New"/>
          <w:kern w:val="22"/>
          <w:lang w:val="es-ES_tradnl"/>
        </w:rPr>
        <w:t xml:space="preserve"> de la 14ª reunión de la Conferencia de las Partes</w:t>
      </w:r>
      <w:r w:rsidR="00B010F5" w:rsidRPr="00917DAD">
        <w:rPr>
          <w:rFonts w:eastAsia="Angsana New"/>
          <w:kern w:val="22"/>
          <w:lang w:val="es-ES_tradnl"/>
        </w:rPr>
        <w:t>,</w:t>
      </w:r>
      <w:r w:rsidRPr="00917DAD">
        <w:rPr>
          <w:rFonts w:eastAsia="Angsana New"/>
          <w:kern w:val="22"/>
          <w:lang w:val="es-ES_tradnl"/>
        </w:rPr>
        <w:t xml:space="preserve"> o su representante</w:t>
      </w:r>
      <w:r w:rsidR="00B010F5" w:rsidRPr="00917DAD">
        <w:rPr>
          <w:rFonts w:eastAsia="Angsana New"/>
          <w:kern w:val="22"/>
          <w:lang w:val="es-ES_tradnl"/>
        </w:rPr>
        <w:t>,</w:t>
      </w:r>
      <w:r w:rsidRPr="00917DAD">
        <w:rPr>
          <w:rFonts w:eastAsia="Angsana New"/>
          <w:kern w:val="22"/>
          <w:lang w:val="es-ES_tradnl"/>
        </w:rPr>
        <w:t xml:space="preserve"> invitará a los participantes a elegir un representante del país anfitrión como Presidente de la 15ª reunión. El mandato del </w:t>
      </w:r>
      <w:proofErr w:type="gramStart"/>
      <w:r w:rsidRPr="00917DAD">
        <w:rPr>
          <w:rFonts w:eastAsia="Angsana New"/>
          <w:kern w:val="22"/>
          <w:lang w:val="es-ES_tradnl"/>
        </w:rPr>
        <w:t>Presidente</w:t>
      </w:r>
      <w:proofErr w:type="gramEnd"/>
      <w:r w:rsidRPr="00917DAD">
        <w:rPr>
          <w:rFonts w:eastAsia="Angsana New"/>
          <w:kern w:val="22"/>
          <w:lang w:val="es-ES_tradnl"/>
        </w:rPr>
        <w:t xml:space="preserve"> comenzará inmediatamente después de su elección en la 15ª reunión de la Conferencia de las Partes y finalizará con la elección de un sucesor en la 1</w:t>
      </w:r>
      <w:r w:rsidR="00646875" w:rsidRPr="00917DAD">
        <w:rPr>
          <w:rFonts w:eastAsia="Angsana New"/>
          <w:kern w:val="22"/>
          <w:lang w:val="es-ES_tradnl"/>
        </w:rPr>
        <w:t>6</w:t>
      </w:r>
      <w:r w:rsidRPr="00917DAD">
        <w:rPr>
          <w:rFonts w:eastAsia="Angsana New"/>
          <w:kern w:val="22"/>
          <w:lang w:val="es-ES_tradnl"/>
        </w:rPr>
        <w:t xml:space="preserve">ª reunión. </w:t>
      </w:r>
    </w:p>
    <w:p w14:paraId="718DB25B" w14:textId="46804273" w:rsidR="003A11A6" w:rsidRPr="00917DAD" w:rsidRDefault="003A11A6" w:rsidP="00A23AD0">
      <w:pPr>
        <w:keepNext/>
        <w:suppressLineNumbers/>
        <w:suppressAutoHyphens/>
        <w:kinsoku w:val="0"/>
        <w:overflowPunct w:val="0"/>
        <w:autoSpaceDE w:val="0"/>
        <w:autoSpaceDN w:val="0"/>
        <w:adjustRightInd w:val="0"/>
        <w:snapToGrid w:val="0"/>
        <w:spacing w:before="120" w:after="120"/>
        <w:outlineLvl w:val="1"/>
        <w:rPr>
          <w:i/>
          <w:iCs/>
          <w:snapToGrid w:val="0"/>
          <w:kern w:val="22"/>
          <w:szCs w:val="22"/>
          <w:lang w:val="es-ES_tradnl"/>
        </w:rPr>
      </w:pPr>
      <w:r w:rsidRPr="00917DAD">
        <w:rPr>
          <w:i/>
          <w:iCs/>
          <w:snapToGrid w:val="0"/>
          <w:kern w:val="22"/>
          <w:szCs w:val="22"/>
          <w:lang w:val="es-ES_tradnl"/>
        </w:rPr>
        <w:t>Elec</w:t>
      </w:r>
      <w:r w:rsidR="00B01523" w:rsidRPr="00917DAD">
        <w:rPr>
          <w:i/>
          <w:iCs/>
          <w:snapToGrid w:val="0"/>
          <w:kern w:val="22"/>
          <w:szCs w:val="22"/>
          <w:lang w:val="es-ES_tradnl"/>
        </w:rPr>
        <w:t>ción de miembros reemplazantes</w:t>
      </w:r>
    </w:p>
    <w:p w14:paraId="419CC3D8" w14:textId="145B8EAB" w:rsidR="00B913B9" w:rsidRPr="00917DAD" w:rsidRDefault="00B913B9" w:rsidP="00B913B9">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zCs w:val="22"/>
          <w:lang w:val="es-ES_tradnl"/>
        </w:rPr>
        <w:t xml:space="preserve">De conformidad con el artículo 21 del reglamento (aprobado en la </w:t>
      </w:r>
      <w:hyperlink r:id="rId16" w:history="1">
        <w:r w:rsidRPr="00917DAD">
          <w:rPr>
            <w:rStyle w:val="Hyperlink"/>
            <w:sz w:val="22"/>
            <w:szCs w:val="22"/>
            <w:lang w:val="es-ES_tradnl"/>
          </w:rPr>
          <w:t>decisión I/1</w:t>
        </w:r>
      </w:hyperlink>
      <w:r w:rsidRPr="00917DAD">
        <w:rPr>
          <w:szCs w:val="22"/>
          <w:lang w:val="es-ES_tradnl"/>
        </w:rPr>
        <w:t xml:space="preserve"> y enmendado en la decisión </w:t>
      </w:r>
      <w:hyperlink r:id="rId17" w:history="1">
        <w:r w:rsidRPr="00917DAD">
          <w:rPr>
            <w:rStyle w:val="Hyperlink"/>
            <w:snapToGrid w:val="0"/>
            <w:kern w:val="22"/>
            <w:sz w:val="22"/>
            <w:szCs w:val="22"/>
            <w:lang w:val="es-ES_tradnl"/>
          </w:rPr>
          <w:t>V/20</w:t>
        </w:r>
      </w:hyperlink>
      <w:r w:rsidRPr="00917DAD">
        <w:rPr>
          <w:szCs w:val="22"/>
          <w:lang w:val="es-ES_tradnl"/>
        </w:rPr>
        <w:t xml:space="preserve">), se eligen, además del Presidente, diez Vicepresidentes, uno de los cuales actuará como Relator, entre los representantes de las Partes presentes en la reunión. El mandato de los </w:t>
      </w:r>
      <w:proofErr w:type="gramStart"/>
      <w:r w:rsidRPr="00917DAD">
        <w:rPr>
          <w:szCs w:val="22"/>
          <w:lang w:val="es-ES_tradnl"/>
        </w:rPr>
        <w:t>Vicepresidentes</w:t>
      </w:r>
      <w:proofErr w:type="gramEnd"/>
      <w:r w:rsidRPr="00917DAD">
        <w:rPr>
          <w:szCs w:val="22"/>
          <w:lang w:val="es-ES_tradnl"/>
        </w:rPr>
        <w:t xml:space="preserve"> se iniciará al clausurarse la 15ª reunión de la Conferencia de las Partes y concluirá al clausurarse la 16ª reunión. </w:t>
      </w:r>
    </w:p>
    <w:p w14:paraId="2CE88A1B" w14:textId="108BDAF3" w:rsidR="00F3772A" w:rsidRPr="00141239" w:rsidRDefault="001B4C23" w:rsidP="00141239">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napToGrid w:val="0"/>
          <w:kern w:val="22"/>
          <w:szCs w:val="22"/>
          <w:lang w:val="es-ES_tradnl"/>
        </w:rPr>
        <w:t xml:space="preserve">La Mesa </w:t>
      </w:r>
      <w:r w:rsidR="00F3772A" w:rsidRPr="00141239">
        <w:rPr>
          <w:snapToGrid w:val="0"/>
          <w:kern w:val="22"/>
          <w:szCs w:val="22"/>
          <w:lang w:val="es-ES_tradnl"/>
        </w:rPr>
        <w:t xml:space="preserve">de la Conferencia de las Partes en el Convenio oficia de Mesa de la </w:t>
      </w:r>
      <w:r w:rsidR="00145706" w:rsidRPr="00141239">
        <w:rPr>
          <w:snapToGrid w:val="0"/>
          <w:kern w:val="22"/>
          <w:szCs w:val="22"/>
          <w:lang w:val="es-ES_tradnl"/>
        </w:rPr>
        <w:t xml:space="preserve">Conferencia </w:t>
      </w:r>
      <w:r w:rsidR="00F3772A" w:rsidRPr="00141239">
        <w:rPr>
          <w:snapToGrid w:val="0"/>
          <w:kern w:val="22"/>
          <w:szCs w:val="22"/>
          <w:lang w:val="es-ES_tradnl"/>
        </w:rPr>
        <w:t xml:space="preserve">de las </w:t>
      </w:r>
      <w:r w:rsidR="00145706" w:rsidRPr="00917DAD">
        <w:rPr>
          <w:snapToGrid w:val="0"/>
          <w:kern w:val="22"/>
          <w:szCs w:val="22"/>
          <w:lang w:val="es-ES_tradnl"/>
        </w:rPr>
        <w:t>Partes que actúa como reunión de las Partes en el Protocolo de Cartagena</w:t>
      </w:r>
      <w:r w:rsidR="00F3772A" w:rsidRPr="00141239">
        <w:rPr>
          <w:snapToGrid w:val="0"/>
          <w:kern w:val="22"/>
          <w:szCs w:val="22"/>
          <w:lang w:val="es-ES_tradnl"/>
        </w:rPr>
        <w:t>. De conformidad con el artículo 29, párrafo 3, del Protocolo de Cartagena, los miembros de la Mesa de la Conferencia de las Partes que representen a Partes en el Convenio que no sean Partes en el Protocolo de Cartagena serán reemplazados por miembros que serán elegidos por las Partes en el Protocolo de Cartagena y de entre ellas.</w:t>
      </w:r>
    </w:p>
    <w:p w14:paraId="5E53EC21" w14:textId="14398838" w:rsidR="003A11A6" w:rsidRPr="00917DAD" w:rsidRDefault="00F3772A"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rFonts w:eastAsia="Angsana New"/>
          <w:color w:val="000000"/>
          <w:kern w:val="22"/>
          <w:lang w:val="es-ES_tradnl"/>
        </w:rPr>
        <w:t>En su 14ª reunión, la Conferencia de las Partes eligió diez vicepresidentes por un mandato que comenzó al clausurarse la 14ª reunión y que finalizará al clausurarse la 15ª reunión</w:t>
      </w:r>
      <w:r w:rsidR="00837704" w:rsidRPr="00917DAD">
        <w:rPr>
          <w:rStyle w:val="FootnoteReference"/>
          <w:snapToGrid w:val="0"/>
          <w:kern w:val="22"/>
          <w:sz w:val="22"/>
          <w:szCs w:val="22"/>
          <w:u w:val="none"/>
          <w:vertAlign w:val="superscript"/>
          <w:lang w:val="es-ES_tradnl"/>
        </w:rPr>
        <w:footnoteReference w:id="3"/>
      </w:r>
      <w:r w:rsidRPr="00917DAD">
        <w:rPr>
          <w:rFonts w:eastAsia="Angsana New"/>
          <w:color w:val="000000"/>
          <w:kern w:val="22"/>
          <w:lang w:val="es-ES_tradnl"/>
        </w:rPr>
        <w:t>.</w:t>
      </w:r>
      <w:r w:rsidR="003A11A6" w:rsidRPr="00917DAD">
        <w:rPr>
          <w:snapToGrid w:val="0"/>
          <w:kern w:val="22"/>
          <w:szCs w:val="22"/>
          <w:lang w:val="es-ES_tradnl"/>
        </w:rPr>
        <w:t xml:space="preserve"> </w:t>
      </w:r>
      <w:r w:rsidRPr="00917DAD">
        <w:rPr>
          <w:snapToGrid w:val="0"/>
          <w:kern w:val="22"/>
          <w:szCs w:val="22"/>
          <w:lang w:val="es-ES_tradnl"/>
        </w:rPr>
        <w:t xml:space="preserve">Como todos los países representados </w:t>
      </w:r>
      <w:r w:rsidRPr="00917DAD">
        <w:rPr>
          <w:snapToGrid w:val="0"/>
          <w:kern w:val="22"/>
          <w:szCs w:val="22"/>
          <w:lang w:val="es-ES_tradnl"/>
        </w:rPr>
        <w:lastRenderedPageBreak/>
        <w:t xml:space="preserve">son Partes en el Protocolo, la Mesa también </w:t>
      </w:r>
      <w:r w:rsidR="00145706" w:rsidRPr="00917DAD">
        <w:rPr>
          <w:snapToGrid w:val="0"/>
          <w:kern w:val="22"/>
          <w:szCs w:val="22"/>
          <w:lang w:val="es-ES_tradnl"/>
        </w:rPr>
        <w:t xml:space="preserve">oficia de </w:t>
      </w:r>
      <w:r w:rsidRPr="00917DAD">
        <w:rPr>
          <w:snapToGrid w:val="0"/>
          <w:kern w:val="22"/>
          <w:szCs w:val="22"/>
          <w:lang w:val="es-ES_tradnl"/>
        </w:rPr>
        <w:t xml:space="preserve">Mesa de la </w:t>
      </w:r>
      <w:r w:rsidR="00E039D2" w:rsidRPr="00917DAD">
        <w:rPr>
          <w:snapToGrid w:val="0"/>
          <w:kern w:val="22"/>
          <w:szCs w:val="22"/>
          <w:lang w:val="es-ES_tradnl"/>
        </w:rPr>
        <w:t>Conferencia de las Partes que actúa como reunión de las Partes en el Protocolo de Cartagena</w:t>
      </w:r>
      <w:r w:rsidR="003A11A6" w:rsidRPr="00917DAD">
        <w:rPr>
          <w:snapToGrid w:val="0"/>
          <w:kern w:val="22"/>
          <w:szCs w:val="22"/>
          <w:lang w:val="es-ES_tradn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5670"/>
      </w:tblGrid>
      <w:tr w:rsidR="003A11A6" w:rsidRPr="00917DAD" w14:paraId="7A7C87B6" w14:textId="77777777" w:rsidTr="00F3772A">
        <w:trPr>
          <w:jc w:val="center"/>
        </w:trPr>
        <w:tc>
          <w:tcPr>
            <w:tcW w:w="580" w:type="dxa"/>
          </w:tcPr>
          <w:p w14:paraId="54969CCE" w14:textId="77777777" w:rsidR="003A11A6" w:rsidRPr="00917DAD" w:rsidRDefault="003A11A6" w:rsidP="00A23AD0">
            <w:pPr>
              <w:keepNext/>
              <w:suppressLineNumbers/>
              <w:suppressAutoHyphens/>
              <w:kinsoku w:val="0"/>
              <w:overflowPunct w:val="0"/>
              <w:autoSpaceDE w:val="0"/>
              <w:autoSpaceDN w:val="0"/>
              <w:adjustRightInd w:val="0"/>
              <w:snapToGrid w:val="0"/>
              <w:rPr>
                <w:b/>
                <w:snapToGrid w:val="0"/>
                <w:kern w:val="22"/>
                <w:szCs w:val="22"/>
                <w:lang w:val="es-ES_tradnl"/>
              </w:rPr>
            </w:pPr>
            <w:bookmarkStart w:id="3" w:name="_Hlk78552629"/>
          </w:p>
        </w:tc>
        <w:tc>
          <w:tcPr>
            <w:tcW w:w="5670" w:type="dxa"/>
          </w:tcPr>
          <w:p w14:paraId="310A7D7A" w14:textId="7771B340" w:rsidR="003A11A6" w:rsidRPr="00917DAD" w:rsidRDefault="00B01523" w:rsidP="00A23AD0">
            <w:pPr>
              <w:keepNext/>
              <w:suppressLineNumbers/>
              <w:suppressAutoHyphens/>
              <w:kinsoku w:val="0"/>
              <w:overflowPunct w:val="0"/>
              <w:autoSpaceDE w:val="0"/>
              <w:autoSpaceDN w:val="0"/>
              <w:adjustRightInd w:val="0"/>
              <w:snapToGrid w:val="0"/>
              <w:spacing w:after="120"/>
              <w:rPr>
                <w:b/>
                <w:snapToGrid w:val="0"/>
                <w:kern w:val="22"/>
                <w:szCs w:val="22"/>
                <w:lang w:val="es-ES_tradnl"/>
              </w:rPr>
            </w:pPr>
            <w:r w:rsidRPr="00917DAD">
              <w:rPr>
                <w:b/>
                <w:snapToGrid w:val="0"/>
                <w:kern w:val="22"/>
                <w:szCs w:val="22"/>
                <w:lang w:val="es-ES_tradnl"/>
              </w:rPr>
              <w:t>Miembros de la Mesa</w:t>
            </w:r>
          </w:p>
        </w:tc>
      </w:tr>
      <w:tr w:rsidR="003A11A6" w:rsidRPr="00917DAD" w14:paraId="0E689214" w14:textId="77777777" w:rsidTr="00F3772A">
        <w:trPr>
          <w:jc w:val="center"/>
        </w:trPr>
        <w:tc>
          <w:tcPr>
            <w:tcW w:w="580" w:type="dxa"/>
          </w:tcPr>
          <w:p w14:paraId="166F3B85" w14:textId="77777777" w:rsidR="003A11A6" w:rsidRPr="00917DAD"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lang w:val="es-ES_tradnl"/>
              </w:rPr>
            </w:pPr>
            <w:r w:rsidRPr="00917DAD">
              <w:rPr>
                <w:snapToGrid w:val="0"/>
                <w:kern w:val="22"/>
                <w:szCs w:val="22"/>
                <w:lang w:val="es-ES_tradnl"/>
              </w:rPr>
              <w:t>1</w:t>
            </w:r>
          </w:p>
        </w:tc>
        <w:tc>
          <w:tcPr>
            <w:tcW w:w="5670" w:type="dxa"/>
          </w:tcPr>
          <w:p w14:paraId="444B0E18" w14:textId="13ED1119" w:rsidR="003A11A6" w:rsidRPr="00917DAD" w:rsidRDefault="00B01523" w:rsidP="00A23AD0">
            <w:pPr>
              <w:keepNext/>
              <w:suppressLineNumbers/>
              <w:suppressAutoHyphens/>
              <w:kinsoku w:val="0"/>
              <w:overflowPunct w:val="0"/>
              <w:autoSpaceDE w:val="0"/>
              <w:autoSpaceDN w:val="0"/>
              <w:adjustRightInd w:val="0"/>
              <w:snapToGrid w:val="0"/>
              <w:rPr>
                <w:snapToGrid w:val="0"/>
                <w:kern w:val="22"/>
                <w:szCs w:val="22"/>
                <w:lang w:val="es-ES_tradnl"/>
              </w:rPr>
            </w:pPr>
            <w:r w:rsidRPr="00917DAD">
              <w:rPr>
                <w:snapToGrid w:val="0"/>
                <w:kern w:val="22"/>
                <w:szCs w:val="22"/>
                <w:lang w:val="es-ES_tradnl"/>
              </w:rPr>
              <w:t>S</w:t>
            </w:r>
            <w:r w:rsidR="003A11A6" w:rsidRPr="00917DAD">
              <w:rPr>
                <w:snapToGrid w:val="0"/>
                <w:kern w:val="22"/>
                <w:szCs w:val="22"/>
                <w:lang w:val="es-ES_tradnl"/>
              </w:rPr>
              <w:t xml:space="preserve">r. Eric </w:t>
            </w:r>
            <w:proofErr w:type="spellStart"/>
            <w:r w:rsidR="003A11A6" w:rsidRPr="00917DAD">
              <w:rPr>
                <w:snapToGrid w:val="0"/>
                <w:kern w:val="22"/>
                <w:szCs w:val="22"/>
                <w:lang w:val="es-ES_tradnl"/>
              </w:rPr>
              <w:t>Okoree</w:t>
            </w:r>
            <w:proofErr w:type="spellEnd"/>
            <w:r w:rsidR="003A11A6" w:rsidRPr="00917DAD">
              <w:rPr>
                <w:snapToGrid w:val="0"/>
                <w:kern w:val="22"/>
                <w:szCs w:val="22"/>
                <w:lang w:val="es-ES_tradnl"/>
              </w:rPr>
              <w:t xml:space="preserve"> (Ghana)</w:t>
            </w:r>
          </w:p>
        </w:tc>
      </w:tr>
      <w:tr w:rsidR="003A11A6" w:rsidRPr="00917DAD" w14:paraId="2DA06825" w14:textId="77777777" w:rsidTr="00F3772A">
        <w:trPr>
          <w:jc w:val="center"/>
        </w:trPr>
        <w:tc>
          <w:tcPr>
            <w:tcW w:w="580" w:type="dxa"/>
          </w:tcPr>
          <w:p w14:paraId="5CB8B732" w14:textId="77777777" w:rsidR="003A11A6" w:rsidRPr="00917DAD"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lang w:val="es-ES_tradnl"/>
              </w:rPr>
            </w:pPr>
            <w:r w:rsidRPr="00917DAD">
              <w:rPr>
                <w:snapToGrid w:val="0"/>
                <w:kern w:val="22"/>
                <w:szCs w:val="22"/>
                <w:lang w:val="es-ES_tradnl"/>
              </w:rPr>
              <w:t>2</w:t>
            </w:r>
          </w:p>
        </w:tc>
        <w:tc>
          <w:tcPr>
            <w:tcW w:w="5670" w:type="dxa"/>
          </w:tcPr>
          <w:p w14:paraId="3558E044" w14:textId="1059C972" w:rsidR="003A11A6" w:rsidRPr="00917DAD" w:rsidRDefault="00B01523" w:rsidP="00A23AD0">
            <w:pPr>
              <w:keepNext/>
              <w:suppressLineNumbers/>
              <w:suppressAutoHyphens/>
              <w:kinsoku w:val="0"/>
              <w:overflowPunct w:val="0"/>
              <w:autoSpaceDE w:val="0"/>
              <w:autoSpaceDN w:val="0"/>
              <w:adjustRightInd w:val="0"/>
              <w:snapToGrid w:val="0"/>
              <w:rPr>
                <w:snapToGrid w:val="0"/>
                <w:kern w:val="22"/>
                <w:szCs w:val="22"/>
                <w:lang w:val="es-ES_tradnl"/>
              </w:rPr>
            </w:pPr>
            <w:r w:rsidRPr="00917DAD">
              <w:rPr>
                <w:snapToGrid w:val="0"/>
                <w:kern w:val="22"/>
                <w:szCs w:val="22"/>
                <w:lang w:val="es-ES_tradnl"/>
              </w:rPr>
              <w:t>S</w:t>
            </w:r>
            <w:r w:rsidR="003A11A6" w:rsidRPr="00917DAD">
              <w:rPr>
                <w:snapToGrid w:val="0"/>
                <w:kern w:val="22"/>
                <w:szCs w:val="22"/>
                <w:lang w:val="es-ES_tradnl"/>
              </w:rPr>
              <w:t xml:space="preserve">r. </w:t>
            </w:r>
            <w:proofErr w:type="spellStart"/>
            <w:r w:rsidR="003A11A6" w:rsidRPr="00917DAD">
              <w:rPr>
                <w:snapToGrid w:val="0"/>
                <w:kern w:val="22"/>
                <w:szCs w:val="22"/>
                <w:lang w:val="es-ES_tradnl"/>
              </w:rPr>
              <w:t>Melesse</w:t>
            </w:r>
            <w:proofErr w:type="spellEnd"/>
            <w:r w:rsidR="003A11A6" w:rsidRPr="00917DAD">
              <w:rPr>
                <w:snapToGrid w:val="0"/>
                <w:kern w:val="22"/>
                <w:szCs w:val="22"/>
                <w:lang w:val="es-ES_tradnl"/>
              </w:rPr>
              <w:t xml:space="preserve"> </w:t>
            </w:r>
            <w:proofErr w:type="spellStart"/>
            <w:r w:rsidR="003A11A6" w:rsidRPr="00917DAD">
              <w:rPr>
                <w:snapToGrid w:val="0"/>
                <w:kern w:val="22"/>
                <w:szCs w:val="22"/>
                <w:lang w:val="es-ES_tradnl"/>
              </w:rPr>
              <w:t>Maryo</w:t>
            </w:r>
            <w:proofErr w:type="spellEnd"/>
            <w:r w:rsidR="003A11A6" w:rsidRPr="00917DAD">
              <w:rPr>
                <w:snapToGrid w:val="0"/>
                <w:kern w:val="22"/>
                <w:szCs w:val="22"/>
                <w:lang w:val="es-ES_tradnl"/>
              </w:rPr>
              <w:t xml:space="preserve"> (Et</w:t>
            </w:r>
            <w:r w:rsidRPr="00917DAD">
              <w:rPr>
                <w:snapToGrid w:val="0"/>
                <w:kern w:val="22"/>
                <w:szCs w:val="22"/>
                <w:lang w:val="es-ES_tradnl"/>
              </w:rPr>
              <w:t>iopía</w:t>
            </w:r>
            <w:r w:rsidR="003A11A6" w:rsidRPr="00917DAD">
              <w:rPr>
                <w:snapToGrid w:val="0"/>
                <w:kern w:val="22"/>
                <w:szCs w:val="22"/>
                <w:lang w:val="es-ES_tradnl"/>
              </w:rPr>
              <w:t>)</w:t>
            </w:r>
          </w:p>
        </w:tc>
      </w:tr>
      <w:tr w:rsidR="003A11A6" w:rsidRPr="00917DAD" w14:paraId="35F12B3E" w14:textId="77777777" w:rsidTr="00F3772A">
        <w:trPr>
          <w:jc w:val="center"/>
        </w:trPr>
        <w:tc>
          <w:tcPr>
            <w:tcW w:w="580" w:type="dxa"/>
          </w:tcPr>
          <w:p w14:paraId="7DC82C4E" w14:textId="77777777" w:rsidR="003A11A6" w:rsidRPr="00917DAD"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lang w:val="es-ES_tradnl"/>
              </w:rPr>
            </w:pPr>
            <w:r w:rsidRPr="00917DAD">
              <w:rPr>
                <w:snapToGrid w:val="0"/>
                <w:kern w:val="22"/>
                <w:szCs w:val="22"/>
                <w:lang w:val="es-ES_tradnl"/>
              </w:rPr>
              <w:t>3</w:t>
            </w:r>
          </w:p>
        </w:tc>
        <w:tc>
          <w:tcPr>
            <w:tcW w:w="5670" w:type="dxa"/>
          </w:tcPr>
          <w:p w14:paraId="03589683" w14:textId="6EE76B5E" w:rsidR="003A11A6" w:rsidRPr="00917DAD" w:rsidRDefault="00B01523" w:rsidP="00A23AD0">
            <w:pPr>
              <w:keepNext/>
              <w:suppressLineNumbers/>
              <w:suppressAutoHyphens/>
              <w:kinsoku w:val="0"/>
              <w:overflowPunct w:val="0"/>
              <w:autoSpaceDE w:val="0"/>
              <w:autoSpaceDN w:val="0"/>
              <w:adjustRightInd w:val="0"/>
              <w:snapToGrid w:val="0"/>
              <w:rPr>
                <w:snapToGrid w:val="0"/>
                <w:kern w:val="22"/>
                <w:szCs w:val="22"/>
                <w:lang w:val="es-ES_tradnl"/>
              </w:rPr>
            </w:pPr>
            <w:r w:rsidRPr="00917DAD">
              <w:rPr>
                <w:snapToGrid w:val="0"/>
                <w:kern w:val="22"/>
                <w:szCs w:val="22"/>
                <w:lang w:val="es-ES_tradnl"/>
              </w:rPr>
              <w:t>Sra</w:t>
            </w:r>
            <w:r w:rsidR="003A11A6" w:rsidRPr="00917DAD">
              <w:rPr>
                <w:snapToGrid w:val="0"/>
                <w:kern w:val="22"/>
                <w:szCs w:val="22"/>
                <w:lang w:val="es-ES_tradnl"/>
              </w:rPr>
              <w:t xml:space="preserve">. </w:t>
            </w:r>
            <w:proofErr w:type="spellStart"/>
            <w:r w:rsidR="003A11A6" w:rsidRPr="00917DAD">
              <w:rPr>
                <w:snapToGrid w:val="0"/>
                <w:kern w:val="22"/>
                <w:szCs w:val="22"/>
                <w:lang w:val="es-ES_tradnl"/>
              </w:rPr>
              <w:t>Sujata</w:t>
            </w:r>
            <w:proofErr w:type="spellEnd"/>
            <w:r w:rsidR="003A11A6" w:rsidRPr="00917DAD">
              <w:rPr>
                <w:snapToGrid w:val="0"/>
                <w:kern w:val="22"/>
                <w:szCs w:val="22"/>
                <w:lang w:val="es-ES_tradnl"/>
              </w:rPr>
              <w:t xml:space="preserve"> </w:t>
            </w:r>
            <w:proofErr w:type="spellStart"/>
            <w:r w:rsidR="003A11A6" w:rsidRPr="00917DAD">
              <w:rPr>
                <w:snapToGrid w:val="0"/>
                <w:kern w:val="22"/>
                <w:szCs w:val="22"/>
                <w:lang w:val="es-ES_tradnl"/>
              </w:rPr>
              <w:t>Arora</w:t>
            </w:r>
            <w:proofErr w:type="spellEnd"/>
            <w:r w:rsidR="003A11A6" w:rsidRPr="00917DAD">
              <w:rPr>
                <w:snapToGrid w:val="0"/>
                <w:kern w:val="22"/>
                <w:szCs w:val="22"/>
                <w:lang w:val="es-ES_tradnl"/>
              </w:rPr>
              <w:t xml:space="preserve"> (India)</w:t>
            </w:r>
          </w:p>
          <w:p w14:paraId="7892E1E6" w14:textId="3A67941B" w:rsidR="003A11A6" w:rsidRPr="00917DAD" w:rsidRDefault="00330889" w:rsidP="00A23AD0">
            <w:pPr>
              <w:keepNext/>
              <w:suppressLineNumbers/>
              <w:suppressAutoHyphens/>
              <w:kinsoku w:val="0"/>
              <w:overflowPunct w:val="0"/>
              <w:autoSpaceDE w:val="0"/>
              <w:autoSpaceDN w:val="0"/>
              <w:adjustRightInd w:val="0"/>
              <w:snapToGrid w:val="0"/>
              <w:rPr>
                <w:snapToGrid w:val="0"/>
                <w:kern w:val="22"/>
                <w:szCs w:val="22"/>
                <w:lang w:val="es-ES_tradnl"/>
              </w:rPr>
            </w:pPr>
            <w:r w:rsidRPr="00917DAD">
              <w:rPr>
                <w:snapToGrid w:val="0"/>
                <w:kern w:val="22"/>
                <w:szCs w:val="22"/>
                <w:lang w:val="es-ES_tradnl"/>
              </w:rPr>
              <w:t xml:space="preserve">  </w:t>
            </w:r>
            <w:r w:rsidR="00B01523" w:rsidRPr="00917DAD">
              <w:rPr>
                <w:snapToGrid w:val="0"/>
                <w:kern w:val="22"/>
                <w:szCs w:val="22"/>
                <w:lang w:val="es-ES_tradnl"/>
              </w:rPr>
              <w:t>posteriormente sustituida por el Sr</w:t>
            </w:r>
            <w:r w:rsidR="00EE6B2E" w:rsidRPr="00917DAD">
              <w:rPr>
                <w:snapToGrid w:val="0"/>
                <w:kern w:val="22"/>
                <w:szCs w:val="22"/>
                <w:lang w:val="es-ES_tradnl"/>
              </w:rPr>
              <w:t xml:space="preserve">. </w:t>
            </w:r>
            <w:proofErr w:type="spellStart"/>
            <w:r w:rsidR="003A11A6" w:rsidRPr="00917DAD">
              <w:rPr>
                <w:snapToGrid w:val="0"/>
                <w:kern w:val="22"/>
                <w:szCs w:val="22"/>
                <w:lang w:val="es-ES_tradnl"/>
              </w:rPr>
              <w:t>Vinod</w:t>
            </w:r>
            <w:proofErr w:type="spellEnd"/>
            <w:r w:rsidR="003A11A6" w:rsidRPr="00917DAD">
              <w:rPr>
                <w:snapToGrid w:val="0"/>
                <w:kern w:val="22"/>
                <w:szCs w:val="22"/>
                <w:lang w:val="es-ES_tradnl"/>
              </w:rPr>
              <w:t xml:space="preserve"> </w:t>
            </w:r>
            <w:proofErr w:type="spellStart"/>
            <w:r w:rsidR="003A11A6" w:rsidRPr="00917DAD">
              <w:rPr>
                <w:snapToGrid w:val="0"/>
                <w:kern w:val="22"/>
                <w:szCs w:val="22"/>
                <w:lang w:val="es-ES_tradnl"/>
              </w:rPr>
              <w:t>Mathur</w:t>
            </w:r>
            <w:proofErr w:type="spellEnd"/>
            <w:r w:rsidR="003A11A6" w:rsidRPr="00917DAD">
              <w:rPr>
                <w:snapToGrid w:val="0"/>
                <w:kern w:val="22"/>
                <w:szCs w:val="22"/>
                <w:lang w:val="es-ES_tradnl"/>
              </w:rPr>
              <w:t xml:space="preserve"> (India)</w:t>
            </w:r>
          </w:p>
        </w:tc>
      </w:tr>
      <w:tr w:rsidR="003A11A6" w:rsidRPr="00154172" w14:paraId="462509A4" w14:textId="77777777" w:rsidTr="00F3772A">
        <w:trPr>
          <w:jc w:val="center"/>
        </w:trPr>
        <w:tc>
          <w:tcPr>
            <w:tcW w:w="580" w:type="dxa"/>
          </w:tcPr>
          <w:p w14:paraId="0014B894" w14:textId="77777777" w:rsidR="003A11A6" w:rsidRPr="00917DAD"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lang w:val="es-ES_tradnl"/>
              </w:rPr>
            </w:pPr>
            <w:r w:rsidRPr="00917DAD">
              <w:rPr>
                <w:snapToGrid w:val="0"/>
                <w:kern w:val="22"/>
                <w:szCs w:val="22"/>
                <w:lang w:val="es-ES_tradnl"/>
              </w:rPr>
              <w:t>4</w:t>
            </w:r>
          </w:p>
        </w:tc>
        <w:tc>
          <w:tcPr>
            <w:tcW w:w="5670" w:type="dxa"/>
          </w:tcPr>
          <w:p w14:paraId="35F9AB15" w14:textId="53A7A045" w:rsidR="003A11A6" w:rsidRPr="00917DAD" w:rsidRDefault="00B01523" w:rsidP="00A23AD0">
            <w:pPr>
              <w:keepNext/>
              <w:suppressLineNumbers/>
              <w:suppressAutoHyphens/>
              <w:kinsoku w:val="0"/>
              <w:overflowPunct w:val="0"/>
              <w:autoSpaceDE w:val="0"/>
              <w:autoSpaceDN w:val="0"/>
              <w:adjustRightInd w:val="0"/>
              <w:snapToGrid w:val="0"/>
              <w:rPr>
                <w:snapToGrid w:val="0"/>
                <w:kern w:val="22"/>
                <w:szCs w:val="22"/>
                <w:lang w:val="es-ES_tradnl"/>
              </w:rPr>
            </w:pPr>
            <w:r w:rsidRPr="00917DAD">
              <w:rPr>
                <w:snapToGrid w:val="0"/>
                <w:kern w:val="22"/>
                <w:szCs w:val="22"/>
                <w:lang w:val="es-ES_tradnl"/>
              </w:rPr>
              <w:t>Sra</w:t>
            </w:r>
            <w:r w:rsidR="003A11A6" w:rsidRPr="00917DAD">
              <w:rPr>
                <w:snapToGrid w:val="0"/>
                <w:kern w:val="22"/>
                <w:szCs w:val="22"/>
                <w:lang w:val="es-ES_tradnl"/>
              </w:rPr>
              <w:t xml:space="preserve">. </w:t>
            </w:r>
            <w:proofErr w:type="spellStart"/>
            <w:r w:rsidR="003A11A6" w:rsidRPr="00917DAD">
              <w:rPr>
                <w:snapToGrid w:val="0"/>
                <w:kern w:val="22"/>
                <w:szCs w:val="22"/>
                <w:lang w:val="es-ES_tradnl"/>
              </w:rPr>
              <w:t>Leina</w:t>
            </w:r>
            <w:proofErr w:type="spellEnd"/>
            <w:r w:rsidR="003A11A6" w:rsidRPr="00917DAD">
              <w:rPr>
                <w:snapToGrid w:val="0"/>
                <w:kern w:val="22"/>
                <w:szCs w:val="22"/>
                <w:lang w:val="es-ES_tradnl"/>
              </w:rPr>
              <w:t xml:space="preserve"> El-</w:t>
            </w:r>
            <w:proofErr w:type="spellStart"/>
            <w:r w:rsidR="003A11A6" w:rsidRPr="00917DAD">
              <w:rPr>
                <w:snapToGrid w:val="0"/>
                <w:kern w:val="22"/>
                <w:szCs w:val="22"/>
                <w:lang w:val="es-ES_tradnl"/>
              </w:rPr>
              <w:t>Awadhi</w:t>
            </w:r>
            <w:proofErr w:type="spellEnd"/>
            <w:r w:rsidR="003A11A6" w:rsidRPr="00917DAD">
              <w:rPr>
                <w:snapToGrid w:val="0"/>
                <w:kern w:val="22"/>
                <w:szCs w:val="22"/>
                <w:lang w:val="es-ES_tradnl"/>
              </w:rPr>
              <w:t xml:space="preserve"> (Kuwait)</w:t>
            </w:r>
          </w:p>
        </w:tc>
      </w:tr>
      <w:tr w:rsidR="003A11A6" w:rsidRPr="00917DAD" w14:paraId="42CCC3AD" w14:textId="77777777" w:rsidTr="00F3772A">
        <w:trPr>
          <w:jc w:val="center"/>
        </w:trPr>
        <w:tc>
          <w:tcPr>
            <w:tcW w:w="580" w:type="dxa"/>
          </w:tcPr>
          <w:p w14:paraId="15EFA4DC" w14:textId="77777777" w:rsidR="003A11A6" w:rsidRPr="00917DAD"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lang w:val="es-ES_tradnl"/>
              </w:rPr>
            </w:pPr>
            <w:r w:rsidRPr="00917DAD">
              <w:rPr>
                <w:snapToGrid w:val="0"/>
                <w:kern w:val="22"/>
                <w:szCs w:val="22"/>
                <w:lang w:val="es-ES_tradnl"/>
              </w:rPr>
              <w:t>5</w:t>
            </w:r>
          </w:p>
        </w:tc>
        <w:tc>
          <w:tcPr>
            <w:tcW w:w="5670" w:type="dxa"/>
          </w:tcPr>
          <w:p w14:paraId="25943BF4" w14:textId="29939D28" w:rsidR="003A11A6" w:rsidRPr="00917DAD" w:rsidRDefault="00B01523" w:rsidP="00A23AD0">
            <w:pPr>
              <w:keepNext/>
              <w:suppressLineNumbers/>
              <w:suppressAutoHyphens/>
              <w:kinsoku w:val="0"/>
              <w:overflowPunct w:val="0"/>
              <w:autoSpaceDE w:val="0"/>
              <w:autoSpaceDN w:val="0"/>
              <w:adjustRightInd w:val="0"/>
              <w:snapToGrid w:val="0"/>
              <w:rPr>
                <w:snapToGrid w:val="0"/>
                <w:kern w:val="22"/>
                <w:szCs w:val="22"/>
                <w:lang w:val="es-ES_tradnl"/>
              </w:rPr>
            </w:pPr>
            <w:r w:rsidRPr="00917DAD">
              <w:rPr>
                <w:snapToGrid w:val="0"/>
                <w:kern w:val="22"/>
                <w:szCs w:val="22"/>
                <w:lang w:val="es-ES_tradnl"/>
              </w:rPr>
              <w:t>Sra</w:t>
            </w:r>
            <w:r w:rsidR="003A11A6" w:rsidRPr="00917DAD">
              <w:rPr>
                <w:snapToGrid w:val="0"/>
                <w:kern w:val="22"/>
                <w:szCs w:val="22"/>
                <w:lang w:val="es-ES_tradnl"/>
              </w:rPr>
              <w:t xml:space="preserve">. </w:t>
            </w:r>
            <w:proofErr w:type="spellStart"/>
            <w:r w:rsidR="003A11A6" w:rsidRPr="00917DAD">
              <w:rPr>
                <w:snapToGrid w:val="0"/>
                <w:kern w:val="22"/>
                <w:szCs w:val="22"/>
                <w:lang w:val="es-ES_tradnl"/>
              </w:rPr>
              <w:t>Teona</w:t>
            </w:r>
            <w:proofErr w:type="spellEnd"/>
            <w:r w:rsidR="003A11A6" w:rsidRPr="00917DAD">
              <w:rPr>
                <w:snapToGrid w:val="0"/>
                <w:kern w:val="22"/>
                <w:szCs w:val="22"/>
                <w:lang w:val="es-ES_tradnl"/>
              </w:rPr>
              <w:t xml:space="preserve"> </w:t>
            </w:r>
            <w:proofErr w:type="spellStart"/>
            <w:r w:rsidR="003A11A6" w:rsidRPr="00917DAD">
              <w:rPr>
                <w:snapToGrid w:val="0"/>
                <w:kern w:val="22"/>
                <w:szCs w:val="22"/>
                <w:lang w:val="es-ES_tradnl"/>
              </w:rPr>
              <w:t>Karchava</w:t>
            </w:r>
            <w:proofErr w:type="spellEnd"/>
            <w:r w:rsidR="003A11A6" w:rsidRPr="00917DAD">
              <w:rPr>
                <w:snapToGrid w:val="0"/>
                <w:kern w:val="22"/>
                <w:szCs w:val="22"/>
                <w:lang w:val="es-ES_tradnl"/>
              </w:rPr>
              <w:t xml:space="preserve"> (Georgia)</w:t>
            </w:r>
          </w:p>
        </w:tc>
      </w:tr>
      <w:tr w:rsidR="003A11A6" w:rsidRPr="00917DAD" w14:paraId="72B767FF" w14:textId="77777777" w:rsidTr="00F3772A">
        <w:trPr>
          <w:jc w:val="center"/>
        </w:trPr>
        <w:tc>
          <w:tcPr>
            <w:tcW w:w="580" w:type="dxa"/>
          </w:tcPr>
          <w:p w14:paraId="447B9AFD" w14:textId="77777777" w:rsidR="003A11A6" w:rsidRPr="00917DAD"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lang w:val="es-ES_tradnl"/>
              </w:rPr>
            </w:pPr>
            <w:r w:rsidRPr="00917DAD">
              <w:rPr>
                <w:snapToGrid w:val="0"/>
                <w:kern w:val="22"/>
                <w:szCs w:val="22"/>
                <w:lang w:val="es-ES_tradnl"/>
              </w:rPr>
              <w:t>6</w:t>
            </w:r>
          </w:p>
        </w:tc>
        <w:tc>
          <w:tcPr>
            <w:tcW w:w="5670" w:type="dxa"/>
          </w:tcPr>
          <w:p w14:paraId="54F5BF44" w14:textId="4E51FA58" w:rsidR="003A11A6" w:rsidRPr="00917DAD" w:rsidRDefault="00B01523" w:rsidP="00A23AD0">
            <w:pPr>
              <w:keepNext/>
              <w:suppressLineNumbers/>
              <w:suppressAutoHyphens/>
              <w:kinsoku w:val="0"/>
              <w:overflowPunct w:val="0"/>
              <w:autoSpaceDE w:val="0"/>
              <w:autoSpaceDN w:val="0"/>
              <w:adjustRightInd w:val="0"/>
              <w:snapToGrid w:val="0"/>
              <w:rPr>
                <w:snapToGrid w:val="0"/>
                <w:kern w:val="22"/>
                <w:szCs w:val="22"/>
                <w:lang w:val="es-ES_tradnl"/>
              </w:rPr>
            </w:pPr>
            <w:r w:rsidRPr="00917DAD">
              <w:rPr>
                <w:snapToGrid w:val="0"/>
                <w:kern w:val="22"/>
                <w:szCs w:val="22"/>
                <w:lang w:val="es-ES_tradnl"/>
              </w:rPr>
              <w:t>Sra</w:t>
            </w:r>
            <w:r w:rsidR="003A11A6" w:rsidRPr="00917DAD">
              <w:rPr>
                <w:snapToGrid w:val="0"/>
                <w:kern w:val="22"/>
                <w:szCs w:val="22"/>
                <w:lang w:val="es-ES_tradnl"/>
              </w:rPr>
              <w:t xml:space="preserve">. </w:t>
            </w:r>
            <w:proofErr w:type="spellStart"/>
            <w:r w:rsidR="003A11A6" w:rsidRPr="00917DAD">
              <w:rPr>
                <w:snapToGrid w:val="0"/>
                <w:kern w:val="22"/>
                <w:szCs w:val="22"/>
                <w:lang w:val="es-ES_tradnl"/>
              </w:rPr>
              <w:t>Elvana</w:t>
            </w:r>
            <w:proofErr w:type="spellEnd"/>
            <w:r w:rsidR="003A11A6" w:rsidRPr="00917DAD">
              <w:rPr>
                <w:snapToGrid w:val="0"/>
                <w:kern w:val="22"/>
                <w:szCs w:val="22"/>
                <w:lang w:val="es-ES_tradnl"/>
              </w:rPr>
              <w:t xml:space="preserve"> </w:t>
            </w:r>
            <w:proofErr w:type="spellStart"/>
            <w:r w:rsidR="003A11A6" w:rsidRPr="00917DAD">
              <w:rPr>
                <w:snapToGrid w:val="0"/>
                <w:kern w:val="22"/>
                <w:szCs w:val="22"/>
                <w:lang w:val="es-ES_tradnl"/>
              </w:rPr>
              <w:t>Ramaj</w:t>
            </w:r>
            <w:proofErr w:type="spellEnd"/>
            <w:r w:rsidR="003A11A6" w:rsidRPr="00917DAD">
              <w:rPr>
                <w:snapToGrid w:val="0"/>
                <w:kern w:val="22"/>
                <w:szCs w:val="22"/>
                <w:lang w:val="es-ES_tradnl"/>
              </w:rPr>
              <w:t xml:space="preserve"> (Albania)</w:t>
            </w:r>
          </w:p>
        </w:tc>
      </w:tr>
      <w:tr w:rsidR="003A11A6" w:rsidRPr="00917DAD" w14:paraId="29897457" w14:textId="77777777" w:rsidTr="00F3772A">
        <w:trPr>
          <w:jc w:val="center"/>
        </w:trPr>
        <w:tc>
          <w:tcPr>
            <w:tcW w:w="580" w:type="dxa"/>
          </w:tcPr>
          <w:p w14:paraId="011D88BE" w14:textId="77777777" w:rsidR="003A11A6" w:rsidRPr="00917DAD"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lang w:val="es-ES_tradnl"/>
              </w:rPr>
            </w:pPr>
            <w:r w:rsidRPr="00917DAD">
              <w:rPr>
                <w:snapToGrid w:val="0"/>
                <w:kern w:val="22"/>
                <w:szCs w:val="22"/>
                <w:lang w:val="es-ES_tradnl"/>
              </w:rPr>
              <w:t>7</w:t>
            </w:r>
          </w:p>
        </w:tc>
        <w:tc>
          <w:tcPr>
            <w:tcW w:w="5670" w:type="dxa"/>
          </w:tcPr>
          <w:p w14:paraId="65139219" w14:textId="41EF3828" w:rsidR="003A11A6" w:rsidRPr="00917DAD" w:rsidRDefault="00B01523" w:rsidP="00A23AD0">
            <w:pPr>
              <w:keepNext/>
              <w:suppressLineNumbers/>
              <w:suppressAutoHyphens/>
              <w:kinsoku w:val="0"/>
              <w:overflowPunct w:val="0"/>
              <w:autoSpaceDE w:val="0"/>
              <w:autoSpaceDN w:val="0"/>
              <w:adjustRightInd w:val="0"/>
              <w:snapToGrid w:val="0"/>
              <w:rPr>
                <w:snapToGrid w:val="0"/>
                <w:kern w:val="22"/>
                <w:szCs w:val="22"/>
                <w:lang w:val="es-ES_tradnl"/>
              </w:rPr>
            </w:pPr>
            <w:r w:rsidRPr="00917DAD">
              <w:rPr>
                <w:snapToGrid w:val="0"/>
                <w:kern w:val="22"/>
                <w:szCs w:val="22"/>
                <w:lang w:val="es-ES_tradnl"/>
              </w:rPr>
              <w:t>S</w:t>
            </w:r>
            <w:r w:rsidR="00AA3C77" w:rsidRPr="00917DAD">
              <w:rPr>
                <w:snapToGrid w:val="0"/>
                <w:kern w:val="22"/>
                <w:szCs w:val="22"/>
                <w:lang w:val="es-ES_tradnl"/>
              </w:rPr>
              <w:t>r</w:t>
            </w:r>
            <w:r w:rsidR="003A11A6" w:rsidRPr="00917DAD">
              <w:rPr>
                <w:snapToGrid w:val="0"/>
                <w:kern w:val="22"/>
                <w:szCs w:val="22"/>
                <w:lang w:val="es-ES_tradnl"/>
              </w:rPr>
              <w:t>. Carlos Manuel Rodr</w:t>
            </w:r>
            <w:r w:rsidRPr="00917DAD">
              <w:rPr>
                <w:snapToGrid w:val="0"/>
                <w:kern w:val="22"/>
                <w:szCs w:val="22"/>
                <w:lang w:val="es-ES_tradnl"/>
              </w:rPr>
              <w:t>í</w:t>
            </w:r>
            <w:r w:rsidR="003A11A6" w:rsidRPr="00917DAD">
              <w:rPr>
                <w:snapToGrid w:val="0"/>
                <w:kern w:val="22"/>
                <w:szCs w:val="22"/>
                <w:lang w:val="es-ES_tradnl"/>
              </w:rPr>
              <w:t>guez (Costa Rica)</w:t>
            </w:r>
          </w:p>
          <w:p w14:paraId="3AD8C850" w14:textId="05CEB168" w:rsidR="003A11A6" w:rsidRPr="00917DAD" w:rsidRDefault="00330889" w:rsidP="00A23AD0">
            <w:pPr>
              <w:keepNext/>
              <w:suppressLineNumbers/>
              <w:suppressAutoHyphens/>
              <w:kinsoku w:val="0"/>
              <w:overflowPunct w:val="0"/>
              <w:autoSpaceDE w:val="0"/>
              <w:autoSpaceDN w:val="0"/>
              <w:adjustRightInd w:val="0"/>
              <w:snapToGrid w:val="0"/>
              <w:rPr>
                <w:snapToGrid w:val="0"/>
                <w:kern w:val="22"/>
                <w:szCs w:val="22"/>
                <w:lang w:val="es-ES_tradnl"/>
              </w:rPr>
            </w:pPr>
            <w:r w:rsidRPr="00917DAD">
              <w:rPr>
                <w:snapToGrid w:val="0"/>
                <w:kern w:val="22"/>
                <w:szCs w:val="22"/>
                <w:lang w:val="es-ES_tradnl"/>
              </w:rPr>
              <w:t xml:space="preserve">  </w:t>
            </w:r>
            <w:r w:rsidR="00B01523" w:rsidRPr="00917DAD">
              <w:rPr>
                <w:snapToGrid w:val="0"/>
                <w:kern w:val="22"/>
                <w:szCs w:val="22"/>
                <w:lang w:val="es-ES_tradnl"/>
              </w:rPr>
              <w:t>posteriormente sustituido por la Sra</w:t>
            </w:r>
            <w:r w:rsidR="003A11A6" w:rsidRPr="00917DAD">
              <w:rPr>
                <w:snapToGrid w:val="0"/>
                <w:kern w:val="22"/>
                <w:szCs w:val="22"/>
                <w:lang w:val="es-ES_tradnl"/>
              </w:rPr>
              <w:t>. Andrea Meza Murillo (Costa Rica)</w:t>
            </w:r>
          </w:p>
        </w:tc>
      </w:tr>
      <w:tr w:rsidR="003A11A6" w:rsidRPr="00917DAD" w14:paraId="2C5E0186" w14:textId="77777777" w:rsidTr="00F3772A">
        <w:trPr>
          <w:jc w:val="center"/>
        </w:trPr>
        <w:tc>
          <w:tcPr>
            <w:tcW w:w="580" w:type="dxa"/>
          </w:tcPr>
          <w:p w14:paraId="1940E7D4" w14:textId="77777777" w:rsidR="003A11A6" w:rsidRPr="00917DAD"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lang w:val="es-ES_tradnl"/>
              </w:rPr>
            </w:pPr>
            <w:r w:rsidRPr="00917DAD">
              <w:rPr>
                <w:snapToGrid w:val="0"/>
                <w:kern w:val="22"/>
                <w:szCs w:val="22"/>
                <w:lang w:val="es-ES_tradnl"/>
              </w:rPr>
              <w:t>8</w:t>
            </w:r>
          </w:p>
        </w:tc>
        <w:tc>
          <w:tcPr>
            <w:tcW w:w="5670" w:type="dxa"/>
          </w:tcPr>
          <w:p w14:paraId="6A0A68A9" w14:textId="05E4F3FE" w:rsidR="003A11A6" w:rsidRPr="00917DAD" w:rsidRDefault="00B01523" w:rsidP="00A23AD0">
            <w:pPr>
              <w:keepNext/>
              <w:suppressLineNumbers/>
              <w:suppressAutoHyphens/>
              <w:kinsoku w:val="0"/>
              <w:overflowPunct w:val="0"/>
              <w:autoSpaceDE w:val="0"/>
              <w:autoSpaceDN w:val="0"/>
              <w:adjustRightInd w:val="0"/>
              <w:snapToGrid w:val="0"/>
              <w:rPr>
                <w:snapToGrid w:val="0"/>
                <w:kern w:val="22"/>
                <w:szCs w:val="22"/>
                <w:lang w:val="es-ES_tradnl"/>
              </w:rPr>
            </w:pPr>
            <w:r w:rsidRPr="00917DAD">
              <w:rPr>
                <w:snapToGrid w:val="0"/>
                <w:kern w:val="22"/>
                <w:szCs w:val="22"/>
                <w:lang w:val="es-ES_tradnl"/>
              </w:rPr>
              <w:t>Sra</w:t>
            </w:r>
            <w:r w:rsidR="003A11A6" w:rsidRPr="00917DAD">
              <w:rPr>
                <w:snapToGrid w:val="0"/>
                <w:kern w:val="22"/>
                <w:szCs w:val="22"/>
                <w:lang w:val="es-ES_tradnl"/>
              </w:rPr>
              <w:t xml:space="preserve">. Helena </w:t>
            </w:r>
            <w:proofErr w:type="spellStart"/>
            <w:r w:rsidR="003A11A6" w:rsidRPr="00917DAD">
              <w:rPr>
                <w:snapToGrid w:val="0"/>
                <w:kern w:val="22"/>
                <w:szCs w:val="22"/>
                <w:lang w:val="es-ES_tradnl"/>
              </w:rPr>
              <w:t>Jeffery</w:t>
            </w:r>
            <w:proofErr w:type="spellEnd"/>
            <w:r w:rsidR="003A11A6" w:rsidRPr="00917DAD">
              <w:rPr>
                <w:snapToGrid w:val="0"/>
                <w:kern w:val="22"/>
                <w:szCs w:val="22"/>
                <w:lang w:val="es-ES_tradnl"/>
              </w:rPr>
              <w:t xml:space="preserve"> Brown (Antigua </w:t>
            </w:r>
            <w:r w:rsidRPr="00917DAD">
              <w:rPr>
                <w:snapToGrid w:val="0"/>
                <w:kern w:val="22"/>
                <w:szCs w:val="22"/>
                <w:lang w:val="es-ES_tradnl"/>
              </w:rPr>
              <w:t>y</w:t>
            </w:r>
            <w:r w:rsidR="003A11A6" w:rsidRPr="00917DAD">
              <w:rPr>
                <w:snapToGrid w:val="0"/>
                <w:kern w:val="22"/>
                <w:szCs w:val="22"/>
                <w:lang w:val="es-ES_tradnl"/>
              </w:rPr>
              <w:t xml:space="preserve"> Barbuda)</w:t>
            </w:r>
          </w:p>
        </w:tc>
      </w:tr>
      <w:tr w:rsidR="003A11A6" w:rsidRPr="00917DAD" w14:paraId="28F14707" w14:textId="77777777" w:rsidTr="00F3772A">
        <w:trPr>
          <w:jc w:val="center"/>
        </w:trPr>
        <w:tc>
          <w:tcPr>
            <w:tcW w:w="580" w:type="dxa"/>
          </w:tcPr>
          <w:p w14:paraId="2D6D3B43" w14:textId="77777777" w:rsidR="003A11A6" w:rsidRPr="00917DAD"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lang w:val="es-ES_tradnl"/>
              </w:rPr>
            </w:pPr>
            <w:r w:rsidRPr="00917DAD">
              <w:rPr>
                <w:snapToGrid w:val="0"/>
                <w:kern w:val="22"/>
                <w:szCs w:val="22"/>
                <w:lang w:val="es-ES_tradnl"/>
              </w:rPr>
              <w:t>9</w:t>
            </w:r>
          </w:p>
        </w:tc>
        <w:tc>
          <w:tcPr>
            <w:tcW w:w="5670" w:type="dxa"/>
          </w:tcPr>
          <w:p w14:paraId="52873B0D" w14:textId="026F4B1A" w:rsidR="003A11A6" w:rsidRPr="00917DAD" w:rsidRDefault="00B01523" w:rsidP="00A23AD0">
            <w:pPr>
              <w:keepNext/>
              <w:suppressLineNumbers/>
              <w:suppressAutoHyphens/>
              <w:kinsoku w:val="0"/>
              <w:overflowPunct w:val="0"/>
              <w:autoSpaceDE w:val="0"/>
              <w:autoSpaceDN w:val="0"/>
              <w:adjustRightInd w:val="0"/>
              <w:snapToGrid w:val="0"/>
              <w:rPr>
                <w:snapToGrid w:val="0"/>
                <w:kern w:val="22"/>
                <w:szCs w:val="22"/>
                <w:lang w:val="es-ES_tradnl"/>
              </w:rPr>
            </w:pPr>
            <w:r w:rsidRPr="00917DAD">
              <w:rPr>
                <w:snapToGrid w:val="0"/>
                <w:kern w:val="22"/>
                <w:szCs w:val="22"/>
                <w:lang w:val="es-ES_tradnl"/>
              </w:rPr>
              <w:t>Sra</w:t>
            </w:r>
            <w:r w:rsidR="003A11A6" w:rsidRPr="00917DAD">
              <w:rPr>
                <w:snapToGrid w:val="0"/>
                <w:kern w:val="22"/>
                <w:szCs w:val="22"/>
                <w:lang w:val="es-ES_tradnl"/>
              </w:rPr>
              <w:t xml:space="preserve">. Gabriele </w:t>
            </w:r>
            <w:proofErr w:type="spellStart"/>
            <w:r w:rsidR="003A11A6" w:rsidRPr="00917DAD">
              <w:rPr>
                <w:snapToGrid w:val="0"/>
                <w:kern w:val="22"/>
                <w:szCs w:val="22"/>
                <w:lang w:val="es-ES_tradnl"/>
              </w:rPr>
              <w:t>Obermayr</w:t>
            </w:r>
            <w:proofErr w:type="spellEnd"/>
            <w:r w:rsidR="003A11A6" w:rsidRPr="00917DAD">
              <w:rPr>
                <w:snapToGrid w:val="0"/>
                <w:kern w:val="22"/>
                <w:szCs w:val="22"/>
                <w:lang w:val="es-ES_tradnl"/>
              </w:rPr>
              <w:t xml:space="preserve"> (Austria)</w:t>
            </w:r>
          </w:p>
        </w:tc>
      </w:tr>
      <w:tr w:rsidR="003A11A6" w:rsidRPr="00917DAD" w14:paraId="69B7D46F" w14:textId="77777777" w:rsidTr="00F3772A">
        <w:trPr>
          <w:trHeight w:val="422"/>
          <w:jc w:val="center"/>
        </w:trPr>
        <w:tc>
          <w:tcPr>
            <w:tcW w:w="580" w:type="dxa"/>
          </w:tcPr>
          <w:p w14:paraId="4B3EA132" w14:textId="77777777" w:rsidR="003A11A6" w:rsidRPr="00917DAD" w:rsidRDefault="003A11A6" w:rsidP="00A23AD0">
            <w:pPr>
              <w:suppressLineNumbers/>
              <w:suppressAutoHyphens/>
              <w:kinsoku w:val="0"/>
              <w:overflowPunct w:val="0"/>
              <w:autoSpaceDE w:val="0"/>
              <w:autoSpaceDN w:val="0"/>
              <w:adjustRightInd w:val="0"/>
              <w:snapToGrid w:val="0"/>
              <w:ind w:right="144"/>
              <w:jc w:val="right"/>
              <w:rPr>
                <w:snapToGrid w:val="0"/>
                <w:kern w:val="22"/>
                <w:szCs w:val="22"/>
                <w:lang w:val="es-ES_tradnl"/>
              </w:rPr>
            </w:pPr>
            <w:r w:rsidRPr="00917DAD">
              <w:rPr>
                <w:snapToGrid w:val="0"/>
                <w:kern w:val="22"/>
                <w:szCs w:val="22"/>
                <w:lang w:val="es-ES_tradnl"/>
              </w:rPr>
              <w:t>10</w:t>
            </w:r>
          </w:p>
        </w:tc>
        <w:tc>
          <w:tcPr>
            <w:tcW w:w="5670" w:type="dxa"/>
          </w:tcPr>
          <w:p w14:paraId="3CBAEA35" w14:textId="3E297EB6" w:rsidR="003A11A6" w:rsidRPr="00917DAD" w:rsidRDefault="00B01523" w:rsidP="00A23AD0">
            <w:pPr>
              <w:suppressLineNumbers/>
              <w:suppressAutoHyphens/>
              <w:kinsoku w:val="0"/>
              <w:overflowPunct w:val="0"/>
              <w:autoSpaceDE w:val="0"/>
              <w:autoSpaceDN w:val="0"/>
              <w:adjustRightInd w:val="0"/>
              <w:snapToGrid w:val="0"/>
              <w:rPr>
                <w:snapToGrid w:val="0"/>
                <w:kern w:val="22"/>
                <w:szCs w:val="22"/>
                <w:lang w:val="es-ES_tradnl"/>
              </w:rPr>
            </w:pPr>
            <w:r w:rsidRPr="00917DAD">
              <w:rPr>
                <w:snapToGrid w:val="0"/>
                <w:kern w:val="22"/>
                <w:szCs w:val="22"/>
                <w:lang w:val="es-ES_tradnl"/>
              </w:rPr>
              <w:t>Sra</w:t>
            </w:r>
            <w:r w:rsidR="003A11A6" w:rsidRPr="00917DAD">
              <w:rPr>
                <w:snapToGrid w:val="0"/>
                <w:kern w:val="22"/>
                <w:szCs w:val="22"/>
                <w:lang w:val="es-ES_tradnl"/>
              </w:rPr>
              <w:t>. Rosemary Paterson (N</w:t>
            </w:r>
            <w:r w:rsidRPr="00917DAD">
              <w:rPr>
                <w:snapToGrid w:val="0"/>
                <w:kern w:val="22"/>
                <w:szCs w:val="22"/>
                <w:lang w:val="es-ES_tradnl"/>
              </w:rPr>
              <w:t>ueva Zelandia</w:t>
            </w:r>
            <w:r w:rsidR="003A11A6" w:rsidRPr="00917DAD">
              <w:rPr>
                <w:snapToGrid w:val="0"/>
                <w:kern w:val="22"/>
                <w:szCs w:val="22"/>
                <w:lang w:val="es-ES_tradnl"/>
              </w:rPr>
              <w:t>)</w:t>
            </w:r>
          </w:p>
        </w:tc>
      </w:tr>
    </w:tbl>
    <w:bookmarkEnd w:id="3"/>
    <w:p w14:paraId="02A40CB2" w14:textId="5E0045A0" w:rsidR="00711E1A" w:rsidRPr="00917DAD" w:rsidRDefault="00711E1A" w:rsidP="00711E1A">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zCs w:val="22"/>
          <w:lang w:val="es-ES_tradnl"/>
        </w:rPr>
        <w:t>Se insta a los grupos regionales a que presenten sus designaciones, preferentemente antes de la Parte II de la reunión de 2022. Esto permitirá a los nuevos miembros electos de la Mesa asistir, como observadores, a las reuniones de la Mesa que se celebrarán durante la Parte II de la reunión de la Conferencia de las Partes a fin de asegurar una transición sin problemas entre los miembros salientes y entrantes de la Mesa.</w:t>
      </w:r>
    </w:p>
    <w:p w14:paraId="3D6BD601" w14:textId="6BF5609C" w:rsidR="003A11A6" w:rsidRPr="00917DAD" w:rsidRDefault="00F3772A"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zCs w:val="22"/>
          <w:lang w:val="es-ES_tradnl"/>
        </w:rPr>
        <w:t xml:space="preserve">Cuando sea necesario, la </w:t>
      </w:r>
      <w:r w:rsidR="00696AE9" w:rsidRPr="00917DAD">
        <w:rPr>
          <w:snapToGrid w:val="0"/>
          <w:kern w:val="22"/>
          <w:szCs w:val="22"/>
          <w:lang w:val="es-ES_tradnl"/>
        </w:rPr>
        <w:t>Conferencia de las Partes que actúa como décima reunión de las Partes en el Protocolo de Cartagena</w:t>
      </w:r>
      <w:r w:rsidR="00696AE9" w:rsidRPr="00917DAD">
        <w:rPr>
          <w:szCs w:val="22"/>
          <w:lang w:val="es-ES_tradnl"/>
        </w:rPr>
        <w:t xml:space="preserve"> </w:t>
      </w:r>
      <w:r w:rsidRPr="00917DAD">
        <w:rPr>
          <w:szCs w:val="22"/>
          <w:lang w:val="es-ES_tradnl"/>
        </w:rPr>
        <w:t xml:space="preserve">y la </w:t>
      </w:r>
      <w:r w:rsidR="00696AE9" w:rsidRPr="00917DAD">
        <w:rPr>
          <w:snapToGrid w:val="0"/>
          <w:kern w:val="22"/>
          <w:szCs w:val="22"/>
          <w:lang w:val="es-ES_tradnl"/>
        </w:rPr>
        <w:t xml:space="preserve">Conferencia de las Partes que actúa como cuarta reunión de las Partes en el Protocolo de Nagoya </w:t>
      </w:r>
      <w:r w:rsidR="00696AE9" w:rsidRPr="00917DAD">
        <w:rPr>
          <w:szCs w:val="22"/>
          <w:lang w:val="es-ES_tradnl"/>
        </w:rPr>
        <w:t>elegirán miembros reemplazantes</w:t>
      </w:r>
      <w:r w:rsidR="00696AE9" w:rsidRPr="00917DAD">
        <w:rPr>
          <w:snapToGrid w:val="0"/>
          <w:kern w:val="22"/>
          <w:szCs w:val="22"/>
          <w:lang w:val="es-ES_tradnl"/>
        </w:rPr>
        <w:t xml:space="preserve"> </w:t>
      </w:r>
      <w:r w:rsidR="00696AE9" w:rsidRPr="00917DAD">
        <w:rPr>
          <w:szCs w:val="22"/>
          <w:lang w:val="es-ES_tradnl"/>
        </w:rPr>
        <w:t>durante la Parte II de las reuniones, en 2022</w:t>
      </w:r>
      <w:r w:rsidR="003A11A6" w:rsidRPr="00917DAD">
        <w:rPr>
          <w:snapToGrid w:val="0"/>
          <w:kern w:val="22"/>
          <w:szCs w:val="22"/>
          <w:lang w:val="es-ES_tradnl"/>
        </w:rPr>
        <w:t>.</w:t>
      </w:r>
    </w:p>
    <w:p w14:paraId="6CFDB0F0" w14:textId="2E9A1F9F" w:rsidR="003A11A6" w:rsidRPr="00917DAD" w:rsidRDefault="004B51F6" w:rsidP="00A23AD0">
      <w:pPr>
        <w:keepNext/>
        <w:suppressLineNumbers/>
        <w:suppressAutoHyphens/>
        <w:kinsoku w:val="0"/>
        <w:overflowPunct w:val="0"/>
        <w:autoSpaceDE w:val="0"/>
        <w:autoSpaceDN w:val="0"/>
        <w:adjustRightInd w:val="0"/>
        <w:snapToGrid w:val="0"/>
        <w:spacing w:before="120" w:after="120"/>
        <w:outlineLvl w:val="1"/>
        <w:rPr>
          <w:i/>
          <w:iCs/>
          <w:snapToGrid w:val="0"/>
          <w:kern w:val="22"/>
          <w:szCs w:val="22"/>
          <w:lang w:val="es-ES_tradnl"/>
        </w:rPr>
      </w:pPr>
      <w:r w:rsidRPr="00917DAD">
        <w:rPr>
          <w:i/>
          <w:iCs/>
          <w:snapToGrid w:val="0"/>
          <w:kern w:val="22"/>
          <w:szCs w:val="22"/>
          <w:lang w:val="es-ES_tradnl"/>
        </w:rPr>
        <w:t>Elección de la Mesa de los órganos subsidiarios</w:t>
      </w:r>
    </w:p>
    <w:p w14:paraId="0F114EF2" w14:textId="0CCA5895" w:rsidR="002D6B36" w:rsidRPr="00917DAD" w:rsidRDefault="002D6B36" w:rsidP="004B56AF">
      <w:pPr>
        <w:numPr>
          <w:ilvl w:val="0"/>
          <w:numId w:val="37"/>
        </w:numPr>
        <w:suppressLineNumbers/>
        <w:tabs>
          <w:tab w:val="clear" w:pos="450"/>
          <w:tab w:val="left" w:pos="720"/>
        </w:tabs>
        <w:suppressAutoHyphens/>
        <w:kinsoku w:val="0"/>
        <w:overflowPunct w:val="0"/>
        <w:autoSpaceDE w:val="0"/>
        <w:autoSpaceDN w:val="0"/>
        <w:adjustRightInd w:val="0"/>
        <w:snapToGrid w:val="0"/>
        <w:spacing w:before="160" w:after="120"/>
        <w:ind w:left="0"/>
        <w:rPr>
          <w:kern w:val="22"/>
          <w:szCs w:val="22"/>
          <w:lang w:val="es-ES_tradnl"/>
        </w:rPr>
      </w:pPr>
      <w:bookmarkStart w:id="4" w:name="_Hlk508782738"/>
      <w:r w:rsidRPr="00917DAD">
        <w:rPr>
          <w:szCs w:val="22"/>
          <w:lang w:val="es-ES_tradnl"/>
        </w:rPr>
        <w:t xml:space="preserve">El artículo 26 del reglamento dispone que el presidente de cada órgano subsidiario será elegido por la Conferencia de las Partes. En esta reunión, por lo tanto, la Conferencia de las Partes deberá elegir al </w:t>
      </w:r>
      <w:proofErr w:type="gramStart"/>
      <w:r w:rsidRPr="00917DAD">
        <w:rPr>
          <w:szCs w:val="22"/>
          <w:lang w:val="es-ES_tradnl"/>
        </w:rPr>
        <w:t>Presidente</w:t>
      </w:r>
      <w:proofErr w:type="gramEnd"/>
      <w:r w:rsidRPr="00917DAD">
        <w:rPr>
          <w:szCs w:val="22"/>
          <w:lang w:val="es-ES_tradnl"/>
        </w:rPr>
        <w:t xml:space="preserve"> del Órgano Subsidiario de Asesoramiento Científico, Técnico y Tecnológico y al Presidente del Órgano Subsidiario sobre la Aplicación para que presidan sus respectivos órganos durante un mandato que comenzará al final de la 15ª reunión de la Conferencia de las Partes y que se extenderá hasta el final de la 16ª reunión. De conformidad con la práctica de rotación regional establecida, se prevé que la Presidencia del Órgano Subsidiario de Asesoramiento Científico, Técnico y Tecnológico se elija de entre los miembros de la región de Europa Central y Oriental, mientras que la Presidencia del Órgano Subsidiario sobre la Aplicación se elegiría de entre los miembros de la región de Asia y el Pacífico.</w:t>
      </w:r>
    </w:p>
    <w:bookmarkEnd w:id="4"/>
    <w:p w14:paraId="6C981121" w14:textId="5D6D907D" w:rsidR="003A11A6" w:rsidRPr="00917DAD" w:rsidRDefault="005504D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napToGrid w:val="0"/>
          <w:kern w:val="22"/>
          <w:szCs w:val="22"/>
          <w:lang w:val="es-ES_tradnl"/>
        </w:rPr>
        <w:t>La elección de dichos miembros tendrá lugar en la Parte II de la reunión de la Conferencia de las Partes, en 2022</w:t>
      </w:r>
      <w:r w:rsidR="003A11A6" w:rsidRPr="00917DAD">
        <w:rPr>
          <w:snapToGrid w:val="0"/>
          <w:kern w:val="22"/>
          <w:szCs w:val="22"/>
          <w:lang w:val="es-ES_tradnl"/>
        </w:rPr>
        <w:t xml:space="preserve">. </w:t>
      </w:r>
      <w:r w:rsidRPr="00917DAD">
        <w:rPr>
          <w:snapToGrid w:val="0"/>
          <w:kern w:val="22"/>
          <w:szCs w:val="22"/>
          <w:lang w:val="es-ES_tradnl"/>
        </w:rPr>
        <w:t xml:space="preserve">Como el </w:t>
      </w:r>
      <w:r w:rsidRPr="00917DAD">
        <w:rPr>
          <w:szCs w:val="22"/>
          <w:lang w:val="es-ES_tradnl"/>
        </w:rPr>
        <w:t>Órgano Subsidiario de Asesoramiento Científico, Técnico y Tecnológico y el Órgano Subsidiario sobre la Aplicación ofician de órganos subsidiari</w:t>
      </w:r>
      <w:r w:rsidR="00145706" w:rsidRPr="00917DAD">
        <w:rPr>
          <w:szCs w:val="22"/>
          <w:lang w:val="es-ES_tradnl"/>
        </w:rPr>
        <w:t>o</w:t>
      </w:r>
      <w:r w:rsidRPr="00917DAD">
        <w:rPr>
          <w:szCs w:val="22"/>
          <w:lang w:val="es-ES_tradnl"/>
        </w:rPr>
        <w:t xml:space="preserve">s en el Protocolo, es preferible que los </w:t>
      </w:r>
      <w:proofErr w:type="gramStart"/>
      <w:r w:rsidRPr="00917DAD">
        <w:rPr>
          <w:szCs w:val="22"/>
          <w:lang w:val="es-ES_tradnl"/>
        </w:rPr>
        <w:t>Presidentes</w:t>
      </w:r>
      <w:proofErr w:type="gramEnd"/>
      <w:r w:rsidRPr="00917DAD">
        <w:rPr>
          <w:szCs w:val="22"/>
          <w:lang w:val="es-ES_tradnl"/>
        </w:rPr>
        <w:t xml:space="preserve"> elegidos </w:t>
      </w:r>
      <w:r w:rsidR="00145706" w:rsidRPr="00917DAD">
        <w:rPr>
          <w:szCs w:val="22"/>
          <w:lang w:val="es-ES_tradnl"/>
        </w:rPr>
        <w:t xml:space="preserve">procedan </w:t>
      </w:r>
      <w:r w:rsidRPr="00917DAD">
        <w:rPr>
          <w:szCs w:val="22"/>
          <w:lang w:val="es-ES_tradnl"/>
        </w:rPr>
        <w:t>de Partes en el Protocolo</w:t>
      </w:r>
      <w:r w:rsidR="003A11A6" w:rsidRPr="00917DAD">
        <w:rPr>
          <w:snapToGrid w:val="0"/>
          <w:kern w:val="22"/>
          <w:szCs w:val="22"/>
          <w:lang w:val="es-ES_tradnl"/>
        </w:rPr>
        <w:t>.</w:t>
      </w:r>
    </w:p>
    <w:p w14:paraId="20D5FE99" w14:textId="00DADD47" w:rsidR="003A11A6" w:rsidRPr="00917DAD" w:rsidRDefault="00B913B9"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i/>
          <w:iCs/>
          <w:snapToGrid w:val="0"/>
          <w:kern w:val="22"/>
          <w:szCs w:val="22"/>
          <w:lang w:val="es-ES_tradnl"/>
        </w:rPr>
      </w:pPr>
      <w:r w:rsidRPr="00917DAD">
        <w:rPr>
          <w:snapToGrid w:val="0"/>
          <w:kern w:val="22"/>
          <w:szCs w:val="22"/>
          <w:lang w:val="es-ES_tradnl"/>
        </w:rPr>
        <w:t xml:space="preserve">Los actuales </w:t>
      </w:r>
      <w:proofErr w:type="gramStart"/>
      <w:r w:rsidRPr="00917DAD">
        <w:rPr>
          <w:snapToGrid w:val="0"/>
          <w:kern w:val="22"/>
          <w:szCs w:val="22"/>
          <w:lang w:val="es-ES_tradnl"/>
        </w:rPr>
        <w:t>Presidentes</w:t>
      </w:r>
      <w:proofErr w:type="gramEnd"/>
      <w:r w:rsidRPr="00917DAD">
        <w:rPr>
          <w:snapToGrid w:val="0"/>
          <w:kern w:val="22"/>
          <w:szCs w:val="22"/>
          <w:lang w:val="es-ES_tradnl"/>
        </w:rPr>
        <w:t xml:space="preserve"> se mantendrán en funciones hasta el final de la Parte II de la reunión</w:t>
      </w:r>
      <w:r w:rsidR="003A11A6" w:rsidRPr="00917DAD">
        <w:rPr>
          <w:snapToGrid w:val="0"/>
          <w:kern w:val="22"/>
          <w:szCs w:val="22"/>
          <w:lang w:val="es-ES_tradnl"/>
        </w:rPr>
        <w:t xml:space="preserve">. </w:t>
      </w:r>
      <w:r w:rsidRPr="00917DAD">
        <w:rPr>
          <w:snapToGrid w:val="0"/>
          <w:kern w:val="22"/>
          <w:szCs w:val="22"/>
          <w:lang w:val="es-ES_tradnl"/>
        </w:rPr>
        <w:t xml:space="preserve">Se prevé que los Copresidentes del </w:t>
      </w:r>
      <w:r w:rsidR="00991401" w:rsidRPr="00917DAD">
        <w:rPr>
          <w:snapToGrid w:val="0"/>
          <w:kern w:val="22"/>
          <w:szCs w:val="22"/>
          <w:lang w:val="es-ES_tradnl"/>
        </w:rPr>
        <w:t xml:space="preserve">Grupo de Trabajo de Composición Abierta sobre el Marco Mundial de la Diversidad Biológica posterior a 2020 </w:t>
      </w:r>
      <w:r w:rsidRPr="00917DAD">
        <w:rPr>
          <w:snapToGrid w:val="0"/>
          <w:kern w:val="22"/>
          <w:szCs w:val="22"/>
          <w:lang w:val="es-ES_tradnl"/>
        </w:rPr>
        <w:t>también se mantendrán en funciones hasta la segunda parte de la reunión</w:t>
      </w:r>
      <w:r w:rsidR="003A11A6" w:rsidRPr="00917DAD">
        <w:rPr>
          <w:snapToGrid w:val="0"/>
          <w:kern w:val="22"/>
          <w:szCs w:val="22"/>
          <w:lang w:val="es-ES_tradnl"/>
        </w:rPr>
        <w:t>.</w:t>
      </w:r>
    </w:p>
    <w:p w14:paraId="4C9504BB" w14:textId="1DDC3D60" w:rsidR="003A11A6" w:rsidRPr="00917DAD" w:rsidRDefault="003A11A6" w:rsidP="00A23AD0">
      <w:pPr>
        <w:keepNext/>
        <w:suppressLineNumbers/>
        <w:suppressAutoHyphens/>
        <w:kinsoku w:val="0"/>
        <w:overflowPunct w:val="0"/>
        <w:autoSpaceDE w:val="0"/>
        <w:autoSpaceDN w:val="0"/>
        <w:adjustRightInd w:val="0"/>
        <w:snapToGrid w:val="0"/>
        <w:spacing w:before="120" w:after="120"/>
        <w:outlineLvl w:val="1"/>
        <w:rPr>
          <w:i/>
          <w:iCs/>
          <w:snapToGrid w:val="0"/>
          <w:kern w:val="22"/>
          <w:szCs w:val="22"/>
          <w:lang w:val="es-ES_tradnl"/>
        </w:rPr>
      </w:pPr>
      <w:bookmarkStart w:id="5" w:name="Item03"/>
      <w:r w:rsidRPr="00917DAD">
        <w:rPr>
          <w:i/>
          <w:iCs/>
          <w:snapToGrid w:val="0"/>
          <w:kern w:val="22"/>
          <w:szCs w:val="22"/>
          <w:lang w:val="es-ES_tradnl"/>
        </w:rPr>
        <w:t>A</w:t>
      </w:r>
      <w:r w:rsidR="00307713" w:rsidRPr="00917DAD">
        <w:rPr>
          <w:i/>
          <w:iCs/>
          <w:snapToGrid w:val="0"/>
          <w:kern w:val="22"/>
          <w:szCs w:val="22"/>
          <w:lang w:val="es-ES_tradnl"/>
        </w:rPr>
        <w:t>dopción del programa</w:t>
      </w:r>
    </w:p>
    <w:bookmarkEnd w:id="5"/>
    <w:p w14:paraId="0BE348E9" w14:textId="2F8AF7EA" w:rsidR="003A11A6" w:rsidRPr="00917DAD" w:rsidRDefault="00FB1CFB" w:rsidP="00A23AD0">
      <w:pPr>
        <w:numPr>
          <w:ilvl w:val="0"/>
          <w:numId w:val="36"/>
        </w:numPr>
        <w:suppressLineNumbers/>
        <w:tabs>
          <w:tab w:val="clear" w:pos="450"/>
        </w:tabs>
        <w:suppressAutoHyphens/>
        <w:kinsoku w:val="0"/>
        <w:overflowPunct w:val="0"/>
        <w:autoSpaceDE w:val="0"/>
        <w:autoSpaceDN w:val="0"/>
        <w:adjustRightInd w:val="0"/>
        <w:snapToGrid w:val="0"/>
        <w:spacing w:before="120" w:after="120"/>
        <w:ind w:left="0"/>
        <w:rPr>
          <w:snapToGrid w:val="0"/>
          <w:color w:val="000000"/>
          <w:kern w:val="22"/>
          <w:szCs w:val="22"/>
          <w:lang w:val="es-ES_tradnl"/>
        </w:rPr>
      </w:pPr>
      <w:r w:rsidRPr="00917DAD">
        <w:rPr>
          <w:snapToGrid w:val="0"/>
          <w:kern w:val="22"/>
          <w:szCs w:val="22"/>
          <w:lang w:val="es-ES_tradnl"/>
        </w:rPr>
        <w:t xml:space="preserve">El programa </w:t>
      </w:r>
      <w:r w:rsidR="003A11A6" w:rsidRPr="00917DAD">
        <w:rPr>
          <w:snapToGrid w:val="0"/>
          <w:kern w:val="22"/>
          <w:szCs w:val="22"/>
          <w:lang w:val="es-ES_tradnl"/>
        </w:rPr>
        <w:t>provisional (</w:t>
      </w:r>
      <w:bookmarkStart w:id="6" w:name="_Hlk78544447"/>
      <w:r w:rsidR="003A11A6" w:rsidRPr="00917DAD">
        <w:rPr>
          <w:snapToGrid w:val="0"/>
          <w:kern w:val="22"/>
          <w:szCs w:val="22"/>
          <w:lang w:val="es-ES_tradnl"/>
        </w:rPr>
        <w:t>CBD/CP/MOP/10/1</w:t>
      </w:r>
      <w:bookmarkEnd w:id="6"/>
      <w:r w:rsidR="00E766CB" w:rsidRPr="00917DAD">
        <w:rPr>
          <w:snapToGrid w:val="0"/>
          <w:kern w:val="22"/>
          <w:szCs w:val="22"/>
          <w:lang w:val="es-ES_tradnl"/>
        </w:rPr>
        <w:t>/Rev.1</w:t>
      </w:r>
      <w:r w:rsidR="003A11A6" w:rsidRPr="00917DAD">
        <w:rPr>
          <w:snapToGrid w:val="0"/>
          <w:kern w:val="22"/>
          <w:szCs w:val="22"/>
          <w:lang w:val="es-ES_tradnl"/>
        </w:rPr>
        <w:t xml:space="preserve">) </w:t>
      </w:r>
      <w:r w:rsidRPr="00917DAD">
        <w:rPr>
          <w:snapToGrid w:val="0"/>
          <w:kern w:val="22"/>
          <w:szCs w:val="22"/>
          <w:lang w:val="es-ES_tradnl"/>
        </w:rPr>
        <w:t>ha sido aprobado por la Mesa de la Conferencia de las Partes</w:t>
      </w:r>
      <w:r w:rsidR="003A11A6" w:rsidRPr="00917DAD">
        <w:rPr>
          <w:snapToGrid w:val="0"/>
          <w:kern w:val="22"/>
          <w:szCs w:val="22"/>
          <w:lang w:val="es-ES_tradnl"/>
        </w:rPr>
        <w:t xml:space="preserve">. </w:t>
      </w:r>
      <w:r w:rsidRPr="00917DAD">
        <w:rPr>
          <w:snapToGrid w:val="0"/>
          <w:kern w:val="22"/>
          <w:szCs w:val="22"/>
          <w:lang w:val="es-ES_tradnl"/>
        </w:rPr>
        <w:t>Fue preparado por la Secretaria Ejecutiva, de conformidad con los artículos 8 y 9 del reglamento y con la orientación de la Mesa, y tenien</w:t>
      </w:r>
      <w:r w:rsidR="006267D5" w:rsidRPr="00917DAD">
        <w:rPr>
          <w:snapToGrid w:val="0"/>
          <w:kern w:val="22"/>
          <w:szCs w:val="22"/>
          <w:lang w:val="es-ES_tradnl"/>
        </w:rPr>
        <w:t>d</w:t>
      </w:r>
      <w:r w:rsidRPr="00917DAD">
        <w:rPr>
          <w:snapToGrid w:val="0"/>
          <w:kern w:val="22"/>
          <w:szCs w:val="22"/>
          <w:lang w:val="es-ES_tradnl"/>
        </w:rPr>
        <w:t xml:space="preserve">o en cuenta </w:t>
      </w:r>
      <w:r w:rsidR="006267D5" w:rsidRPr="00917DAD">
        <w:rPr>
          <w:snapToGrid w:val="0"/>
          <w:kern w:val="22"/>
          <w:szCs w:val="22"/>
          <w:lang w:val="es-ES_tradnl"/>
        </w:rPr>
        <w:t>temas surgidos de decisiones anteriores de las Partes en el Protocolo de Cartagena</w:t>
      </w:r>
      <w:r w:rsidR="003A11A6" w:rsidRPr="00917DAD">
        <w:rPr>
          <w:snapToGrid w:val="0"/>
          <w:color w:val="000000"/>
          <w:kern w:val="22"/>
          <w:szCs w:val="22"/>
          <w:lang w:val="es-ES_tradnl"/>
        </w:rPr>
        <w:t>.</w:t>
      </w:r>
    </w:p>
    <w:p w14:paraId="2970D75B" w14:textId="39CA04AF" w:rsidR="003A11A6" w:rsidRPr="00917DAD" w:rsidRDefault="00FB1CFB"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bookmarkStart w:id="7" w:name="TEN"/>
      <w:bookmarkEnd w:id="7"/>
      <w:r w:rsidRPr="00917DAD">
        <w:rPr>
          <w:kern w:val="22"/>
          <w:szCs w:val="22"/>
          <w:lang w:val="es-ES_tradnl"/>
        </w:rPr>
        <w:lastRenderedPageBreak/>
        <w:t>L</w:t>
      </w:r>
      <w:r w:rsidR="00E039D2" w:rsidRPr="00917DAD">
        <w:rPr>
          <w:kern w:val="22"/>
          <w:szCs w:val="22"/>
          <w:lang w:val="es-ES_tradnl"/>
        </w:rPr>
        <w:t>a Conferencia de las Partes que actúa como reunión de las Partes en el Protocolo de Cartagena</w:t>
      </w:r>
      <w:r w:rsidR="008A5ED5" w:rsidRPr="00917DAD">
        <w:rPr>
          <w:kern w:val="22"/>
          <w:szCs w:val="22"/>
          <w:lang w:val="es-ES_tradnl"/>
        </w:rPr>
        <w:t xml:space="preserve"> </w:t>
      </w:r>
      <w:r w:rsidRPr="00917DAD">
        <w:rPr>
          <w:kern w:val="22"/>
          <w:szCs w:val="22"/>
          <w:lang w:val="es-ES_tradnl"/>
        </w:rPr>
        <w:t>podría estimar oportuno adoptar el programa para su reunión</w:t>
      </w:r>
      <w:r w:rsidR="003A11A6" w:rsidRPr="00917DAD">
        <w:rPr>
          <w:kern w:val="22"/>
          <w:szCs w:val="22"/>
          <w:lang w:val="es-ES_tradnl"/>
        </w:rPr>
        <w:t xml:space="preserve">, </w:t>
      </w:r>
      <w:r w:rsidRPr="00917DAD">
        <w:rPr>
          <w:kern w:val="22"/>
          <w:szCs w:val="22"/>
          <w:lang w:val="es-ES_tradnl"/>
        </w:rPr>
        <w:t xml:space="preserve">de conformidad con el reglamento, sobre la base del programa provisional establecido en el documento </w:t>
      </w:r>
      <w:r w:rsidR="003A11A6" w:rsidRPr="00917DAD">
        <w:rPr>
          <w:snapToGrid w:val="0"/>
          <w:kern w:val="22"/>
          <w:szCs w:val="22"/>
          <w:lang w:val="es-ES_tradnl"/>
        </w:rPr>
        <w:t>CBD/CP/MOP/10/1</w:t>
      </w:r>
      <w:r w:rsidR="00822824" w:rsidRPr="00917DAD">
        <w:rPr>
          <w:snapToGrid w:val="0"/>
          <w:kern w:val="22"/>
          <w:szCs w:val="22"/>
          <w:lang w:val="es-ES_tradnl"/>
        </w:rPr>
        <w:t>/Rev.1</w:t>
      </w:r>
      <w:r w:rsidR="003A11A6" w:rsidRPr="00917DAD">
        <w:rPr>
          <w:kern w:val="22"/>
          <w:szCs w:val="22"/>
          <w:lang w:val="es-ES_tradnl"/>
        </w:rPr>
        <w:t>.</w:t>
      </w:r>
    </w:p>
    <w:p w14:paraId="69028730" w14:textId="5C72EAAB" w:rsidR="003A11A6" w:rsidRPr="00917DAD" w:rsidRDefault="003A11A6" w:rsidP="00A23AD0">
      <w:pPr>
        <w:keepNext/>
        <w:suppressLineNumbers/>
        <w:suppressAutoHyphens/>
        <w:kinsoku w:val="0"/>
        <w:overflowPunct w:val="0"/>
        <w:autoSpaceDE w:val="0"/>
        <w:autoSpaceDN w:val="0"/>
        <w:adjustRightInd w:val="0"/>
        <w:snapToGrid w:val="0"/>
        <w:spacing w:before="120" w:after="120"/>
        <w:outlineLvl w:val="1"/>
        <w:rPr>
          <w:b/>
          <w:bCs/>
          <w:i/>
          <w:iCs/>
          <w:snapToGrid w:val="0"/>
          <w:kern w:val="22"/>
          <w:szCs w:val="22"/>
          <w:lang w:val="es-ES_tradnl"/>
        </w:rPr>
      </w:pPr>
      <w:bookmarkStart w:id="8" w:name="Item04"/>
      <w:r w:rsidRPr="00917DAD">
        <w:rPr>
          <w:i/>
          <w:iCs/>
          <w:snapToGrid w:val="0"/>
          <w:kern w:val="22"/>
          <w:szCs w:val="22"/>
          <w:lang w:val="es-ES_tradnl"/>
        </w:rPr>
        <w:t>Organi</w:t>
      </w:r>
      <w:r w:rsidR="00307713" w:rsidRPr="00917DAD">
        <w:rPr>
          <w:i/>
          <w:iCs/>
          <w:snapToGrid w:val="0"/>
          <w:kern w:val="22"/>
          <w:szCs w:val="22"/>
          <w:lang w:val="es-ES_tradnl"/>
        </w:rPr>
        <w:t>zación de los trabajos</w:t>
      </w:r>
    </w:p>
    <w:bookmarkEnd w:id="8"/>
    <w:p w14:paraId="21092112" w14:textId="0AFF67D0" w:rsidR="003A11A6" w:rsidRPr="00917DAD" w:rsidRDefault="00587A3A"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napToGrid w:val="0"/>
          <w:kern w:val="22"/>
          <w:szCs w:val="22"/>
          <w:lang w:val="es-ES_tradnl"/>
        </w:rPr>
        <w:t xml:space="preserve">En la </w:t>
      </w:r>
      <w:r w:rsidR="003A11A6" w:rsidRPr="00917DAD">
        <w:rPr>
          <w:snapToGrid w:val="0"/>
          <w:kern w:val="22"/>
          <w:szCs w:val="22"/>
          <w:lang w:val="es-ES_tradnl"/>
        </w:rPr>
        <w:t>Part</w:t>
      </w:r>
      <w:r w:rsidRPr="00917DAD">
        <w:rPr>
          <w:snapToGrid w:val="0"/>
          <w:kern w:val="22"/>
          <w:szCs w:val="22"/>
          <w:lang w:val="es-ES_tradnl"/>
        </w:rPr>
        <w:t>e</w:t>
      </w:r>
      <w:r w:rsidR="003A11A6" w:rsidRPr="00917DAD">
        <w:rPr>
          <w:snapToGrid w:val="0"/>
          <w:kern w:val="22"/>
          <w:szCs w:val="22"/>
          <w:lang w:val="es-ES_tradnl"/>
        </w:rPr>
        <w:t xml:space="preserve"> I </w:t>
      </w:r>
      <w:r w:rsidRPr="00917DAD">
        <w:rPr>
          <w:snapToGrid w:val="0"/>
          <w:kern w:val="22"/>
          <w:szCs w:val="22"/>
          <w:lang w:val="es-ES_tradnl"/>
        </w:rPr>
        <w:t>de la reunión se prevé tratar todos sus temas en el plenario</w:t>
      </w:r>
      <w:r w:rsidR="003A11A6" w:rsidRPr="00917DAD">
        <w:rPr>
          <w:snapToGrid w:val="0"/>
          <w:kern w:val="22"/>
          <w:szCs w:val="22"/>
          <w:lang w:val="es-ES_tradnl"/>
        </w:rPr>
        <w:t xml:space="preserve">. </w:t>
      </w:r>
      <w:r w:rsidRPr="00917DAD">
        <w:rPr>
          <w:snapToGrid w:val="0"/>
          <w:kern w:val="22"/>
          <w:szCs w:val="22"/>
          <w:lang w:val="es-ES_tradnl"/>
        </w:rPr>
        <w:t xml:space="preserve">De acuerdo con </w:t>
      </w:r>
      <w:r w:rsidR="00FB1CFB" w:rsidRPr="00917DAD">
        <w:rPr>
          <w:snapToGrid w:val="0"/>
          <w:kern w:val="22"/>
          <w:szCs w:val="22"/>
          <w:lang w:val="es-ES_tradnl"/>
        </w:rPr>
        <w:t>la práctica establecida, la Conferencia de las Partes podría estimar oportuno establecer dos grupos de trabajo para apoyar la labor del plenario en la segunda parte de su reunión</w:t>
      </w:r>
      <w:r w:rsidR="003A11A6" w:rsidRPr="00917DAD">
        <w:rPr>
          <w:snapToGrid w:val="0"/>
          <w:kern w:val="22"/>
          <w:szCs w:val="22"/>
          <w:lang w:val="es-ES_tradnl"/>
        </w:rPr>
        <w:t xml:space="preserve">. </w:t>
      </w:r>
      <w:r w:rsidR="00FB1CFB" w:rsidRPr="00917DAD">
        <w:rPr>
          <w:snapToGrid w:val="0"/>
          <w:kern w:val="22"/>
          <w:szCs w:val="22"/>
          <w:lang w:val="es-ES_tradnl"/>
        </w:rPr>
        <w:t>Si se establecen los dos grupos de trabajo, la Conferencia de las Partes tendrá que elegir a un presidente o copresidentes para cada uno al comienzo de la Parte II de su reunión</w:t>
      </w:r>
      <w:r w:rsidR="003A11A6" w:rsidRPr="00917DAD">
        <w:rPr>
          <w:snapToGrid w:val="0"/>
          <w:kern w:val="22"/>
          <w:szCs w:val="22"/>
          <w:lang w:val="es-ES_tradnl"/>
        </w:rPr>
        <w:t>.</w:t>
      </w:r>
    </w:p>
    <w:p w14:paraId="31D45840" w14:textId="6F6A951E" w:rsidR="004B51F6" w:rsidRPr="00917DAD" w:rsidRDefault="004B51F6" w:rsidP="004B51F6">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zCs w:val="22"/>
          <w:lang w:val="es-ES_tradnl"/>
        </w:rPr>
        <w:t xml:space="preserve">En consonancia con lo decidido por la Conferencia de las Partes en la </w:t>
      </w:r>
      <w:hyperlink r:id="rId18" w:history="1">
        <w:r w:rsidRPr="00917DAD">
          <w:rPr>
            <w:rStyle w:val="Hyperlink"/>
            <w:sz w:val="22"/>
            <w:szCs w:val="22"/>
            <w:lang w:val="es-ES_tradnl"/>
          </w:rPr>
          <w:t>decisión XII/27</w:t>
        </w:r>
      </w:hyperlink>
      <w:r w:rsidRPr="00917DAD">
        <w:rPr>
          <w:szCs w:val="22"/>
          <w:lang w:val="es-ES_tradnl"/>
        </w:rPr>
        <w:t>, párrafo 3, y lo convenido por la Conferencia de las Partes que actúa como reunión de las Partes en el Protocolo de Cartagena en la decisión </w:t>
      </w:r>
      <w:hyperlink r:id="rId19" w:history="1">
        <w:r w:rsidRPr="00917DAD">
          <w:rPr>
            <w:rStyle w:val="Hyperlink"/>
            <w:sz w:val="22"/>
            <w:szCs w:val="22"/>
            <w:lang w:val="es-ES_tradnl"/>
          </w:rPr>
          <w:t>BS-VII/9</w:t>
        </w:r>
      </w:hyperlink>
      <w:r w:rsidRPr="00917DAD">
        <w:rPr>
          <w:szCs w:val="22"/>
          <w:lang w:val="es-ES_tradnl"/>
        </w:rPr>
        <w:t xml:space="preserve">, párrafo 1, así como por la Conferencia de las Partes que actúa como Reunión de las Partes en el Protocolo de Cartagena en la </w:t>
      </w:r>
      <w:hyperlink r:id="rId20" w:history="1">
        <w:r w:rsidRPr="00917DAD">
          <w:rPr>
            <w:rStyle w:val="Hyperlink"/>
            <w:sz w:val="22"/>
            <w:szCs w:val="22"/>
            <w:lang w:val="es-ES_tradnl"/>
          </w:rPr>
          <w:t>decisión NP-1/12</w:t>
        </w:r>
      </w:hyperlink>
      <w:r w:rsidRPr="00917DAD">
        <w:rPr>
          <w:szCs w:val="22"/>
          <w:lang w:val="es-ES_tradnl"/>
        </w:rPr>
        <w:t>, párrafo 1, las reuniones ordinarias de la Conferencia de las Partes se celebrarán durante un período de dos semanas que incluye también las reuniones de la Conferencia de las Partes que actúa como reunión de las Partes en el Protocolo de Cartagena y las reuniones de la Conferencia de las Partes que actúa como reunión de las Partes en el Protocolo de Nagoya.</w:t>
      </w:r>
      <w:r w:rsidR="003A11A6" w:rsidRPr="00917DAD">
        <w:rPr>
          <w:snapToGrid w:val="0"/>
          <w:kern w:val="22"/>
          <w:szCs w:val="22"/>
          <w:lang w:val="es-ES_tradnl"/>
        </w:rPr>
        <w:t xml:space="preserve"> </w:t>
      </w:r>
      <w:r w:rsidRPr="00917DAD">
        <w:rPr>
          <w:szCs w:val="22"/>
          <w:lang w:val="es-ES_tradnl"/>
        </w:rPr>
        <w:t>Por lo tanto, se prevé que los dos grupos de trabajo abordarán también las cuestiones relacionadas con el Protocolo de Cartagena y el Protocolo de Nagoya que puedan ser remitidas a los grupos de trabajo por la Conferencia de las Partes que actúan como las respectivas reuniones de las Partes en los dos protocolos.</w:t>
      </w:r>
    </w:p>
    <w:p w14:paraId="20344043" w14:textId="7EC4A7C0" w:rsidR="003A11A6" w:rsidRPr="00917DAD" w:rsidRDefault="006267D5"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napToGrid w:val="0"/>
          <w:kern w:val="22"/>
          <w:szCs w:val="22"/>
          <w:lang w:val="es-ES_tradnl"/>
        </w:rPr>
        <w:t xml:space="preserve">La organización de los trabajos propuesta para la Parte I de las reuniones </w:t>
      </w:r>
      <w:r w:rsidR="00FA36B7" w:rsidRPr="00917DAD">
        <w:rPr>
          <w:snapToGrid w:val="0"/>
          <w:kern w:val="22"/>
          <w:szCs w:val="22"/>
          <w:lang w:val="es-ES_tradnl"/>
        </w:rPr>
        <w:t xml:space="preserve">concurrentes </w:t>
      </w:r>
      <w:r w:rsidRPr="00917DAD">
        <w:rPr>
          <w:snapToGrid w:val="0"/>
          <w:kern w:val="22"/>
          <w:szCs w:val="22"/>
          <w:lang w:val="es-ES_tradnl"/>
        </w:rPr>
        <w:t xml:space="preserve">de la Conferencia de las Partes y las reuniones de las Partes en los Protocolos figura en el </w:t>
      </w:r>
      <w:r w:rsidR="003A11A6" w:rsidRPr="00917DAD">
        <w:rPr>
          <w:snapToGrid w:val="0"/>
          <w:kern w:val="22"/>
          <w:szCs w:val="22"/>
          <w:lang w:val="es-ES_tradnl"/>
        </w:rPr>
        <w:t>CBD/COP/15/1/A</w:t>
      </w:r>
      <w:r w:rsidR="00A13439" w:rsidRPr="00917DAD">
        <w:rPr>
          <w:snapToGrid w:val="0"/>
          <w:kern w:val="22"/>
          <w:szCs w:val="22"/>
          <w:lang w:val="es-ES_tradnl"/>
        </w:rPr>
        <w:t>dd</w:t>
      </w:r>
      <w:r w:rsidR="003A11A6" w:rsidRPr="00917DAD">
        <w:rPr>
          <w:snapToGrid w:val="0"/>
          <w:kern w:val="22"/>
          <w:szCs w:val="22"/>
          <w:lang w:val="es-ES_tradnl"/>
        </w:rPr>
        <w:t xml:space="preserve">.2. </w:t>
      </w:r>
      <w:r w:rsidRPr="00917DAD">
        <w:rPr>
          <w:snapToGrid w:val="0"/>
          <w:kern w:val="22"/>
          <w:szCs w:val="22"/>
          <w:lang w:val="es-ES_tradnl"/>
        </w:rPr>
        <w:t>Este documento se actualizará y se pondrá a disposición al menos seis semanas antes del comienzo de la Parte II de la reunión</w:t>
      </w:r>
      <w:r w:rsidR="005579C7" w:rsidRPr="00917DAD">
        <w:rPr>
          <w:snapToGrid w:val="0"/>
          <w:kern w:val="22"/>
          <w:szCs w:val="22"/>
          <w:lang w:val="es-ES_tradnl"/>
        </w:rPr>
        <w:t>,</w:t>
      </w:r>
      <w:r w:rsidR="003A11A6" w:rsidRPr="00917DAD">
        <w:rPr>
          <w:snapToGrid w:val="0"/>
          <w:kern w:val="22"/>
          <w:szCs w:val="22"/>
          <w:lang w:val="es-ES_tradnl"/>
        </w:rPr>
        <w:t xml:space="preserve"> </w:t>
      </w:r>
      <w:r w:rsidRPr="00917DAD">
        <w:rPr>
          <w:snapToGrid w:val="0"/>
          <w:kern w:val="22"/>
          <w:szCs w:val="22"/>
          <w:lang w:val="es-ES_tradnl"/>
        </w:rPr>
        <w:t>e</w:t>
      </w:r>
      <w:r w:rsidR="005579C7" w:rsidRPr="00917DAD">
        <w:rPr>
          <w:snapToGrid w:val="0"/>
          <w:kern w:val="22"/>
          <w:szCs w:val="22"/>
          <w:lang w:val="es-ES_tradnl"/>
        </w:rPr>
        <w:t>n 2022</w:t>
      </w:r>
      <w:r w:rsidR="003A11A6" w:rsidRPr="00917DAD">
        <w:rPr>
          <w:snapToGrid w:val="0"/>
          <w:kern w:val="22"/>
          <w:szCs w:val="22"/>
          <w:lang w:val="es-ES_tradnl"/>
        </w:rPr>
        <w:t xml:space="preserve">. </w:t>
      </w:r>
      <w:r w:rsidRPr="00917DAD">
        <w:rPr>
          <w:snapToGrid w:val="0"/>
          <w:kern w:val="22"/>
          <w:szCs w:val="22"/>
          <w:lang w:val="es-ES_tradnl"/>
        </w:rPr>
        <w:t xml:space="preserve">La actualización incluirá, como es habitual, </w:t>
      </w:r>
      <w:r w:rsidR="00F86CDF" w:rsidRPr="00917DAD">
        <w:rPr>
          <w:snapToGrid w:val="0"/>
          <w:kern w:val="22"/>
          <w:szCs w:val="22"/>
          <w:lang w:val="es-ES_tradnl"/>
        </w:rPr>
        <w:t>la propuesta de d</w:t>
      </w:r>
      <w:r w:rsidR="0058610F" w:rsidRPr="00917DAD">
        <w:rPr>
          <w:snapToGrid w:val="0"/>
          <w:kern w:val="22"/>
          <w:szCs w:val="22"/>
          <w:lang w:val="es-ES_tradnl"/>
        </w:rPr>
        <w:t xml:space="preserve">istribución </w:t>
      </w:r>
      <w:r w:rsidR="00F86CDF" w:rsidRPr="00917DAD">
        <w:rPr>
          <w:snapToGrid w:val="0"/>
          <w:kern w:val="22"/>
          <w:szCs w:val="22"/>
          <w:lang w:val="es-ES_tradnl"/>
        </w:rPr>
        <w:t>de responsabilidades entre el plenario y los dos grupos de trabajo</w:t>
      </w:r>
      <w:r w:rsidR="003A11A6" w:rsidRPr="00917DAD">
        <w:rPr>
          <w:snapToGrid w:val="0"/>
          <w:kern w:val="22"/>
          <w:szCs w:val="22"/>
          <w:lang w:val="es-ES_tradnl"/>
        </w:rPr>
        <w:t>.</w:t>
      </w:r>
    </w:p>
    <w:p w14:paraId="0F9214AC" w14:textId="0823E07B" w:rsidR="003A11A6" w:rsidRPr="00917DAD" w:rsidRDefault="0052207C" w:rsidP="00A23AD0">
      <w:pPr>
        <w:keepNext/>
        <w:suppressLineNumbers/>
        <w:suppressAutoHyphens/>
        <w:kinsoku w:val="0"/>
        <w:overflowPunct w:val="0"/>
        <w:autoSpaceDE w:val="0"/>
        <w:autoSpaceDN w:val="0"/>
        <w:adjustRightInd w:val="0"/>
        <w:snapToGrid w:val="0"/>
        <w:spacing w:before="120" w:after="120"/>
        <w:ind w:left="1584" w:hanging="864"/>
        <w:jc w:val="left"/>
        <w:outlineLvl w:val="0"/>
        <w:rPr>
          <w:b/>
          <w:kern w:val="22"/>
          <w:szCs w:val="22"/>
          <w:lang w:val="es-ES_tradnl"/>
        </w:rPr>
      </w:pPr>
      <w:r w:rsidRPr="00917DAD">
        <w:rPr>
          <w:b/>
          <w:kern w:val="22"/>
          <w:szCs w:val="22"/>
          <w:lang w:val="es-ES_tradnl"/>
        </w:rPr>
        <w:t>Tema</w:t>
      </w:r>
      <w:r w:rsidR="003A11A6" w:rsidRPr="00917DAD">
        <w:rPr>
          <w:b/>
          <w:kern w:val="22"/>
          <w:szCs w:val="22"/>
          <w:lang w:val="es-ES_tradnl"/>
        </w:rPr>
        <w:t xml:space="preserve"> 3.</w:t>
      </w:r>
      <w:r w:rsidR="003A11A6" w:rsidRPr="00917DAD">
        <w:rPr>
          <w:b/>
          <w:kern w:val="22"/>
          <w:szCs w:val="22"/>
          <w:lang w:val="es-ES_tradnl"/>
        </w:rPr>
        <w:tab/>
      </w:r>
      <w:r w:rsidR="00302F41" w:rsidRPr="00917DAD">
        <w:rPr>
          <w:b/>
          <w:kern w:val="22"/>
          <w:szCs w:val="22"/>
          <w:lang w:val="es-ES_tradnl"/>
        </w:rPr>
        <w:t>Informe sobre las credenciales de los representantes en la 10ª reunión de la Conferencia de las Partes que actúa como reunión de las Partes en el Protocolo de Cartagena</w:t>
      </w:r>
    </w:p>
    <w:p w14:paraId="722FC527" w14:textId="6613A818" w:rsidR="003A11A6" w:rsidRPr="00917DAD" w:rsidRDefault="00302F41" w:rsidP="009662C6">
      <w:pPr>
        <w:pStyle w:val="ListParagraph"/>
        <w:numPr>
          <w:ilvl w:val="0"/>
          <w:numId w:val="37"/>
        </w:numPr>
        <w:suppressLineNumbers/>
        <w:suppressAutoHyphens/>
        <w:kinsoku w:val="0"/>
        <w:overflowPunct w:val="0"/>
        <w:autoSpaceDE w:val="0"/>
        <w:autoSpaceDN w:val="0"/>
        <w:adjustRightInd w:val="0"/>
        <w:snapToGrid w:val="0"/>
        <w:spacing w:before="120" w:after="120"/>
        <w:ind w:left="0"/>
        <w:contextualSpacing w:val="0"/>
        <w:jc w:val="left"/>
        <w:rPr>
          <w:snapToGrid w:val="0"/>
          <w:kern w:val="22"/>
          <w:szCs w:val="22"/>
          <w:lang w:val="es-ES_tradnl"/>
        </w:rPr>
      </w:pPr>
      <w:r w:rsidRPr="00917DAD">
        <w:rPr>
          <w:snapToGrid w:val="0"/>
          <w:kern w:val="22"/>
          <w:szCs w:val="22"/>
          <w:lang w:val="es-ES_tradnl"/>
        </w:rPr>
        <w:t xml:space="preserve">El artículo 18 del reglamento indica que: </w:t>
      </w:r>
    </w:p>
    <w:p w14:paraId="2DAB4BA0" w14:textId="19C03C92" w:rsidR="003A11A6" w:rsidRPr="00917DAD" w:rsidRDefault="00302F41" w:rsidP="00A23AD0">
      <w:pPr>
        <w:suppressLineNumbers/>
        <w:suppressAutoHyphens/>
        <w:kinsoku w:val="0"/>
        <w:overflowPunct w:val="0"/>
        <w:autoSpaceDE w:val="0"/>
        <w:autoSpaceDN w:val="0"/>
        <w:adjustRightInd w:val="0"/>
        <w:snapToGrid w:val="0"/>
        <w:spacing w:before="120" w:after="120"/>
        <w:ind w:left="720" w:right="-36"/>
        <w:rPr>
          <w:snapToGrid w:val="0"/>
          <w:spacing w:val="-2"/>
          <w:kern w:val="22"/>
          <w:szCs w:val="22"/>
          <w:lang w:val="es-ES_tradnl"/>
        </w:rPr>
      </w:pPr>
      <w:r w:rsidRPr="00917DAD">
        <w:rPr>
          <w:snapToGrid w:val="0"/>
          <w:spacing w:val="-2"/>
          <w:kern w:val="22"/>
          <w:szCs w:val="22"/>
          <w:lang w:val="es-ES_tradnl"/>
        </w:rPr>
        <w:t xml:space="preserve"> “Las credenciales de los representantes y los nombres de los suplentes y de los consejeros deberán presentarse al Secretario Ejecutivo de la Conferencia de las Partes o al representante del Secretario Ejecutivo, de ser posible, dentro de las 24 horas siguientes a la apertura de la reunión. Se comunicará también al Secretario Ejecutivo o al representante del Secretario Ejecutivo cualquier cambio ulterior en la composición de las delegaciones. Las credenciales deberán ser expedidas por el Jefe de Estado o de Gobierno o por el Ministro de Relaciones Exteriores o por una autoridad competente debidamente designada por uno de ellos para tal fin, o, en el caso de una organización de integración económica regional, por la autoridad competente de dicha organización”.</w:t>
      </w:r>
    </w:p>
    <w:p w14:paraId="1F8106AE" w14:textId="1CDEEC7F" w:rsidR="003A11A6" w:rsidRPr="00917DAD" w:rsidRDefault="00302F41" w:rsidP="00BF7D49">
      <w:pPr>
        <w:pStyle w:val="ListParagraph"/>
        <w:numPr>
          <w:ilvl w:val="0"/>
          <w:numId w:val="37"/>
        </w:numPr>
        <w:ind w:hanging="90"/>
        <w:rPr>
          <w:snapToGrid w:val="0"/>
          <w:kern w:val="22"/>
          <w:szCs w:val="22"/>
          <w:lang w:val="es-ES_tradnl"/>
        </w:rPr>
      </w:pPr>
      <w:r w:rsidRPr="00917DAD">
        <w:rPr>
          <w:snapToGrid w:val="0"/>
          <w:kern w:val="22"/>
          <w:szCs w:val="22"/>
          <w:lang w:val="es-ES_tradnl"/>
        </w:rPr>
        <w:t xml:space="preserve"> </w:t>
      </w:r>
      <w:r w:rsidRPr="00917DAD">
        <w:rPr>
          <w:snapToGrid w:val="0"/>
          <w:kern w:val="22"/>
          <w:szCs w:val="22"/>
          <w:lang w:val="es-ES_tradnl"/>
        </w:rPr>
        <w:tab/>
        <w:t xml:space="preserve">En el artículo 19, se establece que “la Mesa de la reunión examinará las credenciales y presentará a la Conferencia de las Partes un informe para que esta adopte una decisión al respecto”. </w:t>
      </w:r>
    </w:p>
    <w:p w14:paraId="74616BBD" w14:textId="5F4ABC45" w:rsidR="00302F41" w:rsidRPr="00917DAD" w:rsidRDefault="00302F41" w:rsidP="00302F41">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zCs w:val="22"/>
          <w:lang w:val="es-ES_tradnl"/>
        </w:rPr>
        <w:t>Para asistir a las Partes en el cumplimiento de los requisitos del artículo 18, la Secretaria Ejecutiva publicará una notificación y distribuirá a los puntos focales nacionales formatos de ejemplo de credenciales apropiadas.</w:t>
      </w:r>
    </w:p>
    <w:p w14:paraId="3049AE91" w14:textId="6C3A9E28" w:rsidR="00302F41" w:rsidRPr="00917DAD" w:rsidRDefault="00302F41" w:rsidP="00302F41">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zCs w:val="22"/>
          <w:lang w:val="es-ES_tradnl"/>
        </w:rPr>
        <w:t>Se invitará a la Conferencia de las Partes a que considere y apruebe el informe sobre las credenciales presentado a esta por la Mesa.</w:t>
      </w:r>
    </w:p>
    <w:p w14:paraId="6335312B" w14:textId="5012CF52" w:rsidR="003A11A6" w:rsidRPr="00917DAD" w:rsidRDefault="0052207C"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es-ES_tradnl"/>
        </w:rPr>
      </w:pPr>
      <w:r w:rsidRPr="00917DAD">
        <w:rPr>
          <w:b/>
          <w:kern w:val="22"/>
          <w:szCs w:val="22"/>
          <w:lang w:val="es-ES_tradnl"/>
        </w:rPr>
        <w:t>Tema</w:t>
      </w:r>
      <w:r w:rsidR="003A11A6" w:rsidRPr="00917DAD">
        <w:rPr>
          <w:b/>
          <w:kern w:val="22"/>
          <w:szCs w:val="22"/>
          <w:lang w:val="es-ES_tradnl"/>
        </w:rPr>
        <w:t xml:space="preserve"> 4.</w:t>
      </w:r>
      <w:r w:rsidR="003A11A6" w:rsidRPr="00917DAD">
        <w:rPr>
          <w:b/>
          <w:kern w:val="22"/>
          <w:szCs w:val="22"/>
          <w:lang w:val="es-ES_tradnl"/>
        </w:rPr>
        <w:tab/>
      </w:r>
      <w:r w:rsidR="00E25DEF" w:rsidRPr="00917DAD">
        <w:rPr>
          <w:b/>
          <w:kern w:val="22"/>
          <w:szCs w:val="22"/>
          <w:lang w:val="es-ES_tradnl"/>
        </w:rPr>
        <w:t>Informes de los órganos subsidiarios</w:t>
      </w:r>
    </w:p>
    <w:p w14:paraId="736DE7CD" w14:textId="39F97C04" w:rsidR="00307713" w:rsidRPr="00917DAD" w:rsidRDefault="00307713" w:rsidP="00307713">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kern w:val="22"/>
          <w:lang w:val="es-ES_tradnl"/>
        </w:rPr>
        <w:t>En el artículo 30, párrafo 1, del Protocolo de Cartagena se dispone que “cualquier órgano subsidiario establecido por el Convenio o en virtud de este podrá, cuando así lo decida la reunión de la Conferencia de las Partes que actúa como reunión de las Partes en el presente Protocolo, prestar servicios al Protocolo, en cuyo caso, la reunión de las Partes especificará las funciones que haya de desempeñar ese órgano”.</w:t>
      </w:r>
    </w:p>
    <w:p w14:paraId="0B270B05" w14:textId="612E9845" w:rsidR="003A11A6" w:rsidRPr="00917DAD" w:rsidRDefault="003850E4" w:rsidP="00F5508C">
      <w:pPr>
        <w:numPr>
          <w:ilvl w:val="0"/>
          <w:numId w:val="37"/>
        </w:numPr>
        <w:suppressLineNumbers/>
        <w:tabs>
          <w:tab w:val="clear" w:pos="45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kern w:val="22"/>
          <w:lang w:val="es-ES_tradnl"/>
        </w:rPr>
        <w:t xml:space="preserve">En este </w:t>
      </w:r>
      <w:r w:rsidR="00307713" w:rsidRPr="00917DAD">
        <w:rPr>
          <w:kern w:val="22"/>
          <w:lang w:val="es-ES_tradnl"/>
        </w:rPr>
        <w:t>tema</w:t>
      </w:r>
      <w:r w:rsidR="00EB4E90" w:rsidRPr="00917DAD">
        <w:rPr>
          <w:kern w:val="22"/>
          <w:lang w:val="es-ES_tradnl"/>
        </w:rPr>
        <w:t xml:space="preserve"> del programa</w:t>
      </w:r>
      <w:r w:rsidR="00307713" w:rsidRPr="00917DAD">
        <w:rPr>
          <w:kern w:val="22"/>
          <w:lang w:val="es-ES_tradnl"/>
        </w:rPr>
        <w:t xml:space="preserve">, el </w:t>
      </w:r>
      <w:proofErr w:type="gramStart"/>
      <w:r w:rsidR="00307713" w:rsidRPr="00917DAD">
        <w:rPr>
          <w:kern w:val="22"/>
          <w:lang w:val="es-ES_tradnl"/>
        </w:rPr>
        <w:t>Presidente</w:t>
      </w:r>
      <w:proofErr w:type="gramEnd"/>
      <w:r w:rsidR="00307713" w:rsidRPr="00917DAD">
        <w:rPr>
          <w:kern w:val="22"/>
          <w:lang w:val="es-ES_tradnl"/>
        </w:rPr>
        <w:t xml:space="preserve"> informará a la Conferencia de las Partes que actúa como reunión de las Partes en el Protocolo de Cartagena sobre las reuniones de órganos subsidiarios celebradas en el período entre sesiones y los informes de esas reuniones, en el entendido de que las cuestiones de fondo que hayan surgido en las reuniones se tratarán en el tema correspondiente del programa. </w:t>
      </w:r>
    </w:p>
    <w:p w14:paraId="73DE7908" w14:textId="498AD0D9" w:rsidR="003A11A6" w:rsidRPr="00917DAD" w:rsidRDefault="00AF66A7" w:rsidP="00A23AD0">
      <w:pPr>
        <w:pStyle w:val="ListParagraph"/>
        <w:numPr>
          <w:ilvl w:val="0"/>
          <w:numId w:val="37"/>
        </w:numPr>
        <w:tabs>
          <w:tab w:val="clear" w:pos="450"/>
        </w:tabs>
        <w:adjustRightInd w:val="0"/>
        <w:snapToGrid w:val="0"/>
        <w:spacing w:before="120" w:after="120"/>
        <w:ind w:left="0"/>
        <w:contextualSpacing w:val="0"/>
        <w:rPr>
          <w:lang w:val="es-ES_tradnl"/>
        </w:rPr>
      </w:pPr>
      <w:r w:rsidRPr="00917DAD">
        <w:rPr>
          <w:lang w:val="es-ES_tradnl"/>
        </w:rPr>
        <w:t xml:space="preserve">Los informes sobre la primera, la segunda y la tercera reunión del </w:t>
      </w:r>
      <w:r w:rsidR="00791801" w:rsidRPr="00917DAD">
        <w:rPr>
          <w:lang w:val="es-ES_tradnl"/>
        </w:rPr>
        <w:t>Grupo de Trabajo de Composición Abierta sobre el Marco Mundial de la Diversidad Biológica posterior a 2020</w:t>
      </w:r>
      <w:r w:rsidRPr="00917DAD">
        <w:rPr>
          <w:lang w:val="es-ES_tradnl"/>
        </w:rPr>
        <w:t xml:space="preserve"> estarán entre los informes que se presentarán a la Conferencia de las Partes en la Parte I de la 15ª reunión</w:t>
      </w:r>
      <w:r w:rsidR="003A11A6" w:rsidRPr="00917DAD">
        <w:rPr>
          <w:snapToGrid w:val="0"/>
          <w:kern w:val="22"/>
          <w:szCs w:val="22"/>
          <w:lang w:val="es-ES_tradnl"/>
        </w:rPr>
        <w:t>.</w:t>
      </w:r>
    </w:p>
    <w:p w14:paraId="38D62D48" w14:textId="36DF8376" w:rsidR="003A11A6" w:rsidRPr="00917DAD" w:rsidRDefault="009F6543"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napToGrid w:val="0"/>
          <w:kern w:val="22"/>
          <w:szCs w:val="22"/>
          <w:lang w:val="es-ES_tradnl"/>
        </w:rPr>
        <w:t>Los Copresidentes del</w:t>
      </w:r>
      <w:r w:rsidR="00036E6D" w:rsidRPr="00917DAD">
        <w:rPr>
          <w:snapToGrid w:val="0"/>
          <w:kern w:val="22"/>
          <w:szCs w:val="22"/>
          <w:lang w:val="es-ES_tradnl"/>
        </w:rPr>
        <w:t xml:space="preserve"> </w:t>
      </w:r>
      <w:r w:rsidR="00036E6D" w:rsidRPr="00917DAD">
        <w:rPr>
          <w:lang w:val="es-ES_tradnl"/>
        </w:rPr>
        <w:t xml:space="preserve">Grupo de Trabajo de Composición Abierta sobre el Marco Mundial de la Diversidad Biológica posterior a 2020 </w:t>
      </w:r>
      <w:r w:rsidRPr="00917DAD">
        <w:rPr>
          <w:snapToGrid w:val="0"/>
          <w:kern w:val="22"/>
          <w:szCs w:val="22"/>
          <w:lang w:val="es-ES_tradnl"/>
        </w:rPr>
        <w:t>informarán sobre la marcha de la labor en la preparación del marco</w:t>
      </w:r>
      <w:r w:rsidR="003A11A6" w:rsidRPr="00917DAD">
        <w:rPr>
          <w:snapToGrid w:val="0"/>
          <w:kern w:val="22"/>
          <w:szCs w:val="22"/>
          <w:lang w:val="es-ES_tradnl"/>
        </w:rPr>
        <w:t>.</w:t>
      </w:r>
    </w:p>
    <w:p w14:paraId="0B93E2EC" w14:textId="3CCD7044" w:rsidR="003A11A6" w:rsidRPr="00917DAD" w:rsidRDefault="009F6543"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napToGrid w:val="0"/>
          <w:kern w:val="22"/>
          <w:szCs w:val="22"/>
          <w:lang w:val="es-ES_tradnl"/>
        </w:rPr>
        <w:t xml:space="preserve">Los informes del </w:t>
      </w:r>
      <w:r w:rsidRPr="00917DAD">
        <w:rPr>
          <w:kern w:val="22"/>
          <w:lang w:val="es-ES_tradnl"/>
        </w:rPr>
        <w:t>Órgano Subsidiario de Asesoramiento Científico, Técnico y Tecnológico</w:t>
      </w:r>
      <w:r w:rsidRPr="00917DAD">
        <w:rPr>
          <w:snapToGrid w:val="0"/>
          <w:kern w:val="22"/>
          <w:szCs w:val="22"/>
          <w:lang w:val="es-ES_tradnl"/>
        </w:rPr>
        <w:t xml:space="preserve"> en su 24ª reunión y el </w:t>
      </w:r>
      <w:r w:rsidRPr="00917DAD">
        <w:rPr>
          <w:kern w:val="22"/>
          <w:lang w:val="es-ES_tradnl"/>
        </w:rPr>
        <w:t>Órgano Subsidiario sobre la Aplicación en su tercera reunión se presentarán a la</w:t>
      </w:r>
      <w:r w:rsidR="00E039D2" w:rsidRPr="00917DAD">
        <w:rPr>
          <w:snapToGrid w:val="0"/>
          <w:kern w:val="22"/>
          <w:szCs w:val="22"/>
          <w:lang w:val="es-ES_tradnl"/>
        </w:rPr>
        <w:t xml:space="preserve"> Conferencia de las Partes que actúa como reunión de las Partes en el Protocolo de Cartagena</w:t>
      </w:r>
      <w:r w:rsidRPr="00917DAD">
        <w:rPr>
          <w:snapToGrid w:val="0"/>
          <w:kern w:val="22"/>
          <w:szCs w:val="22"/>
          <w:lang w:val="es-ES_tradnl"/>
        </w:rPr>
        <w:t xml:space="preserve"> durante la Parte </w:t>
      </w:r>
      <w:r w:rsidR="003A11A6" w:rsidRPr="00917DAD">
        <w:rPr>
          <w:snapToGrid w:val="0"/>
          <w:kern w:val="22"/>
          <w:szCs w:val="22"/>
          <w:lang w:val="es-ES_tradnl"/>
        </w:rPr>
        <w:t xml:space="preserve">II </w:t>
      </w:r>
      <w:r w:rsidRPr="00917DAD">
        <w:rPr>
          <w:snapToGrid w:val="0"/>
          <w:kern w:val="22"/>
          <w:szCs w:val="22"/>
          <w:lang w:val="es-ES_tradnl"/>
        </w:rPr>
        <w:t>de la reunión, en</w:t>
      </w:r>
      <w:r w:rsidR="00951655" w:rsidRPr="00917DAD">
        <w:rPr>
          <w:snapToGrid w:val="0"/>
          <w:kern w:val="22"/>
          <w:szCs w:val="22"/>
          <w:lang w:val="es-ES_tradnl"/>
        </w:rPr>
        <w:t xml:space="preserve"> 2022</w:t>
      </w:r>
      <w:r w:rsidR="003A11A6" w:rsidRPr="00917DAD">
        <w:rPr>
          <w:snapToGrid w:val="0"/>
          <w:kern w:val="22"/>
          <w:szCs w:val="22"/>
          <w:lang w:val="es-ES_tradnl"/>
        </w:rPr>
        <w:t>.</w:t>
      </w:r>
    </w:p>
    <w:p w14:paraId="43754150" w14:textId="66F5D763" w:rsidR="003A11A6" w:rsidRPr="00917DAD" w:rsidRDefault="0052207C"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es-ES_tradnl"/>
        </w:rPr>
      </w:pPr>
      <w:r w:rsidRPr="00917DAD">
        <w:rPr>
          <w:b/>
          <w:kern w:val="22"/>
          <w:szCs w:val="22"/>
          <w:lang w:val="es-ES_tradnl"/>
        </w:rPr>
        <w:t>Tema</w:t>
      </w:r>
      <w:r w:rsidR="003A11A6" w:rsidRPr="00917DAD">
        <w:rPr>
          <w:b/>
          <w:kern w:val="22"/>
          <w:szCs w:val="22"/>
          <w:lang w:val="es-ES_tradnl"/>
        </w:rPr>
        <w:t xml:space="preserve"> 5.</w:t>
      </w:r>
      <w:r w:rsidR="003A11A6" w:rsidRPr="00917DAD">
        <w:rPr>
          <w:b/>
          <w:kern w:val="22"/>
          <w:szCs w:val="22"/>
          <w:lang w:val="es-ES_tradnl"/>
        </w:rPr>
        <w:tab/>
      </w:r>
      <w:bookmarkStart w:id="9" w:name="_Hlk81495638"/>
      <w:r w:rsidR="00E25DEF" w:rsidRPr="00917DAD">
        <w:rPr>
          <w:b/>
          <w:kern w:val="22"/>
          <w:szCs w:val="22"/>
          <w:lang w:val="es-ES_tradnl"/>
        </w:rPr>
        <w:t xml:space="preserve">Informe del Comité de Cumplimiento </w:t>
      </w:r>
      <w:bookmarkEnd w:id="9"/>
    </w:p>
    <w:p w14:paraId="3CE2CF2D" w14:textId="706A7D4A" w:rsidR="008720F2" w:rsidRPr="00141239" w:rsidRDefault="008720F2" w:rsidP="00141239">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141239">
        <w:rPr>
          <w:snapToGrid w:val="0"/>
          <w:kern w:val="22"/>
          <w:szCs w:val="22"/>
          <w:lang w:val="es-ES_tradnl"/>
        </w:rPr>
        <w:t>Entre las funciones del Comité de Cumplimiento establecido en virtud del Protocolo de Cartagena está la de informar sobre su labor a la reunión de la Conferencia de las Partes que actúa como reunión de las Partes en el Protocolo de Cartagena y formularle recomendaciones. Por consiguiente, el Comité presentará un informe sobre la labor que realizó tras la novena reunión de las Partes en el Protocolo.</w:t>
      </w:r>
    </w:p>
    <w:p w14:paraId="2C285E05" w14:textId="2D7B5FE1" w:rsidR="003A11A6" w:rsidRPr="00917DAD" w:rsidRDefault="008720F2"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napToGrid w:val="0"/>
          <w:kern w:val="22"/>
          <w:szCs w:val="22"/>
          <w:lang w:val="es-ES_tradnl"/>
        </w:rPr>
        <w:t xml:space="preserve">Se prevé que el informe y las recomendaciones del Comité de Cumplimiento se examinarán durante la Parte </w:t>
      </w:r>
      <w:r w:rsidR="003A11A6" w:rsidRPr="00917DAD">
        <w:rPr>
          <w:snapToGrid w:val="0"/>
          <w:kern w:val="22"/>
          <w:szCs w:val="22"/>
          <w:lang w:val="es-ES_tradnl"/>
        </w:rPr>
        <w:t xml:space="preserve">II </w:t>
      </w:r>
      <w:r w:rsidRPr="00917DAD">
        <w:rPr>
          <w:snapToGrid w:val="0"/>
          <w:kern w:val="22"/>
          <w:szCs w:val="22"/>
          <w:lang w:val="es-ES_tradnl"/>
        </w:rPr>
        <w:t>de la reunión</w:t>
      </w:r>
      <w:r w:rsidR="003A11A6" w:rsidRPr="00917DAD">
        <w:rPr>
          <w:snapToGrid w:val="0"/>
          <w:kern w:val="22"/>
          <w:szCs w:val="22"/>
          <w:lang w:val="es-ES_tradnl"/>
        </w:rPr>
        <w:t>.</w:t>
      </w:r>
    </w:p>
    <w:p w14:paraId="23ABAF79" w14:textId="11A309DF" w:rsidR="003A11A6" w:rsidRPr="00917DAD" w:rsidRDefault="008720F2"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szCs w:val="22"/>
          <w:lang w:val="es-ES_tradnl"/>
        </w:rPr>
      </w:pPr>
      <w:r w:rsidRPr="00917DAD">
        <w:rPr>
          <w:rFonts w:eastAsia="Angsana New"/>
          <w:kern w:val="22"/>
          <w:lang w:val="es-ES_tradnl"/>
        </w:rPr>
        <w:t xml:space="preserve">También se invitará a la </w:t>
      </w:r>
      <w:r w:rsidRPr="00917DAD">
        <w:rPr>
          <w:snapToGrid w:val="0"/>
          <w:kern w:val="22"/>
          <w:szCs w:val="22"/>
          <w:lang w:val="es-ES_tradnl"/>
        </w:rPr>
        <w:t xml:space="preserve">Conferencia de las Partes que actúa como reunión de las Partes en el Protocolo de Cartagena </w:t>
      </w:r>
      <w:r w:rsidRPr="00917DAD">
        <w:rPr>
          <w:rFonts w:eastAsia="Angsana New"/>
          <w:kern w:val="22"/>
          <w:lang w:val="es-ES_tradnl"/>
        </w:rPr>
        <w:t xml:space="preserve">a elegir nuevos miembros del Comité de Cumplimiento durante la Parte II de la reunión. </w:t>
      </w:r>
    </w:p>
    <w:p w14:paraId="0C777DA4" w14:textId="0F8C05EF" w:rsidR="003A11A6" w:rsidRPr="00917DAD" w:rsidRDefault="0052207C"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es-ES_tradnl"/>
        </w:rPr>
      </w:pPr>
      <w:r w:rsidRPr="00917DAD">
        <w:rPr>
          <w:b/>
          <w:kern w:val="22"/>
          <w:szCs w:val="22"/>
          <w:lang w:val="es-ES_tradnl"/>
        </w:rPr>
        <w:t>Tema</w:t>
      </w:r>
      <w:r w:rsidR="003A11A6" w:rsidRPr="00917DAD">
        <w:rPr>
          <w:b/>
          <w:kern w:val="22"/>
          <w:szCs w:val="22"/>
          <w:lang w:val="es-ES_tradnl"/>
        </w:rPr>
        <w:t xml:space="preserve"> 6.</w:t>
      </w:r>
      <w:r w:rsidR="003A11A6" w:rsidRPr="00917DAD">
        <w:rPr>
          <w:b/>
          <w:kern w:val="22"/>
          <w:szCs w:val="22"/>
          <w:lang w:val="es-ES_tradnl"/>
        </w:rPr>
        <w:tab/>
      </w:r>
      <w:r w:rsidR="00E25DEF" w:rsidRPr="00917DAD">
        <w:rPr>
          <w:b/>
          <w:kern w:val="22"/>
          <w:szCs w:val="22"/>
          <w:lang w:val="es-ES_tradnl"/>
        </w:rPr>
        <w:t>Administración del Protocolo y el presupuesto para los fondos fiduciarios</w:t>
      </w:r>
    </w:p>
    <w:p w14:paraId="5F1BB765" w14:textId="44D8F033" w:rsidR="003A11A6" w:rsidRPr="00917DAD" w:rsidRDefault="007F489C"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napToGrid w:val="0"/>
          <w:kern w:val="22"/>
          <w:szCs w:val="22"/>
          <w:lang w:val="es-ES_tradnl"/>
        </w:rPr>
        <w:t xml:space="preserve">La Conferencia de las Partes que actúa como reunión de las Partes en el Protocolo de Cartagena </w:t>
      </w:r>
      <w:r w:rsidRPr="00917DAD">
        <w:rPr>
          <w:rFonts w:eastAsia="Angsana New"/>
          <w:kern w:val="22"/>
          <w:lang w:val="es-ES_tradnl"/>
        </w:rPr>
        <w:t>dispondrá de un informe provisional de la Secretaria Ejecutiva sobre la administración del Convenio y sus Protocolos</w:t>
      </w:r>
      <w:r w:rsidR="003A11A6" w:rsidRPr="00917DAD">
        <w:rPr>
          <w:snapToGrid w:val="0"/>
          <w:kern w:val="22"/>
          <w:szCs w:val="22"/>
          <w:lang w:val="es-ES_tradnl"/>
        </w:rPr>
        <w:t xml:space="preserve">, </w:t>
      </w:r>
      <w:r w:rsidRPr="00917DAD">
        <w:rPr>
          <w:snapToGrid w:val="0"/>
          <w:kern w:val="22"/>
          <w:szCs w:val="22"/>
          <w:lang w:val="es-ES_tradnl"/>
        </w:rPr>
        <w:t>incluido el presupuesto para los fondos fiduciarios respectivos</w:t>
      </w:r>
      <w:r w:rsidR="003A11A6" w:rsidRPr="00917DAD">
        <w:rPr>
          <w:snapToGrid w:val="0"/>
          <w:kern w:val="22"/>
          <w:szCs w:val="22"/>
          <w:lang w:val="es-ES_tradnl"/>
        </w:rPr>
        <w:t xml:space="preserve">. </w:t>
      </w:r>
      <w:r w:rsidRPr="00917DAD">
        <w:rPr>
          <w:snapToGrid w:val="0"/>
          <w:kern w:val="22"/>
          <w:szCs w:val="22"/>
          <w:lang w:val="es-ES_tradnl"/>
        </w:rPr>
        <w:t xml:space="preserve">Durante la Parte </w:t>
      </w:r>
      <w:r w:rsidR="003A11A6" w:rsidRPr="00917DAD">
        <w:rPr>
          <w:snapToGrid w:val="0"/>
          <w:kern w:val="22"/>
          <w:szCs w:val="22"/>
          <w:lang w:val="es-ES_tradnl"/>
        </w:rPr>
        <w:t xml:space="preserve">I </w:t>
      </w:r>
      <w:r w:rsidRPr="00917DAD">
        <w:rPr>
          <w:snapToGrid w:val="0"/>
          <w:kern w:val="22"/>
          <w:szCs w:val="22"/>
          <w:lang w:val="es-ES_tradnl"/>
        </w:rPr>
        <w:t>de la reunión</w:t>
      </w:r>
      <w:r w:rsidR="00D574A1" w:rsidRPr="00917DAD">
        <w:rPr>
          <w:snapToGrid w:val="0"/>
          <w:kern w:val="22"/>
          <w:szCs w:val="22"/>
          <w:lang w:val="es-ES_tradnl"/>
        </w:rPr>
        <w:t>,</w:t>
      </w:r>
      <w:r w:rsidR="003A11A6" w:rsidRPr="00917DAD">
        <w:rPr>
          <w:snapToGrid w:val="0"/>
          <w:kern w:val="22"/>
          <w:szCs w:val="22"/>
          <w:lang w:val="es-ES_tradnl"/>
        </w:rPr>
        <w:t xml:space="preserve"> </w:t>
      </w:r>
      <w:r w:rsidRPr="00917DAD">
        <w:rPr>
          <w:snapToGrid w:val="0"/>
          <w:kern w:val="22"/>
          <w:szCs w:val="22"/>
          <w:lang w:val="es-ES_tradnl"/>
        </w:rPr>
        <w:t xml:space="preserve">en octubre de </w:t>
      </w:r>
      <w:r w:rsidR="00455F1D" w:rsidRPr="00917DAD">
        <w:rPr>
          <w:snapToGrid w:val="0"/>
          <w:kern w:val="22"/>
          <w:szCs w:val="22"/>
          <w:lang w:val="es-ES_tradnl"/>
        </w:rPr>
        <w:t>2021</w:t>
      </w:r>
      <w:r w:rsidR="003A11A6" w:rsidRPr="00917DAD">
        <w:rPr>
          <w:snapToGrid w:val="0"/>
          <w:kern w:val="22"/>
          <w:szCs w:val="22"/>
          <w:lang w:val="es-ES_tradnl"/>
        </w:rPr>
        <w:t xml:space="preserve">, </w:t>
      </w:r>
      <w:r w:rsidRPr="00917DAD">
        <w:rPr>
          <w:snapToGrid w:val="0"/>
          <w:kern w:val="22"/>
          <w:szCs w:val="22"/>
          <w:lang w:val="es-ES_tradnl"/>
        </w:rPr>
        <w:t>la Conferencia de las Partes que actúa como reunión de las Partes en el Protocolo</w:t>
      </w:r>
      <w:r w:rsidR="0010133C" w:rsidRPr="00917DAD">
        <w:rPr>
          <w:snapToGrid w:val="0"/>
          <w:kern w:val="22"/>
          <w:szCs w:val="22"/>
          <w:lang w:val="es-ES_tradnl"/>
        </w:rPr>
        <w:t xml:space="preserve"> </w:t>
      </w:r>
      <w:r w:rsidR="00E039D2" w:rsidRPr="00917DAD">
        <w:rPr>
          <w:snapToGrid w:val="0"/>
          <w:kern w:val="22"/>
          <w:szCs w:val="22"/>
          <w:lang w:val="es-ES_tradnl"/>
        </w:rPr>
        <w:t xml:space="preserve">podrá estimar oportuno considerar y adoptar un presupuesto provisional para </w:t>
      </w:r>
      <w:r w:rsidR="003A11A6" w:rsidRPr="00917DAD">
        <w:rPr>
          <w:snapToGrid w:val="0"/>
          <w:kern w:val="22"/>
          <w:szCs w:val="22"/>
          <w:lang w:val="es-ES_tradnl"/>
        </w:rPr>
        <w:t>2022.</w:t>
      </w:r>
    </w:p>
    <w:p w14:paraId="45578E15" w14:textId="28E0D2C6" w:rsidR="003A11A6" w:rsidRPr="00917DAD" w:rsidRDefault="00021FC2"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rFonts w:eastAsia="Angsana New"/>
          <w:kern w:val="22"/>
          <w:lang w:val="es-ES_tradnl"/>
        </w:rPr>
        <w:t>La reunión de la Conferencia de las Partes que actúa como reunión de las Partes en el Protocolo de Cartagena</w:t>
      </w:r>
      <w:r w:rsidR="003A11A6" w:rsidRPr="00917DAD">
        <w:rPr>
          <w:snapToGrid w:val="0"/>
          <w:kern w:val="22"/>
          <w:szCs w:val="22"/>
          <w:lang w:val="es-ES_tradnl"/>
        </w:rPr>
        <w:t xml:space="preserve"> </w:t>
      </w:r>
      <w:r w:rsidRPr="00917DAD">
        <w:rPr>
          <w:snapToGrid w:val="0"/>
          <w:kern w:val="22"/>
          <w:szCs w:val="22"/>
          <w:lang w:val="es-ES_tradnl"/>
        </w:rPr>
        <w:t>podría consider</w:t>
      </w:r>
      <w:r w:rsidR="00AF66A7" w:rsidRPr="00917DAD">
        <w:rPr>
          <w:snapToGrid w:val="0"/>
          <w:kern w:val="22"/>
          <w:szCs w:val="22"/>
          <w:lang w:val="es-ES_tradnl"/>
        </w:rPr>
        <w:t>ar</w:t>
      </w:r>
      <w:r w:rsidRPr="00917DAD">
        <w:rPr>
          <w:snapToGrid w:val="0"/>
          <w:kern w:val="22"/>
          <w:szCs w:val="22"/>
          <w:lang w:val="es-ES_tradnl"/>
        </w:rPr>
        <w:t xml:space="preserve"> pertinente remitir el presupuesto provisional propuesto</w:t>
      </w:r>
      <w:r w:rsidR="00AF66A7" w:rsidRPr="00917DAD">
        <w:rPr>
          <w:snapToGrid w:val="0"/>
          <w:kern w:val="22"/>
          <w:szCs w:val="22"/>
          <w:lang w:val="es-ES_tradnl"/>
        </w:rPr>
        <w:t xml:space="preserve"> para 2022 </w:t>
      </w:r>
      <w:r w:rsidRPr="00917DAD">
        <w:rPr>
          <w:snapToGrid w:val="0"/>
          <w:kern w:val="22"/>
          <w:szCs w:val="22"/>
          <w:lang w:val="es-ES_tradnl"/>
        </w:rPr>
        <w:t xml:space="preserve">al grupo de contacto </w:t>
      </w:r>
      <w:r w:rsidR="00AF66A7" w:rsidRPr="00917DAD">
        <w:rPr>
          <w:snapToGrid w:val="0"/>
          <w:kern w:val="22"/>
          <w:szCs w:val="22"/>
          <w:lang w:val="es-ES_tradnl"/>
        </w:rPr>
        <w:t>sobre el presupuesto que se prevé establecerá la Conferencia de las Partes en el Convenio en su primera sesión plenaria</w:t>
      </w:r>
      <w:r w:rsidR="003A11A6" w:rsidRPr="00917DAD">
        <w:rPr>
          <w:snapToGrid w:val="0"/>
          <w:kern w:val="22"/>
          <w:szCs w:val="22"/>
          <w:lang w:val="es-ES_tradnl"/>
        </w:rPr>
        <w:t>.</w:t>
      </w:r>
    </w:p>
    <w:p w14:paraId="4AF2A727" w14:textId="77E1D289" w:rsidR="003A11A6" w:rsidRPr="00917DAD" w:rsidRDefault="0052207C"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es-ES_tradnl"/>
        </w:rPr>
      </w:pPr>
      <w:bookmarkStart w:id="10" w:name="_heading=h.gjdgxs" w:colFirst="0" w:colLast="0"/>
      <w:bookmarkStart w:id="11" w:name="_heading=h.30j0zll" w:colFirst="0" w:colLast="0"/>
      <w:bookmarkStart w:id="12" w:name="_heading=h.xuy1qui6wltd" w:colFirst="0" w:colLast="0"/>
      <w:bookmarkStart w:id="13" w:name="_heading=h.nkgw0ii72cmr" w:colFirst="0" w:colLast="0"/>
      <w:bookmarkStart w:id="14" w:name="_heading=h.3znysh7" w:colFirst="0" w:colLast="0"/>
      <w:bookmarkEnd w:id="10"/>
      <w:bookmarkEnd w:id="11"/>
      <w:bookmarkEnd w:id="12"/>
      <w:bookmarkEnd w:id="13"/>
      <w:bookmarkEnd w:id="14"/>
      <w:r w:rsidRPr="00917DAD">
        <w:rPr>
          <w:b/>
          <w:kern w:val="22"/>
          <w:szCs w:val="22"/>
          <w:lang w:val="es-ES_tradnl"/>
        </w:rPr>
        <w:t>Tema</w:t>
      </w:r>
      <w:r w:rsidR="003A11A6" w:rsidRPr="00917DAD">
        <w:rPr>
          <w:b/>
          <w:kern w:val="22"/>
          <w:szCs w:val="22"/>
          <w:lang w:val="es-ES_tradnl"/>
        </w:rPr>
        <w:t xml:space="preserve"> 18.</w:t>
      </w:r>
      <w:r w:rsidR="003A11A6" w:rsidRPr="00917DAD">
        <w:rPr>
          <w:b/>
          <w:kern w:val="22"/>
          <w:szCs w:val="22"/>
          <w:lang w:val="es-ES_tradnl"/>
        </w:rPr>
        <w:tab/>
        <w:t>O</w:t>
      </w:r>
      <w:r w:rsidR="0012652A" w:rsidRPr="00917DAD">
        <w:rPr>
          <w:b/>
          <w:kern w:val="22"/>
          <w:szCs w:val="22"/>
          <w:lang w:val="es-ES_tradnl"/>
        </w:rPr>
        <w:t>tros asuntos</w:t>
      </w:r>
    </w:p>
    <w:p w14:paraId="5A034FBE" w14:textId="7F8C3DF5" w:rsidR="003A11A6" w:rsidRPr="00917DAD" w:rsidRDefault="0012652A"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rFonts w:eastAsia="Angsana New"/>
          <w:kern w:val="22"/>
          <w:lang w:val="es-ES_tradnl"/>
        </w:rPr>
        <w:t>La reunión de la Conferencia de las Partes que actúa como reunión de las Partes en el Protocolo de Cartagena podría estimar oportuno examinar otros asuntos que se planteen y puedan tratarse de conformidad con el artículo 12 del reglamento</w:t>
      </w:r>
      <w:r w:rsidRPr="00917DAD">
        <w:rPr>
          <w:snapToGrid w:val="0"/>
          <w:kern w:val="22"/>
          <w:szCs w:val="22"/>
          <w:lang w:val="es-ES_tradnl"/>
        </w:rPr>
        <w:t xml:space="preserve"> y el párrafo </w:t>
      </w:r>
      <w:r w:rsidR="003A11A6" w:rsidRPr="00917DAD">
        <w:rPr>
          <w:snapToGrid w:val="0"/>
          <w:kern w:val="22"/>
          <w:szCs w:val="22"/>
          <w:lang w:val="es-ES_tradnl"/>
        </w:rPr>
        <w:t xml:space="preserve">7 </w:t>
      </w:r>
      <w:r w:rsidRPr="00917DAD">
        <w:rPr>
          <w:snapToGrid w:val="0"/>
          <w:kern w:val="22"/>
          <w:szCs w:val="22"/>
          <w:lang w:val="es-ES_tradnl"/>
        </w:rPr>
        <w:t>de la decisión</w:t>
      </w:r>
      <w:r w:rsidR="003A11A6" w:rsidRPr="00917DAD">
        <w:rPr>
          <w:snapToGrid w:val="0"/>
          <w:kern w:val="22"/>
          <w:szCs w:val="22"/>
          <w:lang w:val="es-ES_tradnl"/>
        </w:rPr>
        <w:t> </w:t>
      </w:r>
      <w:r w:rsidR="00154172">
        <w:fldChar w:fldCharType="begin"/>
      </w:r>
      <w:r w:rsidR="00154172" w:rsidRPr="00154172">
        <w:rPr>
          <w:lang w:val="fr-CA"/>
        </w:rPr>
        <w:instrText>HYPERLINK "https://www.cbd.int/doc/decisions/cop-04/full/cop-04-dec-es.pdf"</w:instrText>
      </w:r>
      <w:r w:rsidR="00154172">
        <w:fldChar w:fldCharType="separate"/>
      </w:r>
      <w:r w:rsidR="003A11A6" w:rsidRPr="00917DAD">
        <w:rPr>
          <w:snapToGrid w:val="0"/>
          <w:color w:val="0000FF"/>
          <w:kern w:val="22"/>
          <w:szCs w:val="22"/>
          <w:u w:val="single"/>
          <w:lang w:val="es-ES_tradnl"/>
        </w:rPr>
        <w:t>IV/16</w:t>
      </w:r>
      <w:r w:rsidR="00154172">
        <w:rPr>
          <w:snapToGrid w:val="0"/>
          <w:color w:val="0000FF"/>
          <w:kern w:val="22"/>
          <w:szCs w:val="22"/>
          <w:u w:val="single"/>
          <w:lang w:val="es-ES_tradnl"/>
        </w:rPr>
        <w:fldChar w:fldCharType="end"/>
      </w:r>
      <w:bookmarkStart w:id="15" w:name="_GoBack"/>
      <w:bookmarkEnd w:id="15"/>
      <w:r w:rsidR="003A11A6" w:rsidRPr="00917DAD">
        <w:rPr>
          <w:snapToGrid w:val="0"/>
          <w:kern w:val="22"/>
          <w:szCs w:val="22"/>
          <w:lang w:val="es-ES_tradnl"/>
        </w:rPr>
        <w:t>.</w:t>
      </w:r>
    </w:p>
    <w:p w14:paraId="4C171E4A" w14:textId="0D11C68F" w:rsidR="003A11A6" w:rsidRPr="00917DAD" w:rsidRDefault="00021FC2"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napToGrid w:val="0"/>
          <w:kern w:val="22"/>
          <w:szCs w:val="22"/>
          <w:lang w:val="es-ES_tradnl"/>
        </w:rPr>
        <w:t xml:space="preserve">En este tema del programa, se prevé que el </w:t>
      </w:r>
      <w:proofErr w:type="gramStart"/>
      <w:r w:rsidRPr="00917DAD">
        <w:rPr>
          <w:snapToGrid w:val="0"/>
          <w:kern w:val="22"/>
          <w:szCs w:val="22"/>
          <w:lang w:val="es-ES_tradnl"/>
        </w:rPr>
        <w:t>Presidente</w:t>
      </w:r>
      <w:proofErr w:type="gramEnd"/>
      <w:r w:rsidRPr="00917DAD">
        <w:rPr>
          <w:snapToGrid w:val="0"/>
          <w:kern w:val="22"/>
          <w:szCs w:val="22"/>
          <w:lang w:val="es-ES_tradnl"/>
        </w:rPr>
        <w:t xml:space="preserve"> informará al plenario sobre los resultados de</w:t>
      </w:r>
      <w:r w:rsidR="00B840F1" w:rsidRPr="00917DAD">
        <w:rPr>
          <w:snapToGrid w:val="0"/>
          <w:kern w:val="22"/>
          <w:szCs w:val="22"/>
          <w:lang w:val="es-ES_tradnl"/>
        </w:rPr>
        <w:t xml:space="preserve"> la serie de reuniones de alto nivel </w:t>
      </w:r>
      <w:r w:rsidRPr="00917DAD">
        <w:rPr>
          <w:snapToGrid w:val="0"/>
          <w:kern w:val="22"/>
          <w:szCs w:val="22"/>
          <w:lang w:val="es-ES_tradnl"/>
        </w:rPr>
        <w:t>que se celeb</w:t>
      </w:r>
      <w:r w:rsidR="00917DAD" w:rsidRPr="00917DAD">
        <w:rPr>
          <w:snapToGrid w:val="0"/>
          <w:kern w:val="22"/>
          <w:szCs w:val="22"/>
          <w:lang w:val="es-ES_tradnl"/>
        </w:rPr>
        <w:t xml:space="preserve">rará </w:t>
      </w:r>
      <w:r w:rsidR="00FC12B0" w:rsidRPr="00917DAD">
        <w:rPr>
          <w:snapToGrid w:val="0"/>
          <w:kern w:val="22"/>
          <w:szCs w:val="22"/>
          <w:lang w:val="es-ES_tradnl"/>
        </w:rPr>
        <w:t xml:space="preserve">los días </w:t>
      </w:r>
      <w:r w:rsidRPr="00917DAD">
        <w:rPr>
          <w:snapToGrid w:val="0"/>
          <w:kern w:val="22"/>
          <w:szCs w:val="22"/>
          <w:lang w:val="es-ES_tradnl"/>
        </w:rPr>
        <w:t>12 y 13 de octubre de 2021</w:t>
      </w:r>
      <w:r w:rsidR="003A11A6" w:rsidRPr="00917DAD">
        <w:rPr>
          <w:snapToGrid w:val="0"/>
          <w:kern w:val="22"/>
          <w:szCs w:val="22"/>
          <w:lang w:val="es-ES_tradnl"/>
        </w:rPr>
        <w:t>.</w:t>
      </w:r>
    </w:p>
    <w:p w14:paraId="2DF1D6CC" w14:textId="388F967D" w:rsidR="003A11A6" w:rsidRPr="00917DAD" w:rsidRDefault="0052207C"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es-ES_tradnl"/>
        </w:rPr>
      </w:pPr>
      <w:r w:rsidRPr="00917DAD">
        <w:rPr>
          <w:b/>
          <w:kern w:val="22"/>
          <w:szCs w:val="22"/>
          <w:lang w:val="es-ES_tradnl"/>
        </w:rPr>
        <w:t>Tema</w:t>
      </w:r>
      <w:r w:rsidR="003A11A6" w:rsidRPr="00917DAD">
        <w:rPr>
          <w:b/>
          <w:kern w:val="22"/>
          <w:szCs w:val="22"/>
          <w:lang w:val="es-ES_tradnl"/>
        </w:rPr>
        <w:t xml:space="preserve"> 19. </w:t>
      </w:r>
      <w:r w:rsidR="00917DAD" w:rsidRPr="00917DAD">
        <w:rPr>
          <w:b/>
          <w:kern w:val="22"/>
          <w:szCs w:val="22"/>
          <w:lang w:val="es-ES_tradnl"/>
        </w:rPr>
        <w:tab/>
      </w:r>
      <w:r w:rsidR="003A11A6" w:rsidRPr="00917DAD">
        <w:rPr>
          <w:b/>
          <w:kern w:val="22"/>
          <w:szCs w:val="22"/>
          <w:lang w:val="es-ES_tradnl"/>
        </w:rPr>
        <w:t>Ad</w:t>
      </w:r>
      <w:r w:rsidR="0012652A" w:rsidRPr="00917DAD">
        <w:rPr>
          <w:b/>
          <w:kern w:val="22"/>
          <w:szCs w:val="22"/>
          <w:lang w:val="es-ES_tradnl"/>
        </w:rPr>
        <w:t>opción del informe</w:t>
      </w:r>
    </w:p>
    <w:p w14:paraId="31CA28C0" w14:textId="53D04EBF" w:rsidR="003A11A6" w:rsidRPr="00917DAD" w:rsidRDefault="00E039D2"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napToGrid w:val="0"/>
          <w:kern w:val="22"/>
          <w:szCs w:val="22"/>
          <w:lang w:val="es-ES_tradnl"/>
        </w:rPr>
        <w:t>La Conferencia de las Partes que actúa como reunión de las Partes en el Protocolo de Cartagena</w:t>
      </w:r>
      <w:r w:rsidR="004B6F9B" w:rsidRPr="00917DAD">
        <w:rPr>
          <w:snapToGrid w:val="0"/>
          <w:kern w:val="22"/>
          <w:szCs w:val="22"/>
          <w:lang w:val="es-ES_tradnl"/>
        </w:rPr>
        <w:t xml:space="preserve"> podría estimar oportun</w:t>
      </w:r>
      <w:r w:rsidR="00617A86" w:rsidRPr="00917DAD">
        <w:rPr>
          <w:snapToGrid w:val="0"/>
          <w:kern w:val="22"/>
          <w:szCs w:val="22"/>
          <w:lang w:val="es-ES_tradnl"/>
        </w:rPr>
        <w:t>o</w:t>
      </w:r>
      <w:r w:rsidR="004B6F9B" w:rsidRPr="00917DAD">
        <w:rPr>
          <w:snapToGrid w:val="0"/>
          <w:kern w:val="22"/>
          <w:szCs w:val="22"/>
          <w:lang w:val="es-ES_tradnl"/>
        </w:rPr>
        <w:t xml:space="preserve"> considerar y adoptar el informe de la labor de la primera parte de su reunión sobre la base del proyecto de informe preparado por el Relator</w:t>
      </w:r>
      <w:r w:rsidR="003A11A6" w:rsidRPr="00917DAD">
        <w:rPr>
          <w:snapToGrid w:val="0"/>
          <w:kern w:val="22"/>
          <w:szCs w:val="22"/>
          <w:lang w:val="es-ES_tradnl"/>
        </w:rPr>
        <w:t>.</w:t>
      </w:r>
    </w:p>
    <w:p w14:paraId="556E456A" w14:textId="686D9362" w:rsidR="003A11A6" w:rsidRPr="00917DAD" w:rsidRDefault="00617A8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snapToGrid w:val="0"/>
          <w:kern w:val="22"/>
          <w:szCs w:val="22"/>
          <w:lang w:val="es-ES_tradnl"/>
        </w:rPr>
        <w:t>Durante la segunda parte de su reunión, en</w:t>
      </w:r>
      <w:r w:rsidR="00430251" w:rsidRPr="00917DAD">
        <w:rPr>
          <w:snapToGrid w:val="0"/>
          <w:kern w:val="22"/>
          <w:szCs w:val="22"/>
          <w:lang w:val="es-ES_tradnl"/>
        </w:rPr>
        <w:t xml:space="preserve"> 2022</w:t>
      </w:r>
      <w:r w:rsidR="003A11A6" w:rsidRPr="00917DAD">
        <w:rPr>
          <w:snapToGrid w:val="0"/>
          <w:kern w:val="22"/>
          <w:szCs w:val="22"/>
          <w:lang w:val="es-ES_tradnl"/>
        </w:rPr>
        <w:t xml:space="preserve">, </w:t>
      </w:r>
      <w:r w:rsidRPr="00917DAD">
        <w:rPr>
          <w:snapToGrid w:val="0"/>
          <w:kern w:val="22"/>
          <w:szCs w:val="22"/>
          <w:lang w:val="es-ES_tradnl"/>
        </w:rPr>
        <w:t xml:space="preserve">la </w:t>
      </w:r>
      <w:r w:rsidR="004B6F9B" w:rsidRPr="00917DAD">
        <w:rPr>
          <w:snapToGrid w:val="0"/>
          <w:kern w:val="22"/>
          <w:szCs w:val="22"/>
          <w:lang w:val="es-ES_tradnl"/>
        </w:rPr>
        <w:t>Conferencia de las Partes que actúa como reunión de las Partes</w:t>
      </w:r>
      <w:r w:rsidR="003A11A6" w:rsidRPr="00917DAD">
        <w:rPr>
          <w:snapToGrid w:val="0"/>
          <w:kern w:val="22"/>
          <w:szCs w:val="22"/>
          <w:lang w:val="es-ES_tradnl"/>
        </w:rPr>
        <w:t xml:space="preserve"> </w:t>
      </w:r>
      <w:r w:rsidRPr="00917DAD">
        <w:rPr>
          <w:snapToGrid w:val="0"/>
          <w:kern w:val="22"/>
          <w:szCs w:val="22"/>
          <w:lang w:val="es-ES_tradnl"/>
        </w:rPr>
        <w:t xml:space="preserve">podría estimar oportuno considerar y adoptar un informe complementario sobre la base de un borrador que preparará el Relator y de los informes de los dos grupos de trabajo </w:t>
      </w:r>
      <w:r w:rsidR="00021FC2" w:rsidRPr="00917DAD">
        <w:rPr>
          <w:snapToGrid w:val="0"/>
          <w:kern w:val="22"/>
          <w:szCs w:val="22"/>
          <w:lang w:val="es-ES_tradnl"/>
        </w:rPr>
        <w:t>que tiene</w:t>
      </w:r>
      <w:r w:rsidR="00917DAD" w:rsidRPr="00917DAD">
        <w:rPr>
          <w:snapToGrid w:val="0"/>
          <w:kern w:val="22"/>
          <w:szCs w:val="22"/>
          <w:lang w:val="es-ES_tradnl"/>
        </w:rPr>
        <w:t>n</w:t>
      </w:r>
      <w:r w:rsidR="00021FC2" w:rsidRPr="00917DAD">
        <w:rPr>
          <w:snapToGrid w:val="0"/>
          <w:kern w:val="22"/>
          <w:szCs w:val="22"/>
          <w:lang w:val="es-ES_tradnl"/>
        </w:rPr>
        <w:t xml:space="preserve"> en cuenta las actas de la segunda parte, presencial, de su reunión</w:t>
      </w:r>
      <w:r w:rsidR="003A11A6" w:rsidRPr="00917DAD">
        <w:rPr>
          <w:snapToGrid w:val="0"/>
          <w:kern w:val="22"/>
          <w:szCs w:val="22"/>
          <w:lang w:val="es-ES_tradnl"/>
        </w:rPr>
        <w:t xml:space="preserve">. </w:t>
      </w:r>
      <w:r w:rsidR="00021FC2" w:rsidRPr="00917DAD">
        <w:rPr>
          <w:snapToGrid w:val="0"/>
          <w:kern w:val="22"/>
          <w:szCs w:val="22"/>
          <w:lang w:val="es-ES_tradnl"/>
        </w:rPr>
        <w:t>Los informes sobre las dos partes de la reunión constituirán juntas las actas de la reunión</w:t>
      </w:r>
      <w:r w:rsidR="003A11A6" w:rsidRPr="00917DAD">
        <w:rPr>
          <w:snapToGrid w:val="0"/>
          <w:kern w:val="22"/>
          <w:szCs w:val="22"/>
          <w:lang w:val="es-ES_tradnl"/>
        </w:rPr>
        <w:t>.</w:t>
      </w:r>
    </w:p>
    <w:p w14:paraId="0269E21B" w14:textId="1A9D0BBD" w:rsidR="003A11A6" w:rsidRPr="00917DAD" w:rsidRDefault="0052207C"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es-ES_tradnl"/>
        </w:rPr>
      </w:pPr>
      <w:r w:rsidRPr="00917DAD">
        <w:rPr>
          <w:b/>
          <w:kern w:val="22"/>
          <w:szCs w:val="22"/>
          <w:lang w:val="es-ES_tradnl"/>
        </w:rPr>
        <w:t>Tema</w:t>
      </w:r>
      <w:r w:rsidR="003A11A6" w:rsidRPr="00917DAD">
        <w:rPr>
          <w:b/>
          <w:kern w:val="22"/>
          <w:szCs w:val="22"/>
          <w:lang w:val="es-ES_tradnl"/>
        </w:rPr>
        <w:t xml:space="preserve"> 20. </w:t>
      </w:r>
      <w:r w:rsidR="003A11A6" w:rsidRPr="00917DAD">
        <w:rPr>
          <w:b/>
          <w:kern w:val="22"/>
          <w:szCs w:val="22"/>
          <w:lang w:val="es-ES_tradnl"/>
        </w:rPr>
        <w:tab/>
        <w:t>Cl</w:t>
      </w:r>
      <w:r w:rsidR="0012652A" w:rsidRPr="00917DAD">
        <w:rPr>
          <w:b/>
          <w:kern w:val="22"/>
          <w:szCs w:val="22"/>
          <w:lang w:val="es-ES_tradnl"/>
        </w:rPr>
        <w:t>ausura de la reunión</w:t>
      </w:r>
    </w:p>
    <w:p w14:paraId="7A9EE8A2" w14:textId="1E562F49" w:rsidR="00E039D2" w:rsidRPr="00917DAD" w:rsidRDefault="00E039D2" w:rsidP="00187F72">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ES_tradnl"/>
        </w:rPr>
      </w:pPr>
      <w:r w:rsidRPr="00917DAD">
        <w:rPr>
          <w:rFonts w:eastAsia="Angsana New"/>
          <w:color w:val="000000"/>
          <w:kern w:val="22"/>
          <w:lang w:val="es-ES_tradnl"/>
        </w:rPr>
        <w:t xml:space="preserve">Se prevé que el </w:t>
      </w:r>
      <w:proofErr w:type="gramStart"/>
      <w:r w:rsidRPr="00917DAD">
        <w:rPr>
          <w:rFonts w:eastAsia="Angsana New"/>
          <w:color w:val="000000"/>
          <w:kern w:val="22"/>
          <w:lang w:val="es-ES_tradnl"/>
        </w:rPr>
        <w:t>Presidente</w:t>
      </w:r>
      <w:proofErr w:type="gramEnd"/>
      <w:r w:rsidRPr="00917DAD">
        <w:rPr>
          <w:rFonts w:eastAsia="Angsana New"/>
          <w:color w:val="000000"/>
          <w:kern w:val="22"/>
          <w:lang w:val="es-ES_tradnl"/>
        </w:rPr>
        <w:t xml:space="preserve"> suspenderá la reunión a las 17.00 horas del viernes (hora de Kunming</w:t>
      </w:r>
      <w:r w:rsidR="002F162A" w:rsidRPr="00917DAD">
        <w:rPr>
          <w:rFonts w:eastAsia="Angsana New"/>
          <w:color w:val="000000"/>
          <w:kern w:val="22"/>
          <w:lang w:val="es-ES_tradnl"/>
        </w:rPr>
        <w:t xml:space="preserve">, </w:t>
      </w:r>
      <w:r w:rsidRPr="00917DAD">
        <w:rPr>
          <w:rFonts w:eastAsia="Angsana New"/>
          <w:color w:val="000000"/>
          <w:kern w:val="22"/>
          <w:lang w:val="es-ES_tradnl"/>
        </w:rPr>
        <w:t xml:space="preserve">China) el 15 de octubre de 2021 y que la reunión se reanudará para la parte presencial de la reunión (Parte II), que se celebrará del 25 de abril al 8 de mayo de 2022 en Kunming (China). </w:t>
      </w:r>
      <w:r w:rsidR="00187F72" w:rsidRPr="00917DAD">
        <w:rPr>
          <w:rFonts w:eastAsia="Angsana New"/>
          <w:color w:val="000000"/>
          <w:kern w:val="22"/>
          <w:lang w:val="es-ES_tradnl"/>
        </w:rPr>
        <w:t>De este modo, la reunión se clausurará oficialmente tras la conclusión de la Parte II de la reunión, el 8 de mayo de 2022.</w:t>
      </w:r>
    </w:p>
    <w:p w14:paraId="01A8F749" w14:textId="77777777" w:rsidR="00B3778F" w:rsidRPr="00917DAD" w:rsidRDefault="004409A7" w:rsidP="00A23AD0">
      <w:pPr>
        <w:pStyle w:val="bodytextnoindent"/>
        <w:suppressLineNumbers/>
        <w:suppressAutoHyphens/>
        <w:kinsoku w:val="0"/>
        <w:overflowPunct w:val="0"/>
        <w:autoSpaceDE w:val="0"/>
        <w:autoSpaceDN w:val="0"/>
        <w:adjustRightInd w:val="0"/>
        <w:snapToGrid w:val="0"/>
        <w:spacing w:before="120" w:after="120"/>
        <w:ind w:left="0" w:firstLine="0"/>
        <w:jc w:val="center"/>
        <w:rPr>
          <w:snapToGrid w:val="0"/>
          <w:kern w:val="22"/>
          <w:szCs w:val="22"/>
          <w:lang w:val="es-ES_tradnl"/>
        </w:rPr>
      </w:pPr>
      <w:r w:rsidRPr="00917DAD">
        <w:rPr>
          <w:snapToGrid w:val="0"/>
          <w:kern w:val="22"/>
          <w:szCs w:val="22"/>
          <w:lang w:val="es-ES_tradnl"/>
        </w:rPr>
        <w:t>__________</w:t>
      </w:r>
      <w:bookmarkEnd w:id="0"/>
    </w:p>
    <w:sectPr w:rsidR="00B3778F" w:rsidRPr="00917DAD" w:rsidSect="005B25AE">
      <w:headerReference w:type="even" r:id="rId21"/>
      <w:headerReference w:type="default" r:id="rId22"/>
      <w:type w:val="continuous"/>
      <w:pgSz w:w="12240" w:h="15840"/>
      <w:pgMar w:top="567" w:right="1134" w:bottom="1021" w:left="113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CB1AC" w14:textId="77777777" w:rsidR="00A02934" w:rsidRDefault="00A02934" w:rsidP="00CF1848">
      <w:r>
        <w:separator/>
      </w:r>
    </w:p>
  </w:endnote>
  <w:endnote w:type="continuationSeparator" w:id="0">
    <w:p w14:paraId="373D05EE" w14:textId="77777777" w:rsidR="00A02934" w:rsidRDefault="00A02934" w:rsidP="00CF1848">
      <w:r>
        <w:continuationSeparator/>
      </w:r>
    </w:p>
  </w:endnote>
  <w:endnote w:type="continuationNotice" w:id="1">
    <w:p w14:paraId="563AB906" w14:textId="77777777" w:rsidR="00A02934" w:rsidRDefault="00A02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9C016" w14:textId="77777777" w:rsidR="00A02934" w:rsidRDefault="00A02934" w:rsidP="00CF1848">
      <w:r>
        <w:separator/>
      </w:r>
    </w:p>
  </w:footnote>
  <w:footnote w:type="continuationSeparator" w:id="0">
    <w:p w14:paraId="6B7FB1FC" w14:textId="77777777" w:rsidR="00A02934" w:rsidRDefault="00A02934" w:rsidP="00CF1848">
      <w:r>
        <w:continuationSeparator/>
      </w:r>
    </w:p>
  </w:footnote>
  <w:footnote w:type="continuationNotice" w:id="1">
    <w:p w14:paraId="3FA11CE9" w14:textId="77777777" w:rsidR="00A02934" w:rsidRDefault="00A02934"/>
  </w:footnote>
  <w:footnote w:id="2">
    <w:p w14:paraId="1C191079" w14:textId="058C802D" w:rsidR="003A11A6" w:rsidRPr="00000F99" w:rsidRDefault="003A11A6" w:rsidP="00A23AD0">
      <w:pPr>
        <w:pStyle w:val="FootnoteText"/>
        <w:kinsoku w:val="0"/>
        <w:overflowPunct w:val="0"/>
        <w:autoSpaceDE w:val="0"/>
        <w:autoSpaceDN w:val="0"/>
        <w:ind w:firstLine="0"/>
        <w:jc w:val="left"/>
        <w:rPr>
          <w:kern w:val="18"/>
          <w:szCs w:val="18"/>
          <w:lang w:val="es-ES_tradnl"/>
        </w:rPr>
      </w:pPr>
      <w:r w:rsidRPr="00DF6980">
        <w:rPr>
          <w:rStyle w:val="FootnoteReference"/>
          <w:kern w:val="18"/>
          <w:szCs w:val="18"/>
          <w:u w:val="none"/>
          <w:vertAlign w:val="superscript"/>
        </w:rPr>
        <w:footnoteRef/>
      </w:r>
      <w:r w:rsidRPr="00DF6980">
        <w:rPr>
          <w:kern w:val="18"/>
          <w:szCs w:val="18"/>
          <w:vertAlign w:val="superscript"/>
        </w:rPr>
        <w:t xml:space="preserve"> </w:t>
      </w:r>
      <w:r w:rsidR="00B01523" w:rsidRPr="00000F99">
        <w:rPr>
          <w:kern w:val="18"/>
          <w:szCs w:val="18"/>
          <w:lang w:val="es-ES_tradnl"/>
        </w:rPr>
        <w:t xml:space="preserve">Véase </w:t>
      </w:r>
      <w:r w:rsidRPr="00000F99">
        <w:rPr>
          <w:kern w:val="18"/>
          <w:szCs w:val="18"/>
          <w:lang w:val="es-ES_tradnl"/>
        </w:rPr>
        <w:t>CBD/COP/15/1/Add.2.</w:t>
      </w:r>
    </w:p>
  </w:footnote>
  <w:footnote w:id="3">
    <w:p w14:paraId="731EE6CA" w14:textId="5554F167" w:rsidR="00837704" w:rsidRPr="00000F99" w:rsidRDefault="00837704" w:rsidP="00A23AD0">
      <w:pPr>
        <w:pStyle w:val="FootnoteText"/>
        <w:kinsoku w:val="0"/>
        <w:overflowPunct w:val="0"/>
        <w:autoSpaceDE w:val="0"/>
        <w:autoSpaceDN w:val="0"/>
        <w:ind w:firstLine="0"/>
        <w:jc w:val="left"/>
        <w:rPr>
          <w:kern w:val="18"/>
          <w:lang w:val="es-ES_tradnl"/>
        </w:rPr>
      </w:pPr>
      <w:r w:rsidRPr="00000F99">
        <w:rPr>
          <w:rStyle w:val="FootnoteReference"/>
          <w:kern w:val="18"/>
          <w:u w:val="none"/>
          <w:vertAlign w:val="superscript"/>
          <w:lang w:val="es-ES_tradnl"/>
        </w:rPr>
        <w:footnoteRef/>
      </w:r>
      <w:r w:rsidRPr="00000F99">
        <w:rPr>
          <w:kern w:val="18"/>
          <w:lang w:val="es-ES_tradnl"/>
        </w:rPr>
        <w:t xml:space="preserve"> </w:t>
      </w:r>
      <w:r w:rsidR="00B01523" w:rsidRPr="00000F99">
        <w:rPr>
          <w:kern w:val="18"/>
          <w:lang w:val="es-ES_tradnl"/>
        </w:rPr>
        <w:t xml:space="preserve">Véase </w:t>
      </w:r>
      <w:r w:rsidR="006F474D" w:rsidRPr="00000F99">
        <w:rPr>
          <w:kern w:val="18"/>
          <w:lang w:val="es-ES_tradnl"/>
        </w:rPr>
        <w:t>CBD/COP/14/14, p</w:t>
      </w:r>
      <w:r w:rsidR="00B01523" w:rsidRPr="00000F99">
        <w:rPr>
          <w:kern w:val="18"/>
          <w:lang w:val="es-ES_tradnl"/>
        </w:rPr>
        <w:t>árrafo</w:t>
      </w:r>
      <w:r w:rsidR="006F474D" w:rsidRPr="00000F99">
        <w:rPr>
          <w:kern w:val="18"/>
          <w:lang w:val="es-ES_tradnl"/>
        </w:rPr>
        <w:t> </w:t>
      </w:r>
      <w:r w:rsidR="00710D1F" w:rsidRPr="00000F99">
        <w:rPr>
          <w:kern w:val="18"/>
          <w:lang w:val="es-ES_tradnl"/>
        </w:rPr>
        <w:t>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78929DE" w14:textId="0F88BD72" w:rsidR="00B90DD5" w:rsidRPr="00A23AD0" w:rsidRDefault="003A11A6" w:rsidP="00A23AD0">
        <w:pPr>
          <w:pStyle w:val="Header"/>
          <w:tabs>
            <w:tab w:val="clear" w:pos="4320"/>
            <w:tab w:val="clear" w:pos="8640"/>
          </w:tabs>
          <w:jc w:val="left"/>
          <w:rPr>
            <w:noProof/>
          </w:rPr>
        </w:pPr>
        <w:r w:rsidRPr="00186C29">
          <w:rPr>
            <w:noProof/>
          </w:rPr>
          <w:t>CBD/CP/MOP/10/1/Add.1</w:t>
        </w:r>
      </w:p>
    </w:sdtContent>
  </w:sdt>
  <w:p w14:paraId="2417E9CA" w14:textId="30C05481" w:rsidR="00B90DD5" w:rsidRPr="00A23AD0" w:rsidRDefault="00B90DD5" w:rsidP="00A23AD0">
    <w:pPr>
      <w:pStyle w:val="Header"/>
      <w:tabs>
        <w:tab w:val="clear" w:pos="4320"/>
        <w:tab w:val="clear" w:pos="8640"/>
      </w:tabs>
      <w:jc w:val="left"/>
      <w:rPr>
        <w:noProof/>
      </w:rPr>
    </w:pPr>
    <w:r w:rsidRPr="00A23AD0">
      <w:rPr>
        <w:noProof/>
      </w:rPr>
      <w:t>P</w:t>
    </w:r>
    <w:r w:rsidR="00A96E39">
      <w:rPr>
        <w:noProof/>
      </w:rPr>
      <w:t>ágina</w:t>
    </w:r>
    <w:r w:rsidRPr="00A23AD0">
      <w:rPr>
        <w:noProof/>
      </w:rPr>
      <w:t xml:space="preserve"> </w:t>
    </w:r>
    <w:r w:rsidRPr="00A23AD0">
      <w:rPr>
        <w:noProof/>
      </w:rPr>
      <w:fldChar w:fldCharType="begin"/>
    </w:r>
    <w:r w:rsidRPr="00A23AD0">
      <w:rPr>
        <w:noProof/>
      </w:rPr>
      <w:instrText xml:space="preserve"> PAGE   \* MERGEFORMAT </w:instrText>
    </w:r>
    <w:r w:rsidRPr="00A23AD0">
      <w:rPr>
        <w:noProof/>
      </w:rPr>
      <w:fldChar w:fldCharType="separate"/>
    </w:r>
    <w:r w:rsidR="00393029" w:rsidRPr="00A23AD0">
      <w:rPr>
        <w:noProof/>
      </w:rPr>
      <w:t>4</w:t>
    </w:r>
    <w:r w:rsidRPr="00A23AD0">
      <w:rPr>
        <w:noProof/>
      </w:rPr>
      <w:fldChar w:fldCharType="end"/>
    </w:r>
  </w:p>
  <w:p w14:paraId="4470B071" w14:textId="77777777" w:rsidR="00B90DD5" w:rsidRPr="00A23AD0" w:rsidRDefault="00B90DD5" w:rsidP="00A23AD0">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1E267F7F" w14:textId="07FDDBDE" w:rsidR="00B90DD5" w:rsidRPr="00A23AD0" w:rsidRDefault="003A11A6" w:rsidP="00A23AD0">
        <w:pPr>
          <w:pStyle w:val="Header"/>
          <w:tabs>
            <w:tab w:val="clear" w:pos="4320"/>
            <w:tab w:val="clear" w:pos="8640"/>
          </w:tabs>
          <w:jc w:val="right"/>
          <w:rPr>
            <w:noProof/>
          </w:rPr>
        </w:pPr>
        <w:r w:rsidRPr="00186C29">
          <w:rPr>
            <w:noProof/>
          </w:rPr>
          <w:t>CBD/CP/MOP/10/1/Add.1</w:t>
        </w:r>
      </w:p>
    </w:sdtContent>
  </w:sdt>
  <w:p w14:paraId="45F5E32F" w14:textId="45D9CF9C" w:rsidR="00B90DD5" w:rsidRPr="00A23AD0" w:rsidRDefault="00B90DD5" w:rsidP="00A23AD0">
    <w:pPr>
      <w:pStyle w:val="Header"/>
      <w:tabs>
        <w:tab w:val="clear" w:pos="4320"/>
        <w:tab w:val="clear" w:pos="8640"/>
      </w:tabs>
      <w:jc w:val="right"/>
      <w:rPr>
        <w:noProof/>
      </w:rPr>
    </w:pPr>
    <w:r w:rsidRPr="00A23AD0">
      <w:rPr>
        <w:noProof/>
      </w:rPr>
      <w:t>P</w:t>
    </w:r>
    <w:r w:rsidR="00A96E39">
      <w:rPr>
        <w:noProof/>
      </w:rPr>
      <w:t>ágina</w:t>
    </w:r>
    <w:r w:rsidRPr="00A23AD0">
      <w:rPr>
        <w:noProof/>
      </w:rPr>
      <w:t xml:space="preserve"> </w:t>
    </w:r>
    <w:r w:rsidRPr="00A23AD0">
      <w:rPr>
        <w:noProof/>
      </w:rPr>
      <w:fldChar w:fldCharType="begin"/>
    </w:r>
    <w:r w:rsidRPr="00A23AD0">
      <w:rPr>
        <w:noProof/>
      </w:rPr>
      <w:instrText xml:space="preserve"> PAGE   \* MERGEFORMAT </w:instrText>
    </w:r>
    <w:r w:rsidRPr="00A23AD0">
      <w:rPr>
        <w:noProof/>
      </w:rPr>
      <w:fldChar w:fldCharType="separate"/>
    </w:r>
    <w:r w:rsidR="00393029" w:rsidRPr="00A23AD0">
      <w:rPr>
        <w:noProof/>
      </w:rPr>
      <w:t>3</w:t>
    </w:r>
    <w:r w:rsidRPr="00A23AD0">
      <w:rPr>
        <w:noProof/>
      </w:rPr>
      <w:fldChar w:fldCharType="end"/>
    </w:r>
  </w:p>
  <w:p w14:paraId="051956D2" w14:textId="77777777" w:rsidR="00B90DD5" w:rsidRPr="00A23AD0" w:rsidRDefault="00B90DD5" w:rsidP="00A23AD0">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D21"/>
    <w:multiLevelType w:val="hybridMultilevel"/>
    <w:tmpl w:val="768077D8"/>
    <w:lvl w:ilvl="0" w:tplc="EB6E5B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D42A9"/>
    <w:multiLevelType w:val="hybridMultilevel"/>
    <w:tmpl w:val="0EA8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82506"/>
    <w:multiLevelType w:val="hybridMultilevel"/>
    <w:tmpl w:val="2452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A356D"/>
    <w:multiLevelType w:val="hybridMultilevel"/>
    <w:tmpl w:val="83C6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177056"/>
    <w:multiLevelType w:val="hybridMultilevel"/>
    <w:tmpl w:val="CA7C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CC7928"/>
    <w:multiLevelType w:val="hybridMultilevel"/>
    <w:tmpl w:val="867E2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F8708E"/>
    <w:multiLevelType w:val="multilevel"/>
    <w:tmpl w:val="784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693F2D"/>
    <w:multiLevelType w:val="hybridMultilevel"/>
    <w:tmpl w:val="E43A47A4"/>
    <w:lvl w:ilvl="0" w:tplc="10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660570"/>
    <w:multiLevelType w:val="hybridMultilevel"/>
    <w:tmpl w:val="0A467666"/>
    <w:lvl w:ilvl="0" w:tplc="E30E0F4A">
      <w:start w:val="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7896A5D"/>
    <w:multiLevelType w:val="hybridMultilevel"/>
    <w:tmpl w:val="7D2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748C4"/>
    <w:multiLevelType w:val="hybridMultilevel"/>
    <w:tmpl w:val="B01A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0FB3AC6"/>
    <w:multiLevelType w:val="hybridMultilevel"/>
    <w:tmpl w:val="1C8C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0A2C6D"/>
    <w:multiLevelType w:val="multilevel"/>
    <w:tmpl w:val="0F8E0504"/>
    <w:lvl w:ilvl="0">
      <w:start w:val="7"/>
      <w:numFmt w:val="decimal"/>
      <w:lvlText w:val="%1"/>
      <w:lvlJc w:val="left"/>
      <w:pPr>
        <w:ind w:left="360" w:hanging="360"/>
      </w:pPr>
      <w:rPr>
        <w:rFonts w:hint="default"/>
      </w:rPr>
    </w:lvl>
    <w:lvl w:ilvl="1">
      <w:start w:val="3"/>
      <w:numFmt w:val="decimal"/>
      <w:lvlText w:val="%1.%2"/>
      <w:lvlJc w:val="left"/>
      <w:pPr>
        <w:ind w:left="177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D536C58"/>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22"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6C3870A6"/>
    <w:multiLevelType w:val="hybridMultilevel"/>
    <w:tmpl w:val="E64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5" w15:restartNumberingAfterBreak="0">
    <w:nsid w:val="6E8B1526"/>
    <w:multiLevelType w:val="multilevel"/>
    <w:tmpl w:val="2E42DF30"/>
    <w:lvl w:ilvl="0">
      <w:start w:val="7"/>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161CEE"/>
    <w:multiLevelType w:val="hybridMultilevel"/>
    <w:tmpl w:val="5FACD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D01785"/>
    <w:multiLevelType w:val="hybridMultilevel"/>
    <w:tmpl w:val="F6104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F780233"/>
    <w:multiLevelType w:val="hybridMultilevel"/>
    <w:tmpl w:val="237A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8"/>
  </w:num>
  <w:num w:numId="4">
    <w:abstractNumId w:val="20"/>
  </w:num>
  <w:num w:numId="5">
    <w:abstractNumId w:val="19"/>
  </w:num>
  <w:num w:numId="6">
    <w:abstractNumId w:val="5"/>
  </w:num>
  <w:num w:numId="7">
    <w:abstractNumId w:val="9"/>
  </w:num>
  <w:num w:numId="8">
    <w:abstractNumId w:val="18"/>
    <w:lvlOverride w:ilvl="0">
      <w:startOverride w:val="1"/>
    </w:lvlOverride>
  </w:num>
  <w:num w:numId="9">
    <w:abstractNumId w:val="26"/>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1"/>
  </w:num>
  <w:num w:numId="19">
    <w:abstractNumId w:val="28"/>
  </w:num>
  <w:num w:numId="20">
    <w:abstractNumId w:val="7"/>
  </w:num>
  <w:num w:numId="21">
    <w:abstractNumId w:val="3"/>
  </w:num>
  <w:num w:numId="22">
    <w:abstractNumId w:val="13"/>
  </w:num>
  <w:num w:numId="23">
    <w:abstractNumId w:val="15"/>
  </w:num>
  <w:num w:numId="24">
    <w:abstractNumId w:val="6"/>
  </w:num>
  <w:num w:numId="25">
    <w:abstractNumId w:val="29"/>
  </w:num>
  <w:num w:numId="26">
    <w:abstractNumId w:val="2"/>
  </w:num>
  <w:num w:numId="27">
    <w:abstractNumId w:val="12"/>
  </w:num>
  <w:num w:numId="28">
    <w:abstractNumId w:val="23"/>
  </w:num>
  <w:num w:numId="29">
    <w:abstractNumId w:val="1"/>
  </w:num>
  <w:num w:numId="30">
    <w:abstractNumId w:val="27"/>
  </w:num>
  <w:num w:numId="31">
    <w:abstractNumId w:val="0"/>
  </w:num>
  <w:num w:numId="32">
    <w:abstractNumId w:val="8"/>
  </w:num>
  <w:num w:numId="33">
    <w:abstractNumId w:val="16"/>
  </w:num>
  <w:num w:numId="34">
    <w:abstractNumId w:val="10"/>
  </w:num>
  <w:num w:numId="35">
    <w:abstractNumId w:val="25"/>
  </w:num>
  <w:num w:numId="36">
    <w:abstractNumId w:val="22"/>
  </w:num>
  <w:num w:numId="3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F99"/>
    <w:rsid w:val="00006729"/>
    <w:rsid w:val="0000775E"/>
    <w:rsid w:val="00013696"/>
    <w:rsid w:val="00021FC2"/>
    <w:rsid w:val="00022609"/>
    <w:rsid w:val="00030EE3"/>
    <w:rsid w:val="00036E6D"/>
    <w:rsid w:val="00046BDF"/>
    <w:rsid w:val="000473BD"/>
    <w:rsid w:val="00061A1E"/>
    <w:rsid w:val="0006581B"/>
    <w:rsid w:val="00066E12"/>
    <w:rsid w:val="000713A8"/>
    <w:rsid w:val="000725B7"/>
    <w:rsid w:val="00075B74"/>
    <w:rsid w:val="00077BE8"/>
    <w:rsid w:val="0008014A"/>
    <w:rsid w:val="00081454"/>
    <w:rsid w:val="000957F6"/>
    <w:rsid w:val="00095A2C"/>
    <w:rsid w:val="00097770"/>
    <w:rsid w:val="00097F5F"/>
    <w:rsid w:val="000A0830"/>
    <w:rsid w:val="000A0AC1"/>
    <w:rsid w:val="000A3D17"/>
    <w:rsid w:val="000A4B3A"/>
    <w:rsid w:val="000A709E"/>
    <w:rsid w:val="000B1DED"/>
    <w:rsid w:val="000B2EAF"/>
    <w:rsid w:val="000B5ECA"/>
    <w:rsid w:val="000D0253"/>
    <w:rsid w:val="000E673A"/>
    <w:rsid w:val="000F460F"/>
    <w:rsid w:val="000F74F5"/>
    <w:rsid w:val="000F766A"/>
    <w:rsid w:val="0010133C"/>
    <w:rsid w:val="00103752"/>
    <w:rsid w:val="00105372"/>
    <w:rsid w:val="00110921"/>
    <w:rsid w:val="00112792"/>
    <w:rsid w:val="00121613"/>
    <w:rsid w:val="00121B96"/>
    <w:rsid w:val="00124DD1"/>
    <w:rsid w:val="0012652A"/>
    <w:rsid w:val="00131881"/>
    <w:rsid w:val="00131C42"/>
    <w:rsid w:val="00131E7A"/>
    <w:rsid w:val="00134717"/>
    <w:rsid w:val="00137CFB"/>
    <w:rsid w:val="00141239"/>
    <w:rsid w:val="0014387F"/>
    <w:rsid w:val="00145706"/>
    <w:rsid w:val="00151E2B"/>
    <w:rsid w:val="00154172"/>
    <w:rsid w:val="001640F1"/>
    <w:rsid w:val="00164649"/>
    <w:rsid w:val="00165323"/>
    <w:rsid w:val="0016624E"/>
    <w:rsid w:val="00172AF6"/>
    <w:rsid w:val="00176586"/>
    <w:rsid w:val="00176CEE"/>
    <w:rsid w:val="0018089C"/>
    <w:rsid w:val="00186C29"/>
    <w:rsid w:val="00187F72"/>
    <w:rsid w:val="00190281"/>
    <w:rsid w:val="001B09F5"/>
    <w:rsid w:val="001B18F7"/>
    <w:rsid w:val="001B4C23"/>
    <w:rsid w:val="001B5293"/>
    <w:rsid w:val="001C083C"/>
    <w:rsid w:val="001C3FBA"/>
    <w:rsid w:val="001D281F"/>
    <w:rsid w:val="001D2F60"/>
    <w:rsid w:val="001D32B0"/>
    <w:rsid w:val="001F20DA"/>
    <w:rsid w:val="001F470B"/>
    <w:rsid w:val="001F544B"/>
    <w:rsid w:val="001F603D"/>
    <w:rsid w:val="00203C2D"/>
    <w:rsid w:val="00207B73"/>
    <w:rsid w:val="00222239"/>
    <w:rsid w:val="00230661"/>
    <w:rsid w:val="00235217"/>
    <w:rsid w:val="00235276"/>
    <w:rsid w:val="00235C05"/>
    <w:rsid w:val="00243CD9"/>
    <w:rsid w:val="00245596"/>
    <w:rsid w:val="00270151"/>
    <w:rsid w:val="00273893"/>
    <w:rsid w:val="002759AB"/>
    <w:rsid w:val="002851AD"/>
    <w:rsid w:val="00287CD5"/>
    <w:rsid w:val="0029038C"/>
    <w:rsid w:val="00291953"/>
    <w:rsid w:val="00295DF4"/>
    <w:rsid w:val="002B4F91"/>
    <w:rsid w:val="002B711E"/>
    <w:rsid w:val="002C1F3A"/>
    <w:rsid w:val="002D0AE8"/>
    <w:rsid w:val="002D10FC"/>
    <w:rsid w:val="002D3222"/>
    <w:rsid w:val="002D6108"/>
    <w:rsid w:val="002D6B36"/>
    <w:rsid w:val="002E1DB0"/>
    <w:rsid w:val="002F0551"/>
    <w:rsid w:val="002F162A"/>
    <w:rsid w:val="002F26BA"/>
    <w:rsid w:val="002F422E"/>
    <w:rsid w:val="003001BA"/>
    <w:rsid w:val="00301168"/>
    <w:rsid w:val="0030131F"/>
    <w:rsid w:val="00302A9B"/>
    <w:rsid w:val="00302E3E"/>
    <w:rsid w:val="00302F41"/>
    <w:rsid w:val="00305FDC"/>
    <w:rsid w:val="00307713"/>
    <w:rsid w:val="003165F0"/>
    <w:rsid w:val="0032181E"/>
    <w:rsid w:val="00327478"/>
    <w:rsid w:val="00330889"/>
    <w:rsid w:val="003312C4"/>
    <w:rsid w:val="00334674"/>
    <w:rsid w:val="00341403"/>
    <w:rsid w:val="003509AE"/>
    <w:rsid w:val="00353E3C"/>
    <w:rsid w:val="00360039"/>
    <w:rsid w:val="0036503A"/>
    <w:rsid w:val="00372F74"/>
    <w:rsid w:val="003768E5"/>
    <w:rsid w:val="0038131D"/>
    <w:rsid w:val="003819BA"/>
    <w:rsid w:val="003842FC"/>
    <w:rsid w:val="003850E4"/>
    <w:rsid w:val="00386392"/>
    <w:rsid w:val="00393029"/>
    <w:rsid w:val="00395487"/>
    <w:rsid w:val="003A11A6"/>
    <w:rsid w:val="003A1274"/>
    <w:rsid w:val="003B13F7"/>
    <w:rsid w:val="003B74B8"/>
    <w:rsid w:val="003C4261"/>
    <w:rsid w:val="003D7504"/>
    <w:rsid w:val="003E056F"/>
    <w:rsid w:val="003E7594"/>
    <w:rsid w:val="003F0FD3"/>
    <w:rsid w:val="003F1BC1"/>
    <w:rsid w:val="003F4329"/>
    <w:rsid w:val="003F44EA"/>
    <w:rsid w:val="00401AF1"/>
    <w:rsid w:val="00402494"/>
    <w:rsid w:val="00404734"/>
    <w:rsid w:val="00415390"/>
    <w:rsid w:val="00417B2F"/>
    <w:rsid w:val="00421DC1"/>
    <w:rsid w:val="00430251"/>
    <w:rsid w:val="0043074A"/>
    <w:rsid w:val="00430A97"/>
    <w:rsid w:val="00437E78"/>
    <w:rsid w:val="00440612"/>
    <w:rsid w:val="004409A7"/>
    <w:rsid w:val="00441585"/>
    <w:rsid w:val="004521D2"/>
    <w:rsid w:val="004529D0"/>
    <w:rsid w:val="00455731"/>
    <w:rsid w:val="00455F1D"/>
    <w:rsid w:val="00462374"/>
    <w:rsid w:val="00462967"/>
    <w:rsid w:val="004644C2"/>
    <w:rsid w:val="00473757"/>
    <w:rsid w:val="004854EA"/>
    <w:rsid w:val="0049624C"/>
    <w:rsid w:val="00497AB5"/>
    <w:rsid w:val="004A153B"/>
    <w:rsid w:val="004B4451"/>
    <w:rsid w:val="004B51F6"/>
    <w:rsid w:val="004B6F9B"/>
    <w:rsid w:val="004C04CF"/>
    <w:rsid w:val="004D0309"/>
    <w:rsid w:val="004E336C"/>
    <w:rsid w:val="004E4D3E"/>
    <w:rsid w:val="004F221B"/>
    <w:rsid w:val="004F39C9"/>
    <w:rsid w:val="004F5B46"/>
    <w:rsid w:val="0051658D"/>
    <w:rsid w:val="0052207C"/>
    <w:rsid w:val="005229D8"/>
    <w:rsid w:val="00523E4C"/>
    <w:rsid w:val="0052410F"/>
    <w:rsid w:val="005268FB"/>
    <w:rsid w:val="00530B24"/>
    <w:rsid w:val="00534681"/>
    <w:rsid w:val="0053472E"/>
    <w:rsid w:val="00541C1F"/>
    <w:rsid w:val="005430AD"/>
    <w:rsid w:val="005504D6"/>
    <w:rsid w:val="005567D2"/>
    <w:rsid w:val="005579C7"/>
    <w:rsid w:val="0056116C"/>
    <w:rsid w:val="00564767"/>
    <w:rsid w:val="00573EC9"/>
    <w:rsid w:val="00576351"/>
    <w:rsid w:val="00584A88"/>
    <w:rsid w:val="0058610F"/>
    <w:rsid w:val="00587489"/>
    <w:rsid w:val="00587A3A"/>
    <w:rsid w:val="005935F0"/>
    <w:rsid w:val="005A36B8"/>
    <w:rsid w:val="005B25AE"/>
    <w:rsid w:val="005C4FB3"/>
    <w:rsid w:val="005C50AF"/>
    <w:rsid w:val="005D1D39"/>
    <w:rsid w:val="005D20FA"/>
    <w:rsid w:val="005D4C71"/>
    <w:rsid w:val="005D5A8F"/>
    <w:rsid w:val="005E052A"/>
    <w:rsid w:val="005E1DC0"/>
    <w:rsid w:val="005E7475"/>
    <w:rsid w:val="005F7B3C"/>
    <w:rsid w:val="00600824"/>
    <w:rsid w:val="00610955"/>
    <w:rsid w:val="00614B67"/>
    <w:rsid w:val="00616AFF"/>
    <w:rsid w:val="00617A86"/>
    <w:rsid w:val="006209F0"/>
    <w:rsid w:val="00621BB2"/>
    <w:rsid w:val="00621BE3"/>
    <w:rsid w:val="006267D5"/>
    <w:rsid w:val="0064459E"/>
    <w:rsid w:val="00646875"/>
    <w:rsid w:val="00660370"/>
    <w:rsid w:val="00660CB5"/>
    <w:rsid w:val="0066276F"/>
    <w:rsid w:val="00664120"/>
    <w:rsid w:val="006913EA"/>
    <w:rsid w:val="00692A1A"/>
    <w:rsid w:val="006951C1"/>
    <w:rsid w:val="00696AE9"/>
    <w:rsid w:val="006A054E"/>
    <w:rsid w:val="006A1DE3"/>
    <w:rsid w:val="006A4F4B"/>
    <w:rsid w:val="006A6DAD"/>
    <w:rsid w:val="006A7708"/>
    <w:rsid w:val="006B70E1"/>
    <w:rsid w:val="006B75A0"/>
    <w:rsid w:val="006C15A9"/>
    <w:rsid w:val="006C2038"/>
    <w:rsid w:val="006E033D"/>
    <w:rsid w:val="006E0D16"/>
    <w:rsid w:val="006E1EFF"/>
    <w:rsid w:val="006E2A11"/>
    <w:rsid w:val="006F02BF"/>
    <w:rsid w:val="006F474D"/>
    <w:rsid w:val="00710D1F"/>
    <w:rsid w:val="00711E1A"/>
    <w:rsid w:val="007143AF"/>
    <w:rsid w:val="00714E40"/>
    <w:rsid w:val="00717D88"/>
    <w:rsid w:val="007224D4"/>
    <w:rsid w:val="007266B0"/>
    <w:rsid w:val="00727C83"/>
    <w:rsid w:val="007342E5"/>
    <w:rsid w:val="00745039"/>
    <w:rsid w:val="00751800"/>
    <w:rsid w:val="007518EE"/>
    <w:rsid w:val="00766799"/>
    <w:rsid w:val="00781715"/>
    <w:rsid w:val="00781AB7"/>
    <w:rsid w:val="00785A5C"/>
    <w:rsid w:val="0079079C"/>
    <w:rsid w:val="00791801"/>
    <w:rsid w:val="0079246D"/>
    <w:rsid w:val="007942D3"/>
    <w:rsid w:val="007A19C4"/>
    <w:rsid w:val="007A2D42"/>
    <w:rsid w:val="007B6C09"/>
    <w:rsid w:val="007B7EDB"/>
    <w:rsid w:val="007C3B23"/>
    <w:rsid w:val="007C4AD7"/>
    <w:rsid w:val="007C60A1"/>
    <w:rsid w:val="007D6677"/>
    <w:rsid w:val="007E09DA"/>
    <w:rsid w:val="007E1A48"/>
    <w:rsid w:val="007F0719"/>
    <w:rsid w:val="007F489C"/>
    <w:rsid w:val="0081195A"/>
    <w:rsid w:val="00813D36"/>
    <w:rsid w:val="00816BA8"/>
    <w:rsid w:val="008178B6"/>
    <w:rsid w:val="00822824"/>
    <w:rsid w:val="00827FC7"/>
    <w:rsid w:val="00837704"/>
    <w:rsid w:val="0085428A"/>
    <w:rsid w:val="0087016E"/>
    <w:rsid w:val="008707A9"/>
    <w:rsid w:val="008720C2"/>
    <w:rsid w:val="008720F2"/>
    <w:rsid w:val="008772D3"/>
    <w:rsid w:val="0088375F"/>
    <w:rsid w:val="008909F8"/>
    <w:rsid w:val="0089140D"/>
    <w:rsid w:val="008A2241"/>
    <w:rsid w:val="008A5ED5"/>
    <w:rsid w:val="008A5F16"/>
    <w:rsid w:val="008C00DF"/>
    <w:rsid w:val="008C52BD"/>
    <w:rsid w:val="008C5AD5"/>
    <w:rsid w:val="008D6A02"/>
    <w:rsid w:val="008F091D"/>
    <w:rsid w:val="008F5851"/>
    <w:rsid w:val="008F718F"/>
    <w:rsid w:val="0090161B"/>
    <w:rsid w:val="00901D49"/>
    <w:rsid w:val="00902894"/>
    <w:rsid w:val="00910961"/>
    <w:rsid w:val="00911742"/>
    <w:rsid w:val="00917DAD"/>
    <w:rsid w:val="009207B7"/>
    <w:rsid w:val="00920D97"/>
    <w:rsid w:val="00922FA4"/>
    <w:rsid w:val="0092572A"/>
    <w:rsid w:val="009505C9"/>
    <w:rsid w:val="00951655"/>
    <w:rsid w:val="00952A0F"/>
    <w:rsid w:val="00952F27"/>
    <w:rsid w:val="0095586D"/>
    <w:rsid w:val="0096078A"/>
    <w:rsid w:val="00970FC0"/>
    <w:rsid w:val="00972FF5"/>
    <w:rsid w:val="00973926"/>
    <w:rsid w:val="00975A5D"/>
    <w:rsid w:val="009802CE"/>
    <w:rsid w:val="00991401"/>
    <w:rsid w:val="00992F67"/>
    <w:rsid w:val="009B0D25"/>
    <w:rsid w:val="009B56FD"/>
    <w:rsid w:val="009B762F"/>
    <w:rsid w:val="009C27EB"/>
    <w:rsid w:val="009C2CBC"/>
    <w:rsid w:val="009D662F"/>
    <w:rsid w:val="009E1635"/>
    <w:rsid w:val="009E2075"/>
    <w:rsid w:val="009E3E4B"/>
    <w:rsid w:val="009F1B34"/>
    <w:rsid w:val="009F6543"/>
    <w:rsid w:val="009F65D9"/>
    <w:rsid w:val="00A02934"/>
    <w:rsid w:val="00A07494"/>
    <w:rsid w:val="00A11B01"/>
    <w:rsid w:val="00A13439"/>
    <w:rsid w:val="00A1521A"/>
    <w:rsid w:val="00A1525C"/>
    <w:rsid w:val="00A17437"/>
    <w:rsid w:val="00A177A5"/>
    <w:rsid w:val="00A21FE4"/>
    <w:rsid w:val="00A22FC5"/>
    <w:rsid w:val="00A23AD0"/>
    <w:rsid w:val="00A25E86"/>
    <w:rsid w:val="00A32C8F"/>
    <w:rsid w:val="00A33009"/>
    <w:rsid w:val="00A352AF"/>
    <w:rsid w:val="00A44625"/>
    <w:rsid w:val="00A51DF5"/>
    <w:rsid w:val="00A53F6B"/>
    <w:rsid w:val="00A63333"/>
    <w:rsid w:val="00A66068"/>
    <w:rsid w:val="00A67ED9"/>
    <w:rsid w:val="00A7078E"/>
    <w:rsid w:val="00A7435F"/>
    <w:rsid w:val="00A750DE"/>
    <w:rsid w:val="00A91271"/>
    <w:rsid w:val="00A92BD2"/>
    <w:rsid w:val="00A96E39"/>
    <w:rsid w:val="00AA3C77"/>
    <w:rsid w:val="00AA525E"/>
    <w:rsid w:val="00AB0627"/>
    <w:rsid w:val="00AC0A8F"/>
    <w:rsid w:val="00AD0D5A"/>
    <w:rsid w:val="00AD3AFD"/>
    <w:rsid w:val="00AD4EC2"/>
    <w:rsid w:val="00AE4124"/>
    <w:rsid w:val="00AE45CC"/>
    <w:rsid w:val="00AE5F55"/>
    <w:rsid w:val="00AF66A7"/>
    <w:rsid w:val="00B010F5"/>
    <w:rsid w:val="00B01523"/>
    <w:rsid w:val="00B01B7B"/>
    <w:rsid w:val="00B0326A"/>
    <w:rsid w:val="00B050D9"/>
    <w:rsid w:val="00B05600"/>
    <w:rsid w:val="00B16DF7"/>
    <w:rsid w:val="00B21237"/>
    <w:rsid w:val="00B21E66"/>
    <w:rsid w:val="00B2513F"/>
    <w:rsid w:val="00B26568"/>
    <w:rsid w:val="00B27ABC"/>
    <w:rsid w:val="00B3369F"/>
    <w:rsid w:val="00B3778F"/>
    <w:rsid w:val="00B42390"/>
    <w:rsid w:val="00B47E13"/>
    <w:rsid w:val="00B56957"/>
    <w:rsid w:val="00B80657"/>
    <w:rsid w:val="00B82703"/>
    <w:rsid w:val="00B8277A"/>
    <w:rsid w:val="00B82E8B"/>
    <w:rsid w:val="00B840F1"/>
    <w:rsid w:val="00B843E2"/>
    <w:rsid w:val="00B87697"/>
    <w:rsid w:val="00B90DD5"/>
    <w:rsid w:val="00B91087"/>
    <w:rsid w:val="00B913B9"/>
    <w:rsid w:val="00BA0BBA"/>
    <w:rsid w:val="00BA13C3"/>
    <w:rsid w:val="00BB219E"/>
    <w:rsid w:val="00BB5533"/>
    <w:rsid w:val="00BC05E7"/>
    <w:rsid w:val="00BC5408"/>
    <w:rsid w:val="00BD0F52"/>
    <w:rsid w:val="00BD2EC3"/>
    <w:rsid w:val="00BE01CC"/>
    <w:rsid w:val="00BF102B"/>
    <w:rsid w:val="00BF3657"/>
    <w:rsid w:val="00BF6F62"/>
    <w:rsid w:val="00BF7D49"/>
    <w:rsid w:val="00C02309"/>
    <w:rsid w:val="00C20047"/>
    <w:rsid w:val="00C2409F"/>
    <w:rsid w:val="00C254BA"/>
    <w:rsid w:val="00C40DD5"/>
    <w:rsid w:val="00C61588"/>
    <w:rsid w:val="00C64379"/>
    <w:rsid w:val="00C71E6F"/>
    <w:rsid w:val="00C83552"/>
    <w:rsid w:val="00C83CA2"/>
    <w:rsid w:val="00C85B3F"/>
    <w:rsid w:val="00C9161D"/>
    <w:rsid w:val="00C97673"/>
    <w:rsid w:val="00CA1F10"/>
    <w:rsid w:val="00CA4C41"/>
    <w:rsid w:val="00CA69C8"/>
    <w:rsid w:val="00CA7B0D"/>
    <w:rsid w:val="00CB6BBD"/>
    <w:rsid w:val="00CB7C2C"/>
    <w:rsid w:val="00CC15F1"/>
    <w:rsid w:val="00CD1D29"/>
    <w:rsid w:val="00CE4896"/>
    <w:rsid w:val="00CE6656"/>
    <w:rsid w:val="00CF1848"/>
    <w:rsid w:val="00D07676"/>
    <w:rsid w:val="00D0790F"/>
    <w:rsid w:val="00D1340F"/>
    <w:rsid w:val="00D168CC"/>
    <w:rsid w:val="00D20A27"/>
    <w:rsid w:val="00D20F60"/>
    <w:rsid w:val="00D21B5D"/>
    <w:rsid w:val="00D25F6A"/>
    <w:rsid w:val="00D33AC1"/>
    <w:rsid w:val="00D35172"/>
    <w:rsid w:val="00D43D95"/>
    <w:rsid w:val="00D45195"/>
    <w:rsid w:val="00D4601B"/>
    <w:rsid w:val="00D46349"/>
    <w:rsid w:val="00D574A1"/>
    <w:rsid w:val="00D623E5"/>
    <w:rsid w:val="00D65909"/>
    <w:rsid w:val="00D669A5"/>
    <w:rsid w:val="00D76A18"/>
    <w:rsid w:val="00D80894"/>
    <w:rsid w:val="00D947B8"/>
    <w:rsid w:val="00DA0E47"/>
    <w:rsid w:val="00DA70B9"/>
    <w:rsid w:val="00DC18C8"/>
    <w:rsid w:val="00DC21FE"/>
    <w:rsid w:val="00DC4430"/>
    <w:rsid w:val="00DC526E"/>
    <w:rsid w:val="00DC568F"/>
    <w:rsid w:val="00DC75E8"/>
    <w:rsid w:val="00DD118C"/>
    <w:rsid w:val="00DD7CFA"/>
    <w:rsid w:val="00DE6043"/>
    <w:rsid w:val="00DE6D8D"/>
    <w:rsid w:val="00DE7E9F"/>
    <w:rsid w:val="00DF1E5F"/>
    <w:rsid w:val="00DF6980"/>
    <w:rsid w:val="00DF6EFD"/>
    <w:rsid w:val="00DF72A9"/>
    <w:rsid w:val="00E00BE0"/>
    <w:rsid w:val="00E039D2"/>
    <w:rsid w:val="00E172F1"/>
    <w:rsid w:val="00E25DEF"/>
    <w:rsid w:val="00E308A2"/>
    <w:rsid w:val="00E43461"/>
    <w:rsid w:val="00E47E1D"/>
    <w:rsid w:val="00E50D01"/>
    <w:rsid w:val="00E636CF"/>
    <w:rsid w:val="00E66235"/>
    <w:rsid w:val="00E719BC"/>
    <w:rsid w:val="00E740B5"/>
    <w:rsid w:val="00E74E41"/>
    <w:rsid w:val="00E766CB"/>
    <w:rsid w:val="00E77ED7"/>
    <w:rsid w:val="00E83C24"/>
    <w:rsid w:val="00E8644F"/>
    <w:rsid w:val="00E90D3A"/>
    <w:rsid w:val="00E972F4"/>
    <w:rsid w:val="00EB29DB"/>
    <w:rsid w:val="00EB4E90"/>
    <w:rsid w:val="00ED20DB"/>
    <w:rsid w:val="00ED2D34"/>
    <w:rsid w:val="00EE1719"/>
    <w:rsid w:val="00EE2561"/>
    <w:rsid w:val="00EE6B2E"/>
    <w:rsid w:val="00EE78F7"/>
    <w:rsid w:val="00EF02C0"/>
    <w:rsid w:val="00EF6419"/>
    <w:rsid w:val="00F00A9E"/>
    <w:rsid w:val="00F00F99"/>
    <w:rsid w:val="00F15D34"/>
    <w:rsid w:val="00F1794F"/>
    <w:rsid w:val="00F2157C"/>
    <w:rsid w:val="00F27BE1"/>
    <w:rsid w:val="00F343FB"/>
    <w:rsid w:val="00F3772A"/>
    <w:rsid w:val="00F43E3C"/>
    <w:rsid w:val="00F50069"/>
    <w:rsid w:val="00F61693"/>
    <w:rsid w:val="00F738A2"/>
    <w:rsid w:val="00F7575B"/>
    <w:rsid w:val="00F83862"/>
    <w:rsid w:val="00F867B5"/>
    <w:rsid w:val="00F86CDF"/>
    <w:rsid w:val="00F90C9D"/>
    <w:rsid w:val="00F91D46"/>
    <w:rsid w:val="00F94774"/>
    <w:rsid w:val="00FA2874"/>
    <w:rsid w:val="00FA36B7"/>
    <w:rsid w:val="00FB0B34"/>
    <w:rsid w:val="00FB1CFB"/>
    <w:rsid w:val="00FB23D2"/>
    <w:rsid w:val="00FB3E99"/>
    <w:rsid w:val="00FC12B0"/>
    <w:rsid w:val="00FC5347"/>
    <w:rsid w:val="00FC53DB"/>
    <w:rsid w:val="00FC5D64"/>
    <w:rsid w:val="00FD7FFB"/>
    <w:rsid w:val="00FE3941"/>
    <w:rsid w:val="00FE78C2"/>
    <w:rsid w:val="00FE7A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8A49A6"/>
  <w15:docId w15:val="{91B19DF8-AFA2-4A55-B73D-4BD8BD6F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B3778F"/>
    <w:pPr>
      <w:spacing w:before="140" w:after="140"/>
      <w:ind w:left="720" w:hanging="720"/>
    </w:pPr>
  </w:style>
  <w:style w:type="paragraph" w:styleId="ListParagraph">
    <w:name w:val="List Paragraph"/>
    <w:basedOn w:val="Normal"/>
    <w:uiPriority w:val="34"/>
    <w:qFormat/>
    <w:rsid w:val="00B3778F"/>
    <w:pPr>
      <w:ind w:left="720"/>
      <w:contextualSpacing/>
    </w:pPr>
  </w:style>
  <w:style w:type="paragraph" w:styleId="CommentSubject">
    <w:name w:val="annotation subject"/>
    <w:basedOn w:val="CommentText"/>
    <w:next w:val="CommentText"/>
    <w:link w:val="CommentSubjectChar"/>
    <w:uiPriority w:val="99"/>
    <w:semiHidden/>
    <w:unhideWhenUsed/>
    <w:rsid w:val="00C40DD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40DD5"/>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230661"/>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3A11A6"/>
    <w:pPr>
      <w:spacing w:after="160" w:line="240" w:lineRule="exact"/>
    </w:pPr>
    <w:rPr>
      <w:rFonts w:asciiTheme="minorHAnsi" w:eastAsiaTheme="minorEastAsia" w:hAnsiTheme="minorHAnsi" w:cstheme="minorBidi"/>
      <w:sz w:val="18"/>
      <w:u w:val="single"/>
      <w:lang w:val="fr-CA"/>
    </w:rPr>
  </w:style>
  <w:style w:type="character" w:styleId="UnresolvedMention">
    <w:name w:val="Unresolved Mention"/>
    <w:basedOn w:val="DefaultParagraphFont"/>
    <w:uiPriority w:val="99"/>
    <w:semiHidden/>
    <w:unhideWhenUsed/>
    <w:rsid w:val="0016624E"/>
    <w:rPr>
      <w:color w:val="605E5C"/>
      <w:shd w:val="clear" w:color="auto" w:fill="E1DFDD"/>
    </w:rPr>
  </w:style>
  <w:style w:type="character" w:customStyle="1" w:styleId="Para1Char1">
    <w:name w:val="Para1 Char1"/>
    <w:rsid w:val="00E740B5"/>
    <w:rPr>
      <w:rFonts w:cs="Angsana New"/>
      <w:snapToGrid w:val="0"/>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8465">
      <w:bodyDiv w:val="1"/>
      <w:marLeft w:val="0"/>
      <w:marRight w:val="0"/>
      <w:marTop w:val="0"/>
      <w:marBottom w:val="0"/>
      <w:divBdr>
        <w:top w:val="none" w:sz="0" w:space="0" w:color="auto"/>
        <w:left w:val="none" w:sz="0" w:space="0" w:color="auto"/>
        <w:bottom w:val="none" w:sz="0" w:space="0" w:color="auto"/>
        <w:right w:val="none" w:sz="0" w:space="0" w:color="auto"/>
      </w:divBdr>
    </w:div>
    <w:div w:id="67653691">
      <w:bodyDiv w:val="1"/>
      <w:marLeft w:val="0"/>
      <w:marRight w:val="0"/>
      <w:marTop w:val="0"/>
      <w:marBottom w:val="0"/>
      <w:divBdr>
        <w:top w:val="none" w:sz="0" w:space="0" w:color="auto"/>
        <w:left w:val="none" w:sz="0" w:space="0" w:color="auto"/>
        <w:bottom w:val="none" w:sz="0" w:space="0" w:color="auto"/>
        <w:right w:val="none" w:sz="0" w:space="0" w:color="auto"/>
      </w:divBdr>
    </w:div>
    <w:div w:id="204412490">
      <w:bodyDiv w:val="1"/>
      <w:marLeft w:val="0"/>
      <w:marRight w:val="0"/>
      <w:marTop w:val="0"/>
      <w:marBottom w:val="0"/>
      <w:divBdr>
        <w:top w:val="none" w:sz="0" w:space="0" w:color="auto"/>
        <w:left w:val="none" w:sz="0" w:space="0" w:color="auto"/>
        <w:bottom w:val="none" w:sz="0" w:space="0" w:color="auto"/>
        <w:right w:val="none" w:sz="0" w:space="0" w:color="auto"/>
      </w:divBdr>
    </w:div>
    <w:div w:id="424033885">
      <w:bodyDiv w:val="1"/>
      <w:marLeft w:val="0"/>
      <w:marRight w:val="0"/>
      <w:marTop w:val="0"/>
      <w:marBottom w:val="0"/>
      <w:divBdr>
        <w:top w:val="none" w:sz="0" w:space="0" w:color="auto"/>
        <w:left w:val="none" w:sz="0" w:space="0" w:color="auto"/>
        <w:bottom w:val="none" w:sz="0" w:space="0" w:color="auto"/>
        <w:right w:val="none" w:sz="0" w:space="0" w:color="auto"/>
      </w:divBdr>
    </w:div>
    <w:div w:id="967665463">
      <w:bodyDiv w:val="1"/>
      <w:marLeft w:val="0"/>
      <w:marRight w:val="0"/>
      <w:marTop w:val="0"/>
      <w:marBottom w:val="0"/>
      <w:divBdr>
        <w:top w:val="none" w:sz="0" w:space="0" w:color="auto"/>
        <w:left w:val="none" w:sz="0" w:space="0" w:color="auto"/>
        <w:bottom w:val="none" w:sz="0" w:space="0" w:color="auto"/>
        <w:right w:val="none" w:sz="0" w:space="0" w:color="auto"/>
      </w:divBdr>
    </w:div>
    <w:div w:id="1708407163">
      <w:bodyDiv w:val="1"/>
      <w:marLeft w:val="0"/>
      <w:marRight w:val="0"/>
      <w:marTop w:val="0"/>
      <w:marBottom w:val="0"/>
      <w:divBdr>
        <w:top w:val="none" w:sz="0" w:space="0" w:color="auto"/>
        <w:left w:val="none" w:sz="0" w:space="0" w:color="auto"/>
        <w:bottom w:val="none" w:sz="0" w:space="0" w:color="auto"/>
        <w:right w:val="none" w:sz="0" w:space="0" w:color="auto"/>
      </w:divBdr>
    </w:div>
    <w:div w:id="208857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2/cop-12-dec-27-e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05/full/cop-05-dec-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01/full/cop-01-dec-es.pdf" TargetMode="External"/><Relationship Id="rId20" Type="http://schemas.openxmlformats.org/officeDocument/2006/relationships/hyperlink" Target="https://www.cbd.int/doc/decisions/np-mop-01/np-mop-01-dec-12-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op-13/cop-13-dec-33-en.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decisions/mop-07/mop-07-dec-09-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0FBA093D03AA40D3B5552A05951AFA73"/>
        <w:category>
          <w:name w:val="General"/>
          <w:gallery w:val="placeholder"/>
        </w:category>
        <w:types>
          <w:type w:val="bbPlcHdr"/>
        </w:types>
        <w:behaviors>
          <w:behavior w:val="content"/>
        </w:behaviors>
        <w:guid w:val="{AD17EC66-0AE3-4371-89EE-26C8ED7B7079}"/>
      </w:docPartPr>
      <w:docPartBody>
        <w:p w:rsidR="00D43F44" w:rsidRDefault="007C4396" w:rsidP="007C4396">
          <w:pPr>
            <w:pStyle w:val="0FBA093D03AA40D3B5552A05951AFA73"/>
          </w:pPr>
          <w:r w:rsidRPr="007E02EB">
            <w:rPr>
              <w:rStyle w:val="PlaceholderText"/>
            </w:rPr>
            <w:t>[Subject]</w:t>
          </w:r>
        </w:p>
      </w:docPartBody>
    </w:docPart>
    <w:docPart>
      <w:docPartPr>
        <w:name w:val="A1D0620CB8144B3F8AF82944CFC272F1"/>
        <w:category>
          <w:name w:val="General"/>
          <w:gallery w:val="placeholder"/>
        </w:category>
        <w:types>
          <w:type w:val="bbPlcHdr"/>
        </w:types>
        <w:behaviors>
          <w:behavior w:val="content"/>
        </w:behaviors>
        <w:guid w:val="{6599A6E4-B19B-4580-9370-2E13F791FE70}"/>
      </w:docPartPr>
      <w:docPartBody>
        <w:p w:rsidR="0001335D" w:rsidRDefault="0001335D">
          <w:r w:rsidRPr="006B087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1335D"/>
    <w:rsid w:val="00025FA8"/>
    <w:rsid w:val="0004371D"/>
    <w:rsid w:val="000C44F5"/>
    <w:rsid w:val="001077FD"/>
    <w:rsid w:val="0018788D"/>
    <w:rsid w:val="00197679"/>
    <w:rsid w:val="001F530B"/>
    <w:rsid w:val="00204ED8"/>
    <w:rsid w:val="00293EF7"/>
    <w:rsid w:val="00334D4E"/>
    <w:rsid w:val="003862DC"/>
    <w:rsid w:val="004F086B"/>
    <w:rsid w:val="00500A2B"/>
    <w:rsid w:val="005153C5"/>
    <w:rsid w:val="0058288D"/>
    <w:rsid w:val="00590CF3"/>
    <w:rsid w:val="005E1DAB"/>
    <w:rsid w:val="0061507A"/>
    <w:rsid w:val="006801B3"/>
    <w:rsid w:val="007743E0"/>
    <w:rsid w:val="007C4396"/>
    <w:rsid w:val="00810A55"/>
    <w:rsid w:val="008350F9"/>
    <w:rsid w:val="00840476"/>
    <w:rsid w:val="008C6619"/>
    <w:rsid w:val="008D420E"/>
    <w:rsid w:val="00944794"/>
    <w:rsid w:val="0098642F"/>
    <w:rsid w:val="00C9570A"/>
    <w:rsid w:val="00CD0B52"/>
    <w:rsid w:val="00D10070"/>
    <w:rsid w:val="00D43F44"/>
    <w:rsid w:val="00DC5AE1"/>
    <w:rsid w:val="00E42A32"/>
    <w:rsid w:val="00E75D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1335D"/>
    <w:rPr>
      <w:color w:val="808080"/>
    </w:rPr>
  </w:style>
  <w:style w:type="paragraph" w:customStyle="1" w:styleId="0FBA093D03AA40D3B5552A05951AFA73">
    <w:name w:val="0FBA093D03AA40D3B5552A05951AFA73"/>
    <w:rsid w:val="007C43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2B8975-8984-4405-AA1D-8DA4D37FC4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C14649-4B9D-4417-B7FD-B496CDD69B33}">
  <ds:schemaRefs>
    <ds:schemaRef ds:uri="http://schemas.microsoft.com/sharepoint/v3/contenttype/forms"/>
  </ds:schemaRefs>
</ds:datastoreItem>
</file>

<file path=customXml/itemProps4.xml><?xml version="1.0" encoding="utf-8"?>
<ds:datastoreItem xmlns:ds="http://schemas.openxmlformats.org/officeDocument/2006/customXml" ds:itemID="{4DB9E2B0-80B2-43A0-9435-F05D44B6C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A5AECB-FBC2-4481-92DE-A6CCC250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6</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PROGRAMA PROVISIONAL ANOTADO</vt:lpstr>
    </vt:vector>
  </TitlesOfParts>
  <Company>SCBD</Company>
  <LinksUpToDate>false</LinksUpToDate>
  <CharactersWithSpaces>20336</CharactersWithSpaces>
  <SharedDoc>false</SharedDoc>
  <HLinks>
    <vt:vector size="42" baseType="variant">
      <vt:variant>
        <vt:i4>7274593</vt:i4>
      </vt:variant>
      <vt:variant>
        <vt:i4>18</vt:i4>
      </vt:variant>
      <vt:variant>
        <vt:i4>0</vt:i4>
      </vt:variant>
      <vt:variant>
        <vt:i4>5</vt:i4>
      </vt:variant>
      <vt:variant>
        <vt:lpwstr>https://www.cbd.int/decisions/cop/?m=cop-04</vt:lpwstr>
      </vt:variant>
      <vt:variant>
        <vt:lpwstr/>
      </vt:variant>
      <vt:variant>
        <vt:i4>7733296</vt:i4>
      </vt:variant>
      <vt:variant>
        <vt:i4>15</vt:i4>
      </vt:variant>
      <vt:variant>
        <vt:i4>0</vt:i4>
      </vt:variant>
      <vt:variant>
        <vt:i4>5</vt:i4>
      </vt:variant>
      <vt:variant>
        <vt:lpwstr>https://www.cbd.int/doc/decisions/np-mop-01/np-mop-01-dec-12-en.pdf</vt:lpwstr>
      </vt:variant>
      <vt:variant>
        <vt:lpwstr/>
      </vt:variant>
      <vt:variant>
        <vt:i4>655430</vt:i4>
      </vt:variant>
      <vt:variant>
        <vt:i4>12</vt:i4>
      </vt:variant>
      <vt:variant>
        <vt:i4>0</vt:i4>
      </vt:variant>
      <vt:variant>
        <vt:i4>5</vt:i4>
      </vt:variant>
      <vt:variant>
        <vt:lpwstr>https://www.cbd.int/doc/decisions/mop-07/mop-07-dec-09-en.pdf</vt:lpwstr>
      </vt:variant>
      <vt:variant>
        <vt:lpwstr/>
      </vt:variant>
      <vt:variant>
        <vt:i4>917582</vt:i4>
      </vt:variant>
      <vt:variant>
        <vt:i4>9</vt:i4>
      </vt:variant>
      <vt:variant>
        <vt:i4>0</vt:i4>
      </vt:variant>
      <vt:variant>
        <vt:i4>5</vt:i4>
      </vt:variant>
      <vt:variant>
        <vt:lpwstr>https://www.cbd.int/doc/decisions/cop-12/cop-12-dec-27-en.pdf</vt:lpwstr>
      </vt:variant>
      <vt:variant>
        <vt:lpwstr/>
      </vt:variant>
      <vt:variant>
        <vt:i4>458827</vt:i4>
      </vt:variant>
      <vt:variant>
        <vt:i4>6</vt:i4>
      </vt:variant>
      <vt:variant>
        <vt:i4>0</vt:i4>
      </vt:variant>
      <vt:variant>
        <vt:i4>5</vt:i4>
      </vt:variant>
      <vt:variant>
        <vt:lpwstr>https://www.cbd.int/decision/cop/?id=7162</vt:lpwstr>
      </vt:variant>
      <vt:variant>
        <vt:lpwstr/>
      </vt:variant>
      <vt:variant>
        <vt:i4>655438</vt:i4>
      </vt:variant>
      <vt:variant>
        <vt:i4>3</vt:i4>
      </vt:variant>
      <vt:variant>
        <vt:i4>0</vt:i4>
      </vt:variant>
      <vt:variant>
        <vt:i4>5</vt:i4>
      </vt:variant>
      <vt:variant>
        <vt:lpwstr>https://www.cbd.int/doc/decisions/cop-01/cop-01-dec-01-en.pdf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PROVISIONAL ANOTADO</dc:title>
  <dc:subject>CBD/CP/MOP/10/1/Add.1</dc:subject>
  <dc:creator>SCBD</dc:creator>
  <cp:keywords>Conference of the Parties serving as the meeting of the Parties to the Cartagena Protocol on Biosafety, tenth meeting, Kunming, China, 11-15 October 2021</cp:keywords>
  <dc:description/>
  <cp:lastModifiedBy>Angela Xuehe Yan</cp:lastModifiedBy>
  <cp:revision>32</cp:revision>
  <cp:lastPrinted>2021-09-02T16:36:00Z</cp:lastPrinted>
  <dcterms:created xsi:type="dcterms:W3CDTF">2021-09-01T15:44:00Z</dcterms:created>
  <dcterms:modified xsi:type="dcterms:W3CDTF">2021-09-02T20:01:00Z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