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4" w:type="dxa"/>
        <w:tblInd w:w="-318" w:type="dxa"/>
        <w:tblBorders>
          <w:bottom w:val="single" w:sz="36" w:space="0" w:color="000000"/>
        </w:tblBorders>
        <w:tblLayout w:type="fixed"/>
        <w:tblLook w:val="0000" w:firstRow="0" w:lastRow="0" w:firstColumn="0" w:lastColumn="0" w:noHBand="0" w:noVBand="0"/>
      </w:tblPr>
      <w:tblGrid>
        <w:gridCol w:w="852"/>
        <w:gridCol w:w="2614"/>
        <w:gridCol w:w="1550"/>
        <w:gridCol w:w="1364"/>
        <w:gridCol w:w="3544"/>
      </w:tblGrid>
      <w:tr w:rsidR="00F9758C" w:rsidRPr="00EB2C6E" w:rsidTr="00BA086A">
        <w:tc>
          <w:tcPr>
            <w:tcW w:w="852" w:type="dxa"/>
            <w:tcBorders>
              <w:top w:val="nil"/>
              <w:bottom w:val="single" w:sz="12" w:space="0" w:color="000000"/>
              <w:right w:val="nil"/>
            </w:tcBorders>
            <w:shd w:val="clear" w:color="auto" w:fill="auto"/>
          </w:tcPr>
          <w:p w:rsidR="00F9758C" w:rsidRPr="00EB2C6E" w:rsidRDefault="0093226C" w:rsidP="00F9758C">
            <w:pPr>
              <w:jc w:val="left"/>
              <w:rPr>
                <w:noProof/>
                <w:snapToGrid w:val="0"/>
                <w:kern w:val="22"/>
                <w:lang w:eastAsia="zh-CN"/>
              </w:rPr>
            </w:pPr>
            <w:r>
              <w:rPr>
                <w:noProof/>
                <w:kern w:val="22"/>
                <w:lang w:val="it-IT" w:eastAsia="it-IT"/>
              </w:rPr>
              <w:drawing>
                <wp:inline distT="0" distB="0" distL="0" distR="0" wp14:anchorId="5F2C6710" wp14:editId="457AB85D">
                  <wp:extent cx="476250" cy="40005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2614" w:type="dxa"/>
            <w:tcBorders>
              <w:top w:val="nil"/>
              <w:left w:val="nil"/>
              <w:bottom w:val="single" w:sz="12" w:space="0" w:color="000000"/>
              <w:right w:val="nil"/>
            </w:tcBorders>
            <w:shd w:val="clear" w:color="auto" w:fill="auto"/>
          </w:tcPr>
          <w:p w:rsidR="00F9758C" w:rsidRPr="003B758E" w:rsidRDefault="0093226C" w:rsidP="00F9758C">
            <w:pPr>
              <w:jc w:val="left"/>
              <w:rPr>
                <w:snapToGrid w:val="0"/>
                <w:kern w:val="22"/>
              </w:rPr>
            </w:pPr>
            <w:r>
              <w:rPr>
                <w:noProof/>
                <w:kern w:val="22"/>
                <w:lang w:val="it-IT" w:eastAsia="it-IT"/>
              </w:rPr>
              <w:drawing>
                <wp:inline distT="0" distB="0" distL="0" distR="0" wp14:anchorId="0FFFA2AD" wp14:editId="5D1086FC">
                  <wp:extent cx="342900" cy="400050"/>
                  <wp:effectExtent l="0" t="0" r="0" b="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6458" w:type="dxa"/>
            <w:gridSpan w:val="3"/>
            <w:tcBorders>
              <w:top w:val="nil"/>
              <w:left w:val="nil"/>
              <w:bottom w:val="single" w:sz="12" w:space="0" w:color="000000"/>
            </w:tcBorders>
            <w:shd w:val="clear" w:color="auto" w:fill="auto"/>
          </w:tcPr>
          <w:p w:rsidR="00F9758C" w:rsidRPr="0066706D" w:rsidRDefault="00F9758C" w:rsidP="00F9758C">
            <w:pPr>
              <w:tabs>
                <w:tab w:val="right" w:pos="7611"/>
              </w:tabs>
              <w:ind w:left="360" w:right="459"/>
              <w:jc w:val="right"/>
              <w:rPr>
                <w:rFonts w:ascii="Univers" w:hAnsi="Univers"/>
                <w:b/>
                <w:snapToGrid w:val="0"/>
                <w:kern w:val="22"/>
                <w:sz w:val="32"/>
              </w:rPr>
            </w:pPr>
            <w:r w:rsidRPr="0066706D">
              <w:rPr>
                <w:rFonts w:ascii="Univers" w:hAnsi="Univers"/>
                <w:b/>
                <w:snapToGrid w:val="0"/>
                <w:kern w:val="22"/>
                <w:sz w:val="32"/>
              </w:rPr>
              <w:t>CBD</w:t>
            </w:r>
          </w:p>
        </w:tc>
      </w:tr>
      <w:tr w:rsidR="00F16F02" w:rsidRPr="00EB2C6E" w:rsidTr="00553595">
        <w:trPr>
          <w:trHeight w:val="1693"/>
        </w:trPr>
        <w:tc>
          <w:tcPr>
            <w:tcW w:w="5016" w:type="dxa"/>
            <w:gridSpan w:val="3"/>
            <w:tcBorders>
              <w:top w:val="nil"/>
              <w:bottom w:val="single" w:sz="36" w:space="0" w:color="000000"/>
            </w:tcBorders>
          </w:tcPr>
          <w:p w:rsidR="00F16F02" w:rsidRPr="003B758E" w:rsidRDefault="00F16F02">
            <w:pPr>
              <w:rPr>
                <w:snapToGrid w:val="0"/>
                <w:kern w:val="22"/>
              </w:rPr>
            </w:pPr>
          </w:p>
          <w:p w:rsidR="00F16F02" w:rsidRPr="003B758E" w:rsidRDefault="0093226C" w:rsidP="00736BC2">
            <w:pPr>
              <w:rPr>
                <w:snapToGrid w:val="0"/>
                <w:kern w:val="22"/>
              </w:rPr>
            </w:pPr>
            <w:r>
              <w:rPr>
                <w:noProof/>
                <w:kern w:val="22"/>
                <w:lang w:val="it-IT" w:eastAsia="it-IT"/>
              </w:rPr>
              <w:drawing>
                <wp:inline distT="0" distB="0" distL="0" distR="0" wp14:anchorId="5E175DF7" wp14:editId="417CC690">
                  <wp:extent cx="2886075" cy="1076325"/>
                  <wp:effectExtent l="0" t="0" r="0" b="952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075" cy="1076325"/>
                          </a:xfrm>
                          <a:prstGeom prst="rect">
                            <a:avLst/>
                          </a:prstGeom>
                          <a:noFill/>
                          <a:ln>
                            <a:noFill/>
                          </a:ln>
                        </pic:spPr>
                      </pic:pic>
                    </a:graphicData>
                  </a:graphic>
                </wp:inline>
              </w:drawing>
            </w:r>
          </w:p>
          <w:p w:rsidR="00F16F02" w:rsidRPr="0066706D" w:rsidRDefault="00F16F02">
            <w:pPr>
              <w:rPr>
                <w:rFonts w:ascii="Univers" w:hAnsi="Univers"/>
                <w:snapToGrid w:val="0"/>
                <w:kern w:val="22"/>
                <w:sz w:val="32"/>
              </w:rPr>
            </w:pPr>
          </w:p>
        </w:tc>
        <w:tc>
          <w:tcPr>
            <w:tcW w:w="1364" w:type="dxa"/>
            <w:tcBorders>
              <w:top w:val="nil"/>
              <w:bottom w:val="single" w:sz="36" w:space="0" w:color="000000"/>
            </w:tcBorders>
          </w:tcPr>
          <w:p w:rsidR="00150953" w:rsidRPr="00A502CC" w:rsidRDefault="00150953" w:rsidP="00A502CC">
            <w:pPr>
              <w:pStyle w:val="Header"/>
              <w:tabs>
                <w:tab w:val="clear" w:pos="4320"/>
                <w:tab w:val="clear" w:pos="8640"/>
              </w:tabs>
              <w:jc w:val="center"/>
              <w:rPr>
                <w:b/>
                <w:snapToGrid w:val="0"/>
                <w:color w:val="FF0000"/>
                <w:kern w:val="22"/>
                <w:sz w:val="24"/>
              </w:rPr>
            </w:pPr>
          </w:p>
        </w:tc>
        <w:tc>
          <w:tcPr>
            <w:tcW w:w="3544" w:type="dxa"/>
            <w:tcBorders>
              <w:top w:val="nil"/>
              <w:bottom w:val="single" w:sz="36" w:space="0" w:color="000000"/>
            </w:tcBorders>
          </w:tcPr>
          <w:p w:rsidR="00F16F02" w:rsidRPr="00C7654B" w:rsidRDefault="00F16F02" w:rsidP="00342FF6">
            <w:pPr>
              <w:ind w:left="319"/>
              <w:rPr>
                <w:snapToGrid w:val="0"/>
                <w:kern w:val="22"/>
                <w:szCs w:val="22"/>
                <w:lang w:val="pt-BR"/>
              </w:rPr>
            </w:pPr>
            <w:r w:rsidRPr="00C7654B">
              <w:rPr>
                <w:snapToGrid w:val="0"/>
                <w:kern w:val="22"/>
                <w:szCs w:val="22"/>
                <w:lang w:val="pt-BR"/>
              </w:rPr>
              <w:t>Distr.</w:t>
            </w:r>
          </w:p>
          <w:p w:rsidR="00F16F02" w:rsidRPr="00C7654B" w:rsidRDefault="00F16F02" w:rsidP="00342FF6">
            <w:pPr>
              <w:ind w:left="319"/>
              <w:rPr>
                <w:snapToGrid w:val="0"/>
                <w:kern w:val="22"/>
                <w:szCs w:val="22"/>
                <w:lang w:val="pt-BR"/>
              </w:rPr>
            </w:pPr>
            <w:r w:rsidRPr="00C7654B">
              <w:rPr>
                <w:snapToGrid w:val="0"/>
                <w:kern w:val="22"/>
                <w:szCs w:val="22"/>
                <w:lang w:val="pt-BR"/>
              </w:rPr>
              <w:t>GENERAL</w:t>
            </w:r>
          </w:p>
          <w:p w:rsidR="00F16F02" w:rsidRPr="00C7654B" w:rsidRDefault="00F16F02" w:rsidP="00342FF6">
            <w:pPr>
              <w:ind w:left="319"/>
              <w:rPr>
                <w:snapToGrid w:val="0"/>
                <w:kern w:val="22"/>
                <w:szCs w:val="22"/>
                <w:lang w:val="pt-BR"/>
              </w:rPr>
            </w:pPr>
          </w:p>
          <w:p w:rsidR="00332B2D" w:rsidRPr="00150953" w:rsidRDefault="00AC7373" w:rsidP="00342FF6">
            <w:pPr>
              <w:ind w:left="319"/>
              <w:rPr>
                <w:bCs/>
                <w:snapToGrid w:val="0"/>
                <w:kern w:val="22"/>
                <w:lang w:val="pt-BR"/>
              </w:rPr>
            </w:pPr>
            <w:r w:rsidRPr="00C7654B">
              <w:rPr>
                <w:bCs/>
                <w:snapToGrid w:val="0"/>
                <w:kern w:val="22"/>
                <w:lang w:val="pt-BR"/>
              </w:rPr>
              <w:t>CBD/</w:t>
            </w:r>
            <w:r w:rsidR="00305900" w:rsidRPr="00C7654B">
              <w:rPr>
                <w:bCs/>
                <w:snapToGrid w:val="0"/>
                <w:kern w:val="22"/>
                <w:lang w:val="pt-BR"/>
              </w:rPr>
              <w:t>IAS/</w:t>
            </w:r>
            <w:r w:rsidR="006B3187" w:rsidRPr="00C7654B">
              <w:rPr>
                <w:bCs/>
                <w:snapToGrid w:val="0"/>
                <w:kern w:val="22"/>
                <w:lang w:val="pt-BR"/>
              </w:rPr>
              <w:t>EM/2017/</w:t>
            </w:r>
            <w:r w:rsidR="006B3187" w:rsidRPr="00150953">
              <w:rPr>
                <w:bCs/>
                <w:snapToGrid w:val="0"/>
                <w:kern w:val="22"/>
                <w:lang w:val="pt-BR"/>
              </w:rPr>
              <w:t>1/</w:t>
            </w:r>
            <w:r w:rsidR="00150953">
              <w:rPr>
                <w:bCs/>
                <w:snapToGrid w:val="0"/>
                <w:kern w:val="22"/>
                <w:lang w:val="pt-BR"/>
              </w:rPr>
              <w:t>2</w:t>
            </w:r>
          </w:p>
          <w:p w:rsidR="00332B2D" w:rsidRPr="00EB2C6E" w:rsidRDefault="00C7654B" w:rsidP="00342FF6">
            <w:pPr>
              <w:ind w:left="319"/>
              <w:rPr>
                <w:snapToGrid w:val="0"/>
                <w:kern w:val="22"/>
                <w:szCs w:val="22"/>
              </w:rPr>
            </w:pPr>
            <w:r w:rsidRPr="00150953">
              <w:rPr>
                <w:snapToGrid w:val="0"/>
                <w:kern w:val="22"/>
                <w:szCs w:val="22"/>
              </w:rPr>
              <w:t>2</w:t>
            </w:r>
            <w:r w:rsidR="00342FF6" w:rsidRPr="00150953">
              <w:rPr>
                <w:snapToGrid w:val="0"/>
                <w:kern w:val="22"/>
                <w:szCs w:val="22"/>
              </w:rPr>
              <w:t>0</w:t>
            </w:r>
            <w:r w:rsidR="006B3187" w:rsidRPr="00150953">
              <w:rPr>
                <w:snapToGrid w:val="0"/>
                <w:kern w:val="22"/>
                <w:szCs w:val="22"/>
              </w:rPr>
              <w:t xml:space="preserve"> </w:t>
            </w:r>
            <w:r w:rsidRPr="00150953">
              <w:rPr>
                <w:snapToGrid w:val="0"/>
                <w:kern w:val="22"/>
                <w:szCs w:val="22"/>
              </w:rPr>
              <w:t>December</w:t>
            </w:r>
            <w:r w:rsidR="00332B2D" w:rsidRPr="00150953">
              <w:rPr>
                <w:snapToGrid w:val="0"/>
                <w:kern w:val="22"/>
                <w:szCs w:val="22"/>
              </w:rPr>
              <w:t xml:space="preserve"> 2017</w:t>
            </w:r>
          </w:p>
          <w:p w:rsidR="00F16F02" w:rsidRPr="003B758E" w:rsidRDefault="00F16F02" w:rsidP="00342FF6">
            <w:pPr>
              <w:ind w:left="319"/>
              <w:rPr>
                <w:snapToGrid w:val="0"/>
                <w:kern w:val="22"/>
                <w:szCs w:val="22"/>
              </w:rPr>
            </w:pPr>
          </w:p>
          <w:p w:rsidR="00F16F02" w:rsidRPr="0066706D" w:rsidRDefault="00F16F02" w:rsidP="00342FF6">
            <w:pPr>
              <w:ind w:left="319"/>
              <w:rPr>
                <w:snapToGrid w:val="0"/>
                <w:color w:val="FF0000"/>
                <w:kern w:val="22"/>
                <w:szCs w:val="22"/>
                <w:u w:val="single"/>
              </w:rPr>
            </w:pPr>
            <w:r w:rsidRPr="0066706D">
              <w:rPr>
                <w:snapToGrid w:val="0"/>
                <w:kern w:val="22"/>
                <w:szCs w:val="22"/>
              </w:rPr>
              <w:t>ENGLISH</w:t>
            </w:r>
            <w:r w:rsidR="00F9758C" w:rsidRPr="0066706D">
              <w:rPr>
                <w:snapToGrid w:val="0"/>
                <w:kern w:val="22"/>
                <w:szCs w:val="22"/>
              </w:rPr>
              <w:t xml:space="preserve"> ONLY</w:t>
            </w:r>
          </w:p>
        </w:tc>
      </w:tr>
    </w:tbl>
    <w:p w:rsidR="00CA6B87" w:rsidRPr="003B758E" w:rsidRDefault="009032B4" w:rsidP="00EB2C6E">
      <w:pPr>
        <w:pStyle w:val="meetingname"/>
        <w:ind w:right="3690"/>
        <w:rPr>
          <w:kern w:val="22"/>
          <w:szCs w:val="22"/>
        </w:rPr>
      </w:pPr>
      <w:bookmarkStart w:id="0" w:name="Meeting"/>
      <w:r w:rsidRPr="00EB2C6E">
        <w:rPr>
          <w:kern w:val="22"/>
          <w:szCs w:val="22"/>
        </w:rPr>
        <w:t>Expert Workshop on Invasive Alien Species in Preparation for the twenty-second meeting of the Subsidiary Body on Scientific, Technical and Technological Advice</w:t>
      </w:r>
      <w:r w:rsidR="00392641" w:rsidRPr="00EB2C6E">
        <w:rPr>
          <w:kern w:val="22"/>
          <w:szCs w:val="22"/>
        </w:rPr>
        <w:t xml:space="preserve"> </w:t>
      </w:r>
      <w:bookmarkEnd w:id="0"/>
    </w:p>
    <w:p w:rsidR="00CA6B87" w:rsidRPr="003B758E" w:rsidRDefault="009032B4" w:rsidP="00CA6B87">
      <w:pPr>
        <w:rPr>
          <w:snapToGrid w:val="0"/>
          <w:kern w:val="22"/>
          <w:szCs w:val="22"/>
          <w:lang w:eastAsia="nb-NO"/>
        </w:rPr>
      </w:pPr>
      <w:r w:rsidRPr="00EB2C6E">
        <w:rPr>
          <w:snapToGrid w:val="0"/>
          <w:kern w:val="22"/>
          <w:szCs w:val="22"/>
          <w:shd w:val="clear" w:color="auto" w:fill="FFFFFF"/>
        </w:rPr>
        <w:t>Montreal, Canada</w:t>
      </w:r>
      <w:r w:rsidR="003B758E" w:rsidRPr="00EB2C6E">
        <w:rPr>
          <w:snapToGrid w:val="0"/>
          <w:kern w:val="22"/>
          <w:szCs w:val="22"/>
          <w:shd w:val="clear" w:color="auto" w:fill="FFFFFF"/>
        </w:rPr>
        <w:t>,</w:t>
      </w:r>
      <w:r w:rsidR="00332B2D" w:rsidRPr="00EB2C6E">
        <w:rPr>
          <w:snapToGrid w:val="0"/>
          <w:kern w:val="22"/>
          <w:szCs w:val="22"/>
          <w:shd w:val="clear" w:color="auto" w:fill="FFFFFF"/>
        </w:rPr>
        <w:t xml:space="preserve"> </w:t>
      </w:r>
      <w:r w:rsidRPr="00EB2C6E">
        <w:rPr>
          <w:rFonts w:eastAsia="Batang"/>
          <w:snapToGrid w:val="0"/>
          <w:kern w:val="22"/>
          <w:szCs w:val="22"/>
          <w:lang w:eastAsia="ko-KR"/>
        </w:rPr>
        <w:t>6</w:t>
      </w:r>
      <w:r w:rsidR="00476164" w:rsidRPr="00EB2C6E">
        <w:rPr>
          <w:rFonts w:eastAsia="Batang"/>
          <w:snapToGrid w:val="0"/>
          <w:kern w:val="22"/>
          <w:szCs w:val="22"/>
          <w:lang w:eastAsia="ko-KR"/>
        </w:rPr>
        <w:t>–</w:t>
      </w:r>
      <w:r w:rsidRPr="00EB2C6E">
        <w:rPr>
          <w:rFonts w:eastAsia="Batang"/>
          <w:snapToGrid w:val="0"/>
          <w:kern w:val="22"/>
          <w:szCs w:val="22"/>
          <w:lang w:eastAsia="ko-KR"/>
        </w:rPr>
        <w:t>9 December</w:t>
      </w:r>
      <w:r w:rsidR="00476164" w:rsidRPr="00EB2C6E">
        <w:rPr>
          <w:rFonts w:eastAsia="Batang"/>
          <w:snapToGrid w:val="0"/>
          <w:kern w:val="22"/>
          <w:szCs w:val="22"/>
          <w:lang w:eastAsia="ko-KR"/>
        </w:rPr>
        <w:t xml:space="preserve"> 2017</w:t>
      </w:r>
    </w:p>
    <w:p w:rsidR="00406BC6" w:rsidRDefault="00C7654B" w:rsidP="00353BF8">
      <w:pPr>
        <w:pStyle w:val="Heading1"/>
        <w:tabs>
          <w:tab w:val="clear" w:pos="720"/>
        </w:tabs>
        <w:spacing w:line="360" w:lineRule="auto"/>
        <w:ind w:left="0" w:firstLine="0"/>
        <w:rPr>
          <w:bCs/>
          <w:snapToGrid w:val="0"/>
          <w:kern w:val="22"/>
          <w:szCs w:val="22"/>
        </w:rPr>
      </w:pPr>
      <w:r>
        <w:rPr>
          <w:bCs/>
          <w:snapToGrid w:val="0"/>
          <w:kern w:val="22"/>
          <w:szCs w:val="22"/>
        </w:rPr>
        <w:t>WORKSHOP REPORT</w:t>
      </w:r>
      <w:r w:rsidR="00574BA5" w:rsidRPr="00574BA5">
        <w:rPr>
          <w:rStyle w:val="FootnoteReference"/>
          <w:bCs/>
          <w:snapToGrid w:val="0"/>
          <w:kern w:val="22"/>
          <w:szCs w:val="22"/>
          <w:u w:val="none"/>
        </w:rPr>
        <w:footnoteReference w:customMarkFollows="1" w:id="1"/>
        <w:t>*</w:t>
      </w:r>
    </w:p>
    <w:p w:rsidR="00670A51" w:rsidRDefault="00670A51" w:rsidP="00670A51">
      <w:pPr>
        <w:jc w:val="center"/>
        <w:rPr>
          <w:i/>
        </w:rPr>
      </w:pPr>
      <w:r>
        <w:rPr>
          <w:i/>
        </w:rPr>
        <w:t>Chair:</w:t>
      </w:r>
      <w:r w:rsidR="00A92163">
        <w:rPr>
          <w:i/>
        </w:rPr>
        <w:t xml:space="preserve"> </w:t>
      </w:r>
      <w:r>
        <w:rPr>
          <w:i/>
        </w:rPr>
        <w:t>Mr. Piero Genovesi (</w:t>
      </w:r>
      <w:r w:rsidR="005A1D0C">
        <w:rPr>
          <w:i/>
        </w:rPr>
        <w:t xml:space="preserve">ISPRA and </w:t>
      </w:r>
      <w:r w:rsidR="00A92163">
        <w:rPr>
          <w:i/>
        </w:rPr>
        <w:t>IUCN-</w:t>
      </w:r>
      <w:r>
        <w:rPr>
          <w:i/>
        </w:rPr>
        <w:t xml:space="preserve"> Invasive Species Specialist Group)</w:t>
      </w:r>
    </w:p>
    <w:p w:rsidR="00670A51" w:rsidRPr="004C4C7C" w:rsidRDefault="00670A51" w:rsidP="00670A51">
      <w:pPr>
        <w:jc w:val="center"/>
        <w:rPr>
          <w:i/>
          <w:lang w:val="fr-CA"/>
        </w:rPr>
      </w:pPr>
      <w:r w:rsidRPr="004C4C7C">
        <w:rPr>
          <w:i/>
          <w:lang w:val="fr-CA"/>
        </w:rPr>
        <w:t xml:space="preserve">Rapporteur: Ms. Anna </w:t>
      </w:r>
      <w:proofErr w:type="spellStart"/>
      <w:r w:rsidRPr="004C4C7C">
        <w:rPr>
          <w:i/>
          <w:lang w:val="fr-CA"/>
        </w:rPr>
        <w:t>Isabela</w:t>
      </w:r>
      <w:proofErr w:type="spellEnd"/>
      <w:r w:rsidRPr="004C4C7C">
        <w:rPr>
          <w:i/>
          <w:lang w:val="fr-CA"/>
        </w:rPr>
        <w:t xml:space="preserve"> Gonzalez </w:t>
      </w:r>
      <w:r w:rsidR="00150953" w:rsidRPr="004C4C7C">
        <w:rPr>
          <w:i/>
          <w:lang w:val="fr-CA"/>
        </w:rPr>
        <w:t xml:space="preserve">Martinez </w:t>
      </w:r>
      <w:r w:rsidRPr="004C4C7C">
        <w:rPr>
          <w:i/>
          <w:lang w:val="fr-CA"/>
        </w:rPr>
        <w:t>(Mexico)</w:t>
      </w:r>
    </w:p>
    <w:p w:rsidR="00282108" w:rsidRDefault="00282108" w:rsidP="00D53305">
      <w:pPr>
        <w:pStyle w:val="Heading1"/>
        <w:numPr>
          <w:ilvl w:val="0"/>
          <w:numId w:val="14"/>
        </w:numPr>
        <w:tabs>
          <w:tab w:val="clear" w:pos="720"/>
        </w:tabs>
        <w:spacing w:line="360" w:lineRule="auto"/>
        <w:ind w:left="0" w:firstLine="0"/>
        <w:rPr>
          <w:bCs/>
          <w:snapToGrid w:val="0"/>
          <w:kern w:val="22"/>
          <w:szCs w:val="22"/>
        </w:rPr>
      </w:pPr>
      <w:r w:rsidRPr="00353BF8">
        <w:rPr>
          <w:bCs/>
          <w:snapToGrid w:val="0"/>
          <w:kern w:val="22"/>
          <w:szCs w:val="22"/>
        </w:rPr>
        <w:t>INTRODUCTION</w:t>
      </w:r>
    </w:p>
    <w:p w:rsidR="00670A51" w:rsidRPr="00670A51" w:rsidRDefault="00670A51" w:rsidP="00670A51">
      <w:pPr>
        <w:pStyle w:val="Para1"/>
        <w:numPr>
          <w:ilvl w:val="0"/>
          <w:numId w:val="6"/>
        </w:numPr>
        <w:ind w:left="0" w:firstLine="0"/>
        <w:rPr>
          <w:kern w:val="22"/>
          <w:szCs w:val="22"/>
        </w:rPr>
      </w:pPr>
      <w:r>
        <w:rPr>
          <w:kern w:val="22"/>
          <w:szCs w:val="22"/>
        </w:rPr>
        <w:t xml:space="preserve">The expert workshop on invasive alien species in preparation for the twenty-second meeting of the Subsidiary Body on Scientific, Technical and Technological Advice was held at </w:t>
      </w:r>
      <w:r w:rsidRPr="00670A51">
        <w:rPr>
          <w:kern w:val="22"/>
          <w:szCs w:val="22"/>
        </w:rPr>
        <w:t>the conference room of the Secretariat of the Commission for Environmental Cooperation (CEC), on 393 St-Jacques Street West, Suite 200, Montreal</w:t>
      </w:r>
      <w:r>
        <w:rPr>
          <w:kern w:val="22"/>
          <w:szCs w:val="22"/>
        </w:rPr>
        <w:t>, Canada from 6 to 8 December 2017. The list of participants can be found in annex I of this document.</w:t>
      </w:r>
    </w:p>
    <w:p w:rsidR="00670A51" w:rsidRPr="00670A51" w:rsidRDefault="00670A51" w:rsidP="00D53305">
      <w:pPr>
        <w:pStyle w:val="Heading2"/>
        <w:numPr>
          <w:ilvl w:val="0"/>
          <w:numId w:val="14"/>
        </w:numPr>
      </w:pPr>
      <w:r>
        <w:rPr>
          <w:i w:val="0"/>
        </w:rPr>
        <w:t>BACKGROUND</w:t>
      </w:r>
    </w:p>
    <w:p w:rsidR="007B77F7" w:rsidRPr="007B77F7" w:rsidRDefault="00FB2037" w:rsidP="00D06EA4">
      <w:pPr>
        <w:pStyle w:val="Para1"/>
        <w:numPr>
          <w:ilvl w:val="0"/>
          <w:numId w:val="6"/>
        </w:numPr>
        <w:ind w:left="0" w:firstLine="0"/>
        <w:rPr>
          <w:kern w:val="22"/>
          <w:szCs w:val="22"/>
        </w:rPr>
      </w:pPr>
      <w:r w:rsidRPr="007B77F7">
        <w:rPr>
          <w:kern w:val="22"/>
          <w:szCs w:val="22"/>
        </w:rPr>
        <w:t>In decision XIII/13 on invasive alien species the Conference of the Parties requested the Executive Secretary to explore or develop various guidance, and collect information and report to the Subsidiary Body on Scientific, Technical and Technolog</w:t>
      </w:r>
      <w:bookmarkStart w:id="1" w:name="_GoBack"/>
      <w:bookmarkEnd w:id="1"/>
      <w:r w:rsidRPr="007B77F7">
        <w:rPr>
          <w:kern w:val="22"/>
          <w:szCs w:val="22"/>
        </w:rPr>
        <w:t xml:space="preserve">ical Advice (SBSTTA) </w:t>
      </w:r>
      <w:r w:rsidR="007B77F7" w:rsidRPr="007B77F7">
        <w:rPr>
          <w:kern w:val="22"/>
          <w:szCs w:val="22"/>
        </w:rPr>
        <w:t>Advice prior to the fourteenth meeting of the Conference of the Parties, as follows:</w:t>
      </w:r>
    </w:p>
    <w:p w:rsidR="007B77F7" w:rsidRPr="007B77F7" w:rsidRDefault="007B77F7" w:rsidP="00413295">
      <w:pPr>
        <w:pStyle w:val="Para1"/>
        <w:numPr>
          <w:ilvl w:val="0"/>
          <w:numId w:val="13"/>
        </w:numPr>
        <w:ind w:left="0" w:firstLine="709"/>
        <w:rPr>
          <w:kern w:val="22"/>
          <w:szCs w:val="22"/>
        </w:rPr>
      </w:pPr>
      <w:r w:rsidRPr="007B77F7">
        <w:rPr>
          <w:kern w:val="22"/>
          <w:szCs w:val="22"/>
        </w:rPr>
        <w:t>To prepare draft supplemental guidance to incorporate unintentional introductions, as referred to in the fifth preambular paragraph above, to the existing Guidance on Devising and Implementing Measures to Address the Risks Associated with the Introduction of Alien Species as Pets, Aquarium and Terrarium Species, and as Live Bait and Live Food (decision XIII/13, para</w:t>
      </w:r>
      <w:r w:rsidR="00574BA5">
        <w:rPr>
          <w:kern w:val="22"/>
          <w:szCs w:val="22"/>
        </w:rPr>
        <w:t>.</w:t>
      </w:r>
      <w:r w:rsidRPr="007B77F7">
        <w:rPr>
          <w:kern w:val="22"/>
          <w:szCs w:val="22"/>
        </w:rPr>
        <w:t xml:space="preserve"> 5);</w:t>
      </w:r>
    </w:p>
    <w:p w:rsidR="007B77F7" w:rsidRDefault="007B77F7" w:rsidP="00413295">
      <w:pPr>
        <w:pStyle w:val="Para1"/>
        <w:numPr>
          <w:ilvl w:val="0"/>
          <w:numId w:val="13"/>
        </w:numPr>
        <w:ind w:left="0" w:firstLine="709"/>
        <w:rPr>
          <w:kern w:val="22"/>
          <w:szCs w:val="22"/>
        </w:rPr>
      </w:pPr>
      <w:r w:rsidRPr="007B77F7">
        <w:rPr>
          <w:kern w:val="22"/>
          <w:szCs w:val="22"/>
        </w:rPr>
        <w:t>To explore with the World Customs Organization, as well as member organizations of the inter-agency liaison group on invasive alien species, the need for tools or guidance for Parties that may assist national customs authorities in facilitating the necessary control of live alien species via e-commerce (para. 9 (a));</w:t>
      </w:r>
    </w:p>
    <w:p w:rsidR="007B77F7" w:rsidRPr="007B77F7" w:rsidRDefault="007B77F7" w:rsidP="00413295">
      <w:pPr>
        <w:pStyle w:val="Para1"/>
        <w:numPr>
          <w:ilvl w:val="0"/>
          <w:numId w:val="13"/>
        </w:numPr>
        <w:ind w:left="0" w:firstLine="709"/>
        <w:rPr>
          <w:kern w:val="22"/>
          <w:szCs w:val="22"/>
        </w:rPr>
      </w:pPr>
      <w:r>
        <w:rPr>
          <w:kern w:val="22"/>
          <w:szCs w:val="22"/>
        </w:rPr>
        <w:t>T</w:t>
      </w:r>
      <w:r w:rsidRPr="007B77F7">
        <w:rPr>
          <w:kern w:val="22"/>
          <w:szCs w:val="22"/>
        </w:rPr>
        <w:t>o identify options for supplementing risk assessment and risk management standards for the use of biological control agents against invasive alien species, including in aquatic environments</w:t>
      </w:r>
      <w:r>
        <w:rPr>
          <w:kern w:val="22"/>
          <w:szCs w:val="22"/>
        </w:rPr>
        <w:t xml:space="preserve"> (para. 16);</w:t>
      </w:r>
    </w:p>
    <w:p w:rsidR="007B77F7" w:rsidRPr="007B77F7" w:rsidRDefault="007B77F7" w:rsidP="00413295">
      <w:pPr>
        <w:pStyle w:val="Para1"/>
        <w:numPr>
          <w:ilvl w:val="0"/>
          <w:numId w:val="13"/>
        </w:numPr>
        <w:ind w:left="0" w:firstLine="709"/>
        <w:rPr>
          <w:kern w:val="22"/>
          <w:szCs w:val="22"/>
        </w:rPr>
      </w:pPr>
      <w:r w:rsidRPr="007B77F7">
        <w:rPr>
          <w:kern w:val="22"/>
          <w:szCs w:val="22"/>
        </w:rPr>
        <w:t>To develop technical guidance for conducting cost-benefit and cost-effectiveness analysis for the management of invasive alien species (para. 17(b));</w:t>
      </w:r>
    </w:p>
    <w:p w:rsidR="007B77F7" w:rsidRPr="007B77F7" w:rsidRDefault="007B77F7" w:rsidP="00413295">
      <w:pPr>
        <w:pStyle w:val="Para1"/>
        <w:numPr>
          <w:ilvl w:val="0"/>
          <w:numId w:val="13"/>
        </w:numPr>
        <w:ind w:left="0" w:firstLine="709"/>
        <w:rPr>
          <w:kern w:val="22"/>
          <w:szCs w:val="22"/>
        </w:rPr>
      </w:pPr>
      <w:r w:rsidRPr="007B77F7">
        <w:rPr>
          <w:kern w:val="22"/>
          <w:szCs w:val="22"/>
        </w:rPr>
        <w:lastRenderedPageBreak/>
        <w:t>To develop guidance on invasive alien species management that takes into consideration the impacts of climate change, natural disasters and land-use change on the management of biological invasions (para. 17(c));</w:t>
      </w:r>
    </w:p>
    <w:p w:rsidR="00FB2037" w:rsidRPr="007B77F7" w:rsidRDefault="007B77F7" w:rsidP="00413295">
      <w:pPr>
        <w:pStyle w:val="Para1"/>
        <w:numPr>
          <w:ilvl w:val="0"/>
          <w:numId w:val="13"/>
        </w:numPr>
        <w:ind w:left="0" w:firstLine="709"/>
        <w:rPr>
          <w:kern w:val="22"/>
          <w:szCs w:val="22"/>
        </w:rPr>
      </w:pPr>
      <w:r w:rsidRPr="007B77F7">
        <w:rPr>
          <w:kern w:val="22"/>
          <w:szCs w:val="22"/>
        </w:rPr>
        <w:t>To compile information on the potential consequences of invasive alien species on social, economic and cultural values, including the values and priorities of indigenous peoples and local communities (para. 17(d)).</w:t>
      </w:r>
    </w:p>
    <w:p w:rsidR="00784BF4" w:rsidRDefault="007B77F7" w:rsidP="007B77F7">
      <w:pPr>
        <w:pStyle w:val="Para1"/>
        <w:numPr>
          <w:ilvl w:val="0"/>
          <w:numId w:val="6"/>
        </w:numPr>
        <w:ind w:left="0" w:firstLine="0"/>
        <w:rPr>
          <w:kern w:val="22"/>
          <w:szCs w:val="22"/>
        </w:rPr>
      </w:pPr>
      <w:r w:rsidRPr="007B77F7">
        <w:rPr>
          <w:kern w:val="22"/>
          <w:szCs w:val="22"/>
        </w:rPr>
        <w:t xml:space="preserve">Accordingly, the Executive Secretary </w:t>
      </w:r>
      <w:r>
        <w:rPr>
          <w:kern w:val="22"/>
          <w:szCs w:val="22"/>
        </w:rPr>
        <w:t>sent notifications 2017-056</w:t>
      </w:r>
      <w:r>
        <w:rPr>
          <w:rStyle w:val="FootnoteReference"/>
          <w:kern w:val="22"/>
          <w:szCs w:val="22"/>
        </w:rPr>
        <w:footnoteReference w:id="2"/>
      </w:r>
      <w:r>
        <w:rPr>
          <w:kern w:val="22"/>
          <w:szCs w:val="22"/>
        </w:rPr>
        <w:t xml:space="preserve"> </w:t>
      </w:r>
      <w:r w:rsidRPr="007B77F7">
        <w:rPr>
          <w:kern w:val="22"/>
          <w:szCs w:val="22"/>
        </w:rPr>
        <w:t>and 2017-074</w:t>
      </w:r>
      <w:r w:rsidR="00B81C59">
        <w:rPr>
          <w:rStyle w:val="FootnoteReference"/>
          <w:kern w:val="22"/>
          <w:szCs w:val="22"/>
        </w:rPr>
        <w:footnoteReference w:id="3"/>
      </w:r>
      <w:r w:rsidRPr="007B77F7">
        <w:rPr>
          <w:kern w:val="22"/>
          <w:szCs w:val="22"/>
        </w:rPr>
        <w:t xml:space="preserve">  to collect information</w:t>
      </w:r>
      <w:r>
        <w:rPr>
          <w:kern w:val="22"/>
          <w:szCs w:val="22"/>
        </w:rPr>
        <w:t xml:space="preserve"> from Parties, other Governments and relevant organizations on invasive alien species management</w:t>
      </w:r>
      <w:r w:rsidR="00784BF4">
        <w:rPr>
          <w:rStyle w:val="FootnoteReference"/>
          <w:kern w:val="22"/>
          <w:szCs w:val="22"/>
        </w:rPr>
        <w:footnoteReference w:id="4"/>
      </w:r>
      <w:r w:rsidR="00784BF4">
        <w:rPr>
          <w:kern w:val="22"/>
          <w:szCs w:val="22"/>
        </w:rPr>
        <w:t xml:space="preserve">. </w:t>
      </w:r>
    </w:p>
    <w:p w:rsidR="00784BF4" w:rsidRPr="00025A5E" w:rsidRDefault="00784BF4" w:rsidP="00784BF4">
      <w:pPr>
        <w:pStyle w:val="Para1"/>
        <w:numPr>
          <w:ilvl w:val="0"/>
          <w:numId w:val="6"/>
        </w:numPr>
        <w:ind w:left="0" w:firstLine="0"/>
        <w:rPr>
          <w:kern w:val="22"/>
          <w:szCs w:val="22"/>
        </w:rPr>
      </w:pPr>
      <w:r>
        <w:rPr>
          <w:kern w:val="22"/>
          <w:szCs w:val="22"/>
        </w:rPr>
        <w:t>Based on the information submitted in response to the Notification 2017-056 and 2017-074, taking into consideration on geographic and gender balance of participation,</w:t>
      </w:r>
      <w:r w:rsidRPr="00025A5E">
        <w:rPr>
          <w:kern w:val="22"/>
          <w:szCs w:val="22"/>
        </w:rPr>
        <w:t xml:space="preserve"> CBD Secretariat </w:t>
      </w:r>
      <w:r>
        <w:rPr>
          <w:kern w:val="22"/>
          <w:szCs w:val="22"/>
        </w:rPr>
        <w:t xml:space="preserve">invited experts to </w:t>
      </w:r>
      <w:r w:rsidRPr="00025A5E">
        <w:rPr>
          <w:kern w:val="22"/>
          <w:szCs w:val="22"/>
        </w:rPr>
        <w:t>the Expert Workshop on Invasive Alien Species in Preparation for the twenty-second meeting of the Subsidiary Body on Scientific, Technical and Technological Advice in Montreal, Canada, from 6 to 8 December, 2017</w:t>
      </w:r>
      <w:r>
        <w:rPr>
          <w:kern w:val="22"/>
          <w:szCs w:val="22"/>
        </w:rPr>
        <w:t xml:space="preserve">, in accordance with </w:t>
      </w:r>
      <w:r w:rsidRPr="0048621B">
        <w:rPr>
          <w:kern w:val="22"/>
          <w:szCs w:val="22"/>
        </w:rPr>
        <w:t>Appendix C (Informal workshop) of the consolidated modus operandi of the Subsidiary Body on Scientific, Technical and Technological Advice</w:t>
      </w:r>
      <w:r>
        <w:rPr>
          <w:rStyle w:val="FootnoteReference"/>
          <w:kern w:val="22"/>
          <w:szCs w:val="22"/>
        </w:rPr>
        <w:footnoteReference w:id="5"/>
      </w:r>
      <w:r>
        <w:rPr>
          <w:kern w:val="22"/>
          <w:szCs w:val="22"/>
        </w:rPr>
        <w:t xml:space="preserve">. </w:t>
      </w:r>
      <w:r w:rsidRPr="00025A5E">
        <w:rPr>
          <w:kern w:val="22"/>
          <w:szCs w:val="22"/>
        </w:rPr>
        <w:t>The Secretariat convened the workshop with the generous financial support from the European Union.</w:t>
      </w:r>
    </w:p>
    <w:p w:rsidR="00784BF4" w:rsidRDefault="00784BF4" w:rsidP="00784BF4">
      <w:pPr>
        <w:pStyle w:val="Para1"/>
        <w:numPr>
          <w:ilvl w:val="0"/>
          <w:numId w:val="6"/>
        </w:numPr>
        <w:ind w:left="0" w:firstLine="0"/>
        <w:rPr>
          <w:kern w:val="22"/>
          <w:szCs w:val="22"/>
        </w:rPr>
      </w:pPr>
      <w:r w:rsidRPr="00670A51">
        <w:rPr>
          <w:kern w:val="22"/>
          <w:szCs w:val="22"/>
        </w:rPr>
        <w:t xml:space="preserve">A total of 17 experts attended the workshop. These included representatives of the Governments of Barbados, Brazil, Cape Verde, Canada, Mexico, New Zealand, Sri Lanka, and Sweden, as well as Indigenous Peoples and Local Communities (IPLC) from New Zealand, and organizations such as the Global Biodiversity Information Facility GBIF, the International Union for Conservation of Nature (IUCN) and IUCN-Invasive Species Specialist Group (ISSG), and the Network of Regional Governments for Sustainable Development (nrg4SD). </w:t>
      </w:r>
      <w:r w:rsidR="00E77097">
        <w:rPr>
          <w:kern w:val="22"/>
          <w:szCs w:val="22"/>
        </w:rPr>
        <w:t>List of participants can be found in Annex I of this document.</w:t>
      </w:r>
    </w:p>
    <w:p w:rsidR="007B77F7" w:rsidRPr="004C4C7C" w:rsidRDefault="00784BF4" w:rsidP="004C4C7C">
      <w:pPr>
        <w:pStyle w:val="Para1"/>
        <w:numPr>
          <w:ilvl w:val="0"/>
          <w:numId w:val="6"/>
        </w:numPr>
        <w:ind w:left="0" w:firstLine="0"/>
        <w:rPr>
          <w:kern w:val="22"/>
          <w:szCs w:val="22"/>
        </w:rPr>
      </w:pPr>
      <w:r>
        <w:rPr>
          <w:kern w:val="22"/>
          <w:szCs w:val="22"/>
        </w:rPr>
        <w:t xml:space="preserve">In response to </w:t>
      </w:r>
      <w:r w:rsidR="00F51B84">
        <w:rPr>
          <w:kern w:val="22"/>
          <w:szCs w:val="22"/>
        </w:rPr>
        <w:t xml:space="preserve">paragraph 9 of decision </w:t>
      </w:r>
      <w:r>
        <w:rPr>
          <w:kern w:val="22"/>
          <w:szCs w:val="22"/>
        </w:rPr>
        <w:t>XIII/13</w:t>
      </w:r>
      <w:r w:rsidR="00F51B84">
        <w:rPr>
          <w:kern w:val="22"/>
          <w:szCs w:val="22"/>
        </w:rPr>
        <w:t xml:space="preserve"> and other relevant decisions on invasive alien species (IX/4A, XI/28, XII/17)</w:t>
      </w:r>
      <w:r>
        <w:rPr>
          <w:kern w:val="22"/>
          <w:szCs w:val="22"/>
        </w:rPr>
        <w:t xml:space="preserve">, the </w:t>
      </w:r>
      <w:r w:rsidRPr="007D2C8C">
        <w:rPr>
          <w:kern w:val="22"/>
          <w:szCs w:val="22"/>
        </w:rPr>
        <w:t xml:space="preserve">Executive Secretary </w:t>
      </w:r>
      <w:r>
        <w:rPr>
          <w:kern w:val="22"/>
          <w:szCs w:val="22"/>
        </w:rPr>
        <w:t xml:space="preserve">in </w:t>
      </w:r>
      <w:r w:rsidR="007B77F7" w:rsidRPr="004C4C7C">
        <w:rPr>
          <w:kern w:val="22"/>
          <w:szCs w:val="22"/>
        </w:rPr>
        <w:t>collaboration with the World Customs Organization convened the eighth meeting of the Inter-</w:t>
      </w:r>
      <w:proofErr w:type="gramStart"/>
      <w:r w:rsidR="007B77F7" w:rsidRPr="004C4C7C">
        <w:rPr>
          <w:kern w:val="22"/>
          <w:szCs w:val="22"/>
        </w:rPr>
        <w:t>agency</w:t>
      </w:r>
      <w:proofErr w:type="gramEnd"/>
      <w:r w:rsidR="007B77F7" w:rsidRPr="004C4C7C">
        <w:rPr>
          <w:kern w:val="22"/>
          <w:szCs w:val="22"/>
        </w:rPr>
        <w:t xml:space="preserve"> Liaison Group on Invasive Alien Species in Brussel</w:t>
      </w:r>
      <w:r w:rsidR="00F51B84">
        <w:rPr>
          <w:kern w:val="22"/>
          <w:szCs w:val="22"/>
        </w:rPr>
        <w:t>s, Belgium</w:t>
      </w:r>
      <w:r w:rsidR="007B77F7" w:rsidRPr="004C4C7C">
        <w:rPr>
          <w:kern w:val="22"/>
          <w:szCs w:val="22"/>
        </w:rPr>
        <w:t xml:space="preserve"> from 22 to 23 November 2017 and consulted on the guidance setting mentioned in paragraph 1 (a) –(e)</w:t>
      </w:r>
      <w:r w:rsidR="00B81C59">
        <w:rPr>
          <w:rStyle w:val="FootnoteReference"/>
          <w:kern w:val="22"/>
          <w:szCs w:val="22"/>
        </w:rPr>
        <w:footnoteReference w:id="6"/>
      </w:r>
      <w:r w:rsidR="007B77F7" w:rsidRPr="004C4C7C">
        <w:rPr>
          <w:kern w:val="22"/>
          <w:szCs w:val="22"/>
        </w:rPr>
        <w:t>.</w:t>
      </w:r>
    </w:p>
    <w:p w:rsidR="00D06EA4" w:rsidRPr="00150953" w:rsidRDefault="0048621B" w:rsidP="00150953">
      <w:pPr>
        <w:pStyle w:val="Para1"/>
        <w:numPr>
          <w:ilvl w:val="0"/>
          <w:numId w:val="6"/>
        </w:numPr>
        <w:ind w:left="0" w:firstLine="0"/>
        <w:rPr>
          <w:kern w:val="22"/>
          <w:szCs w:val="22"/>
        </w:rPr>
      </w:pPr>
      <w:r w:rsidRPr="00670A51">
        <w:rPr>
          <w:kern w:val="22"/>
          <w:szCs w:val="22"/>
        </w:rPr>
        <w:t>Section II</w:t>
      </w:r>
      <w:r w:rsidR="00670A51" w:rsidRPr="00670A51">
        <w:rPr>
          <w:kern w:val="22"/>
          <w:szCs w:val="22"/>
        </w:rPr>
        <w:t>I</w:t>
      </w:r>
      <w:r w:rsidRPr="00670A51">
        <w:rPr>
          <w:kern w:val="22"/>
          <w:szCs w:val="22"/>
        </w:rPr>
        <w:t xml:space="preserve"> </w:t>
      </w:r>
      <w:r w:rsidR="00D06EA4" w:rsidRPr="00670A51">
        <w:rPr>
          <w:kern w:val="22"/>
          <w:szCs w:val="22"/>
        </w:rPr>
        <w:t>provides the outcome</w:t>
      </w:r>
      <w:r w:rsidR="000914AF" w:rsidRPr="00670A51">
        <w:rPr>
          <w:kern w:val="22"/>
          <w:szCs w:val="22"/>
        </w:rPr>
        <w:t>s</w:t>
      </w:r>
      <w:r w:rsidR="00D06EA4" w:rsidRPr="00670A51">
        <w:rPr>
          <w:kern w:val="22"/>
          <w:szCs w:val="22"/>
        </w:rPr>
        <w:t xml:space="preserve"> of the Expert Workshop. A detailed </w:t>
      </w:r>
      <w:r w:rsidR="00F51B84">
        <w:rPr>
          <w:kern w:val="22"/>
          <w:szCs w:val="22"/>
        </w:rPr>
        <w:t xml:space="preserve">information on the </w:t>
      </w:r>
      <w:r w:rsidR="00D06EA4" w:rsidRPr="00670A51">
        <w:rPr>
          <w:kern w:val="22"/>
          <w:szCs w:val="22"/>
        </w:rPr>
        <w:t xml:space="preserve">discussion points </w:t>
      </w:r>
      <w:r w:rsidR="000914AF" w:rsidRPr="00670A51">
        <w:rPr>
          <w:kern w:val="22"/>
          <w:szCs w:val="22"/>
        </w:rPr>
        <w:t>during the Expert Workshop can be found in</w:t>
      </w:r>
      <w:r w:rsidR="00D06EA4" w:rsidRPr="00670A51">
        <w:rPr>
          <w:kern w:val="22"/>
          <w:szCs w:val="22"/>
        </w:rPr>
        <w:t xml:space="preserve"> annex</w:t>
      </w:r>
      <w:r w:rsidR="000914AF" w:rsidRPr="00670A51">
        <w:rPr>
          <w:kern w:val="22"/>
          <w:szCs w:val="22"/>
        </w:rPr>
        <w:t xml:space="preserve"> II</w:t>
      </w:r>
      <w:r w:rsidR="00D06EA4" w:rsidRPr="00670A51">
        <w:rPr>
          <w:kern w:val="22"/>
          <w:szCs w:val="22"/>
        </w:rPr>
        <w:t xml:space="preserve"> </w:t>
      </w:r>
      <w:r w:rsidR="000914AF" w:rsidRPr="00670A51">
        <w:rPr>
          <w:kern w:val="22"/>
          <w:szCs w:val="22"/>
        </w:rPr>
        <w:t>of</w:t>
      </w:r>
      <w:r w:rsidR="00D06EA4" w:rsidRPr="00670A51">
        <w:rPr>
          <w:kern w:val="22"/>
          <w:szCs w:val="22"/>
        </w:rPr>
        <w:t xml:space="preserve"> this document.</w:t>
      </w:r>
    </w:p>
    <w:p w:rsidR="00D06EA4" w:rsidRPr="00150953" w:rsidRDefault="00D06EA4" w:rsidP="00150953">
      <w:pPr>
        <w:pStyle w:val="Para1"/>
        <w:numPr>
          <w:ilvl w:val="0"/>
          <w:numId w:val="14"/>
        </w:numPr>
        <w:ind w:left="-90" w:firstLine="0"/>
        <w:jc w:val="center"/>
        <w:rPr>
          <w:b/>
          <w:kern w:val="22"/>
          <w:szCs w:val="22"/>
        </w:rPr>
      </w:pPr>
      <w:r w:rsidRPr="00D06EA4">
        <w:rPr>
          <w:b/>
          <w:kern w:val="22"/>
          <w:szCs w:val="22"/>
        </w:rPr>
        <w:t>OUTCOME</w:t>
      </w:r>
      <w:r w:rsidR="000914AF">
        <w:rPr>
          <w:b/>
          <w:kern w:val="22"/>
          <w:szCs w:val="22"/>
        </w:rPr>
        <w:t>S</w:t>
      </w:r>
      <w:r w:rsidRPr="00D06EA4">
        <w:rPr>
          <w:b/>
          <w:kern w:val="22"/>
          <w:szCs w:val="22"/>
        </w:rPr>
        <w:t xml:space="preserve"> OF THE EXPERT WORKSHOP ON I</w:t>
      </w:r>
      <w:r w:rsidR="00E77097">
        <w:rPr>
          <w:b/>
          <w:kern w:val="22"/>
          <w:szCs w:val="22"/>
        </w:rPr>
        <w:t>NVASIVE ALIEN SPECIES</w:t>
      </w:r>
    </w:p>
    <w:p w:rsidR="00E723C6" w:rsidRPr="00E723C6" w:rsidRDefault="00E723C6" w:rsidP="00E723C6">
      <w:pPr>
        <w:pStyle w:val="Para1"/>
        <w:numPr>
          <w:ilvl w:val="0"/>
          <w:numId w:val="0"/>
        </w:numPr>
        <w:rPr>
          <w:b/>
          <w:bCs/>
          <w:i/>
          <w:iCs/>
          <w:snapToGrid/>
          <w:szCs w:val="22"/>
        </w:rPr>
      </w:pPr>
      <w:r w:rsidRPr="00E723C6">
        <w:rPr>
          <w:b/>
          <w:bCs/>
          <w:i/>
          <w:iCs/>
          <w:snapToGrid/>
          <w:szCs w:val="22"/>
        </w:rPr>
        <w:t xml:space="preserve">Chapeau </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F51B84" w:rsidRPr="00E723C6">
        <w:rPr>
          <w:szCs w:val="22"/>
        </w:rPr>
        <w:t>highlight</w:t>
      </w:r>
      <w:r w:rsidR="00F51B84">
        <w:rPr>
          <w:szCs w:val="22"/>
        </w:rPr>
        <w:t>s</w:t>
      </w:r>
      <w:r w:rsidRPr="00E723C6">
        <w:rPr>
          <w:szCs w:val="22"/>
        </w:rPr>
        <w:t xml:space="preserve"> the progress made in national responses to address intentional introductions of invasive alien species through developing national and regional regulations</w:t>
      </w:r>
      <w:r w:rsidR="00F51B84">
        <w:rPr>
          <w:szCs w:val="22"/>
        </w:rPr>
        <w:t xml:space="preserve"> </w:t>
      </w:r>
      <w:r w:rsidRPr="00E723C6">
        <w:rPr>
          <w:szCs w:val="22"/>
        </w:rPr>
        <w:t xml:space="preserve">in line with the rules and principles </w:t>
      </w:r>
      <w:r w:rsidR="00F51B84">
        <w:rPr>
          <w:szCs w:val="22"/>
        </w:rPr>
        <w:t xml:space="preserve">set </w:t>
      </w:r>
      <w:r w:rsidRPr="00E723C6">
        <w:rPr>
          <w:szCs w:val="22"/>
        </w:rPr>
        <w:t>under the World Trade Organization</w:t>
      </w:r>
      <w:r w:rsidR="00F51B84">
        <w:rPr>
          <w:szCs w:val="22"/>
        </w:rPr>
        <w:t>. The Expert Workshop</w:t>
      </w:r>
      <w:r w:rsidR="00F51B84" w:rsidRPr="00E723C6">
        <w:rPr>
          <w:szCs w:val="22"/>
        </w:rPr>
        <w:t xml:space="preserve"> </w:t>
      </w:r>
      <w:r w:rsidRPr="00E723C6">
        <w:rPr>
          <w:szCs w:val="22"/>
        </w:rPr>
        <w:t xml:space="preserve">recognized that these national responses can serve as a model for other countries; </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F51B84" w:rsidRPr="00E723C6">
        <w:rPr>
          <w:szCs w:val="22"/>
        </w:rPr>
        <w:t>highlight</w:t>
      </w:r>
      <w:r w:rsidR="00F51B84">
        <w:rPr>
          <w:szCs w:val="22"/>
        </w:rPr>
        <w:t>s</w:t>
      </w:r>
      <w:r w:rsidR="00611A2C" w:rsidRPr="00E723C6">
        <w:rPr>
          <w:szCs w:val="22"/>
        </w:rPr>
        <w:t xml:space="preserve"> </w:t>
      </w:r>
      <w:r w:rsidRPr="00E723C6">
        <w:rPr>
          <w:szCs w:val="22"/>
        </w:rPr>
        <w:t>that the development of specific regulation</w:t>
      </w:r>
      <w:r w:rsidR="00043C59">
        <w:rPr>
          <w:szCs w:val="22"/>
        </w:rPr>
        <w:t>s</w:t>
      </w:r>
      <w:r w:rsidRPr="00E723C6">
        <w:rPr>
          <w:szCs w:val="22"/>
        </w:rPr>
        <w:t xml:space="preserve"> </w:t>
      </w:r>
      <w:r w:rsidR="00F51B84">
        <w:rPr>
          <w:szCs w:val="22"/>
        </w:rPr>
        <w:t xml:space="preserve">on invasive alien species </w:t>
      </w:r>
      <w:r w:rsidRPr="00E723C6">
        <w:rPr>
          <w:szCs w:val="22"/>
        </w:rPr>
        <w:t xml:space="preserve">is a resource intensive process, and for many countries it </w:t>
      </w:r>
      <w:r w:rsidR="00F51B84" w:rsidRPr="00E723C6">
        <w:rPr>
          <w:szCs w:val="22"/>
        </w:rPr>
        <w:t>w</w:t>
      </w:r>
      <w:r w:rsidR="00F51B84">
        <w:rPr>
          <w:szCs w:val="22"/>
        </w:rPr>
        <w:t>ould</w:t>
      </w:r>
      <w:r w:rsidR="00F51B84" w:rsidRPr="00E723C6">
        <w:rPr>
          <w:szCs w:val="22"/>
        </w:rPr>
        <w:t xml:space="preserve"> </w:t>
      </w:r>
      <w:r w:rsidRPr="00E723C6">
        <w:rPr>
          <w:szCs w:val="22"/>
        </w:rPr>
        <w:t>require capacity building and technology transfer</w:t>
      </w:r>
      <w:r w:rsidR="00F51B84">
        <w:rPr>
          <w:szCs w:val="22"/>
        </w:rPr>
        <w:t>, noting that n</w:t>
      </w:r>
      <w:r w:rsidRPr="00E723C6">
        <w:rPr>
          <w:szCs w:val="22"/>
        </w:rPr>
        <w:t xml:space="preserve">ational regulations </w:t>
      </w:r>
      <w:r w:rsidR="00F51B84">
        <w:rPr>
          <w:szCs w:val="22"/>
        </w:rPr>
        <w:t>were</w:t>
      </w:r>
      <w:r w:rsidR="00F51B84" w:rsidRPr="00E723C6">
        <w:rPr>
          <w:szCs w:val="22"/>
        </w:rPr>
        <w:t xml:space="preserve"> </w:t>
      </w:r>
      <w:r w:rsidRPr="00E723C6">
        <w:rPr>
          <w:szCs w:val="22"/>
        </w:rPr>
        <w:t xml:space="preserve">often built around existing </w:t>
      </w:r>
      <w:r w:rsidR="00611A2C">
        <w:rPr>
          <w:szCs w:val="22"/>
        </w:rPr>
        <w:t xml:space="preserve">regulations, </w:t>
      </w:r>
      <w:r w:rsidR="00611A2C" w:rsidRPr="004C4C7C">
        <w:rPr>
          <w:i/>
          <w:szCs w:val="22"/>
        </w:rPr>
        <w:t>e.g.</w:t>
      </w:r>
      <w:r w:rsidR="00611A2C">
        <w:rPr>
          <w:szCs w:val="22"/>
        </w:rPr>
        <w:t xml:space="preserve"> </w:t>
      </w:r>
      <w:r w:rsidRPr="00E723C6">
        <w:rPr>
          <w:szCs w:val="22"/>
        </w:rPr>
        <w:t>ani</w:t>
      </w:r>
      <w:r w:rsidR="00150953">
        <w:rPr>
          <w:szCs w:val="22"/>
        </w:rPr>
        <w:t>mal health and plant protection</w:t>
      </w:r>
      <w:r w:rsidRPr="00E723C6">
        <w:rPr>
          <w:szCs w:val="22"/>
        </w:rPr>
        <w:t>;</w:t>
      </w:r>
    </w:p>
    <w:p w:rsidR="00E723C6" w:rsidRPr="00E723C6" w:rsidRDefault="00E723C6" w:rsidP="00E723C6">
      <w:pPr>
        <w:pStyle w:val="Para1"/>
        <w:numPr>
          <w:ilvl w:val="0"/>
          <w:numId w:val="6"/>
        </w:numPr>
        <w:ind w:left="0" w:firstLine="0"/>
        <w:rPr>
          <w:szCs w:val="22"/>
        </w:rPr>
      </w:pPr>
      <w:r w:rsidRPr="00E723C6">
        <w:rPr>
          <w:szCs w:val="22"/>
        </w:rPr>
        <w:t>The Expert Workshop also highlight</w:t>
      </w:r>
      <w:r w:rsidR="00F51B84">
        <w:rPr>
          <w:szCs w:val="22"/>
        </w:rPr>
        <w:t>s</w:t>
      </w:r>
      <w:r w:rsidRPr="00E723C6">
        <w:rPr>
          <w:szCs w:val="22"/>
        </w:rPr>
        <w:t xml:space="preserve"> that voluntary measures, such as guidance, codes of conduct, best practices and protocols are valuable tools to </w:t>
      </w:r>
      <w:proofErr w:type="gramStart"/>
      <w:r w:rsidRPr="00E723C6">
        <w:rPr>
          <w:szCs w:val="22"/>
        </w:rPr>
        <w:t xml:space="preserve">supplement </w:t>
      </w:r>
      <w:r w:rsidR="00043C59">
        <w:rPr>
          <w:szCs w:val="22"/>
        </w:rPr>
        <w:t xml:space="preserve"> </w:t>
      </w:r>
      <w:r w:rsidRPr="00E723C6">
        <w:rPr>
          <w:szCs w:val="22"/>
        </w:rPr>
        <w:t>and</w:t>
      </w:r>
      <w:proofErr w:type="gramEnd"/>
      <w:r w:rsidRPr="00E723C6">
        <w:rPr>
          <w:szCs w:val="22"/>
        </w:rPr>
        <w:t xml:space="preserve"> enhance the effectiveness of the standards </w:t>
      </w:r>
      <w:r w:rsidRPr="00E723C6">
        <w:rPr>
          <w:szCs w:val="22"/>
        </w:rPr>
        <w:lastRenderedPageBreak/>
        <w:t xml:space="preserve">recognized by the World Trade Organization Agreement </w:t>
      </w:r>
      <w:r w:rsidR="00611A2C" w:rsidRPr="00E723C6">
        <w:rPr>
          <w:szCs w:val="22"/>
        </w:rPr>
        <w:t>o</w:t>
      </w:r>
      <w:r w:rsidR="00611A2C">
        <w:rPr>
          <w:szCs w:val="22"/>
        </w:rPr>
        <w:t>n</w:t>
      </w:r>
      <w:r w:rsidR="00611A2C" w:rsidRPr="00E723C6">
        <w:rPr>
          <w:szCs w:val="22"/>
        </w:rPr>
        <w:t xml:space="preserve"> </w:t>
      </w:r>
      <w:r w:rsidRPr="00E723C6">
        <w:rPr>
          <w:szCs w:val="22"/>
        </w:rPr>
        <w:t xml:space="preserve">the Application of Sanitary and Phytosanitary Measures; </w:t>
      </w:r>
    </w:p>
    <w:p w:rsidR="00E723C6" w:rsidRPr="00E723C6" w:rsidRDefault="00E723C6" w:rsidP="00E723C6">
      <w:pPr>
        <w:pStyle w:val="Para1"/>
        <w:numPr>
          <w:ilvl w:val="0"/>
          <w:numId w:val="6"/>
        </w:numPr>
        <w:ind w:left="0" w:firstLine="0"/>
        <w:rPr>
          <w:szCs w:val="22"/>
        </w:rPr>
      </w:pPr>
      <w:r w:rsidRPr="00E723C6">
        <w:rPr>
          <w:szCs w:val="22"/>
        </w:rPr>
        <w:t>The Expert Workshop stresse</w:t>
      </w:r>
      <w:r w:rsidR="00F51B84">
        <w:rPr>
          <w:szCs w:val="22"/>
        </w:rPr>
        <w:t>s</w:t>
      </w:r>
      <w:r w:rsidRPr="00E723C6">
        <w:rPr>
          <w:szCs w:val="22"/>
        </w:rPr>
        <w:t xml:space="preserve"> the importance of freely accessible data on invasive alien species and pathways </w:t>
      </w:r>
      <w:r w:rsidR="00611A2C">
        <w:rPr>
          <w:szCs w:val="22"/>
        </w:rPr>
        <w:t xml:space="preserve">of introduction provides critical </w:t>
      </w:r>
      <w:r w:rsidR="00D37B48">
        <w:rPr>
          <w:szCs w:val="22"/>
        </w:rPr>
        <w:t>s</w:t>
      </w:r>
      <w:r w:rsidRPr="00E723C6">
        <w:rPr>
          <w:szCs w:val="22"/>
        </w:rPr>
        <w:t xml:space="preserve">upport </w:t>
      </w:r>
      <w:r w:rsidR="00611A2C">
        <w:rPr>
          <w:szCs w:val="22"/>
        </w:rPr>
        <w:t xml:space="preserve">for </w:t>
      </w:r>
      <w:r w:rsidRPr="00E723C6">
        <w:rPr>
          <w:szCs w:val="22"/>
        </w:rPr>
        <w:t xml:space="preserve">decision making processes. </w:t>
      </w:r>
    </w:p>
    <w:p w:rsidR="00E723C6" w:rsidRPr="004C4C7C" w:rsidRDefault="00E723C6" w:rsidP="004C4C7C">
      <w:pPr>
        <w:pStyle w:val="Para1"/>
        <w:numPr>
          <w:ilvl w:val="0"/>
          <w:numId w:val="0"/>
        </w:numPr>
        <w:rPr>
          <w:b/>
          <w:i/>
          <w:szCs w:val="22"/>
        </w:rPr>
      </w:pPr>
      <w:r w:rsidRPr="004C4C7C">
        <w:rPr>
          <w:b/>
          <w:i/>
          <w:szCs w:val="22"/>
        </w:rPr>
        <w:t>Supplemental Guidance on unintentional introductions</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611A2C" w:rsidRPr="00E723C6">
        <w:rPr>
          <w:szCs w:val="22"/>
        </w:rPr>
        <w:t>welcome</w:t>
      </w:r>
      <w:r w:rsidR="00611A2C">
        <w:rPr>
          <w:szCs w:val="22"/>
        </w:rPr>
        <w:t>d</w:t>
      </w:r>
      <w:r w:rsidR="00611A2C" w:rsidRPr="00E723C6">
        <w:rPr>
          <w:szCs w:val="22"/>
        </w:rPr>
        <w:t xml:space="preserve"> </w:t>
      </w:r>
      <w:r w:rsidRPr="00E723C6">
        <w:rPr>
          <w:szCs w:val="22"/>
        </w:rPr>
        <w:t xml:space="preserve">the work on the supplemental guidance undertaken by </w:t>
      </w:r>
      <w:r w:rsidR="00611A2C">
        <w:rPr>
          <w:szCs w:val="22"/>
        </w:rPr>
        <w:t xml:space="preserve">the Secretariat of the </w:t>
      </w:r>
      <w:r w:rsidRPr="00E723C6">
        <w:rPr>
          <w:szCs w:val="22"/>
        </w:rPr>
        <w:t xml:space="preserve">CBD, </w:t>
      </w:r>
      <w:r w:rsidR="00043C59">
        <w:rPr>
          <w:szCs w:val="22"/>
        </w:rPr>
        <w:t xml:space="preserve">the </w:t>
      </w:r>
      <w:r w:rsidRPr="00E723C6">
        <w:rPr>
          <w:szCs w:val="22"/>
        </w:rPr>
        <w:t>Inter-</w:t>
      </w:r>
      <w:proofErr w:type="gramStart"/>
      <w:r w:rsidRPr="00E723C6">
        <w:rPr>
          <w:szCs w:val="22"/>
        </w:rPr>
        <w:t>agency</w:t>
      </w:r>
      <w:proofErr w:type="gramEnd"/>
      <w:r w:rsidRPr="00E723C6">
        <w:rPr>
          <w:szCs w:val="22"/>
        </w:rPr>
        <w:t xml:space="preserve"> Liaison Group on Invasive Alien Species and Parties’ submissions.  It concludes that additional work </w:t>
      </w:r>
      <w:r w:rsidR="00611A2C">
        <w:rPr>
          <w:szCs w:val="22"/>
        </w:rPr>
        <w:t xml:space="preserve">on the document </w:t>
      </w:r>
      <w:r w:rsidRPr="00E723C6">
        <w:rPr>
          <w:szCs w:val="22"/>
        </w:rPr>
        <w:t>is required</w:t>
      </w:r>
      <w:r w:rsidR="00611A2C">
        <w:rPr>
          <w:szCs w:val="22"/>
        </w:rPr>
        <w:t>.</w:t>
      </w:r>
      <w:r w:rsidRPr="00E723C6">
        <w:rPr>
          <w:szCs w:val="22"/>
        </w:rPr>
        <w:t xml:space="preserve"> </w:t>
      </w:r>
      <w:r w:rsidR="00611A2C">
        <w:rPr>
          <w:szCs w:val="22"/>
        </w:rPr>
        <w:t>Submissions</w:t>
      </w:r>
      <w:r w:rsidRPr="00E723C6">
        <w:rPr>
          <w:szCs w:val="22"/>
        </w:rPr>
        <w:t xml:space="preserve"> from key organisations including </w:t>
      </w:r>
      <w:r w:rsidR="00F51B84">
        <w:rPr>
          <w:szCs w:val="22"/>
        </w:rPr>
        <w:t xml:space="preserve">the </w:t>
      </w:r>
      <w:r w:rsidRPr="00E723C6">
        <w:rPr>
          <w:szCs w:val="22"/>
        </w:rPr>
        <w:t>I</w:t>
      </w:r>
      <w:r w:rsidR="00F51B84">
        <w:rPr>
          <w:szCs w:val="22"/>
        </w:rPr>
        <w:t xml:space="preserve">nternational </w:t>
      </w:r>
      <w:r w:rsidRPr="00E723C6">
        <w:rPr>
          <w:szCs w:val="22"/>
        </w:rPr>
        <w:t>P</w:t>
      </w:r>
      <w:r w:rsidR="00F51B84">
        <w:rPr>
          <w:szCs w:val="22"/>
        </w:rPr>
        <w:t xml:space="preserve">lant </w:t>
      </w:r>
      <w:r w:rsidRPr="00E723C6">
        <w:rPr>
          <w:szCs w:val="22"/>
        </w:rPr>
        <w:t>P</w:t>
      </w:r>
      <w:r w:rsidR="00F51B84">
        <w:rPr>
          <w:szCs w:val="22"/>
        </w:rPr>
        <w:t xml:space="preserve">rotection </w:t>
      </w:r>
      <w:r w:rsidRPr="00E723C6">
        <w:rPr>
          <w:szCs w:val="22"/>
        </w:rPr>
        <w:t>C</w:t>
      </w:r>
      <w:r w:rsidR="00F51B84">
        <w:rPr>
          <w:szCs w:val="22"/>
        </w:rPr>
        <w:t>onvention (IPPC)</w:t>
      </w:r>
      <w:r w:rsidRPr="00E723C6">
        <w:rPr>
          <w:szCs w:val="22"/>
        </w:rPr>
        <w:t xml:space="preserve">, </w:t>
      </w:r>
      <w:r w:rsidR="00F51B84">
        <w:rPr>
          <w:szCs w:val="22"/>
        </w:rPr>
        <w:t>the World Organisation for Animal Health (</w:t>
      </w:r>
      <w:r w:rsidRPr="00E723C6">
        <w:rPr>
          <w:szCs w:val="22"/>
        </w:rPr>
        <w:t>OIE</w:t>
      </w:r>
      <w:r w:rsidR="00F51B84">
        <w:rPr>
          <w:szCs w:val="22"/>
        </w:rPr>
        <w:t>)</w:t>
      </w:r>
      <w:r w:rsidR="00E61599">
        <w:rPr>
          <w:szCs w:val="22"/>
        </w:rPr>
        <w:t>, other selected experts</w:t>
      </w:r>
      <w:r w:rsidRPr="00E723C6">
        <w:rPr>
          <w:szCs w:val="22"/>
        </w:rPr>
        <w:t xml:space="preserve"> and </w:t>
      </w:r>
      <w:r w:rsidR="00F51B84">
        <w:rPr>
          <w:szCs w:val="22"/>
        </w:rPr>
        <w:t>participants</w:t>
      </w:r>
      <w:r w:rsidR="00F51B84" w:rsidRPr="00E723C6">
        <w:rPr>
          <w:szCs w:val="22"/>
        </w:rPr>
        <w:t xml:space="preserve"> </w:t>
      </w:r>
      <w:r w:rsidRPr="00E723C6">
        <w:rPr>
          <w:szCs w:val="22"/>
        </w:rPr>
        <w:t xml:space="preserve">of the Expert </w:t>
      </w:r>
      <w:r w:rsidR="00F51B84">
        <w:rPr>
          <w:szCs w:val="22"/>
        </w:rPr>
        <w:t>W</w:t>
      </w:r>
      <w:r w:rsidRPr="00E723C6">
        <w:rPr>
          <w:szCs w:val="22"/>
        </w:rPr>
        <w:t xml:space="preserve">orkshop </w:t>
      </w:r>
      <w:r w:rsidR="00C4178A">
        <w:rPr>
          <w:szCs w:val="22"/>
        </w:rPr>
        <w:t>will be accepted and incorporated</w:t>
      </w:r>
      <w:r w:rsidRPr="00E723C6">
        <w:rPr>
          <w:szCs w:val="22"/>
        </w:rPr>
        <w:t xml:space="preserve"> prior to </w:t>
      </w:r>
      <w:r w:rsidR="00F51B84" w:rsidRPr="00E723C6">
        <w:rPr>
          <w:szCs w:val="22"/>
        </w:rPr>
        <w:t>finali</w:t>
      </w:r>
      <w:r w:rsidR="00F51B84">
        <w:rPr>
          <w:szCs w:val="22"/>
        </w:rPr>
        <w:t>z</w:t>
      </w:r>
      <w:r w:rsidR="00F51B84" w:rsidRPr="00E723C6">
        <w:rPr>
          <w:szCs w:val="22"/>
        </w:rPr>
        <w:t xml:space="preserve">ation </w:t>
      </w:r>
      <w:r w:rsidRPr="00E723C6">
        <w:rPr>
          <w:szCs w:val="22"/>
        </w:rPr>
        <w:t>of the draft.</w:t>
      </w:r>
    </w:p>
    <w:p w:rsidR="00E723C6" w:rsidRPr="00E723C6" w:rsidRDefault="00E723C6" w:rsidP="004C4C7C">
      <w:pPr>
        <w:pStyle w:val="Para1"/>
        <w:numPr>
          <w:ilvl w:val="0"/>
          <w:numId w:val="6"/>
        </w:numPr>
        <w:ind w:left="0" w:firstLine="0"/>
        <w:rPr>
          <w:szCs w:val="22"/>
        </w:rPr>
      </w:pPr>
      <w:r w:rsidRPr="00E723C6">
        <w:rPr>
          <w:szCs w:val="22"/>
        </w:rPr>
        <w:t>The Expert Workshop suggest</w:t>
      </w:r>
      <w:r w:rsidR="00C4178A">
        <w:rPr>
          <w:szCs w:val="22"/>
        </w:rPr>
        <w:t>ed</w:t>
      </w:r>
      <w:r w:rsidRPr="00E723C6">
        <w:rPr>
          <w:szCs w:val="22"/>
        </w:rPr>
        <w:t xml:space="preserve"> the Secretariat</w:t>
      </w:r>
      <w:r w:rsidR="00C4178A">
        <w:rPr>
          <w:szCs w:val="22"/>
        </w:rPr>
        <w:t xml:space="preserve"> of the</w:t>
      </w:r>
      <w:r w:rsidRPr="00E723C6">
        <w:rPr>
          <w:szCs w:val="22"/>
        </w:rPr>
        <w:t xml:space="preserve"> </w:t>
      </w:r>
      <w:r w:rsidR="00C4178A" w:rsidRPr="00E723C6">
        <w:rPr>
          <w:szCs w:val="22"/>
        </w:rPr>
        <w:t xml:space="preserve">CBD </w:t>
      </w:r>
      <w:r w:rsidR="00F51B84">
        <w:rPr>
          <w:szCs w:val="22"/>
        </w:rPr>
        <w:t xml:space="preserve">to </w:t>
      </w:r>
      <w:r w:rsidRPr="00E723C6">
        <w:rPr>
          <w:szCs w:val="22"/>
        </w:rPr>
        <w:t xml:space="preserve">provide the finalized draft supplemental guidance as an Annex to a suggested recommendation to </w:t>
      </w:r>
      <w:r w:rsidR="00F51B84">
        <w:rPr>
          <w:szCs w:val="22"/>
        </w:rPr>
        <w:t>be presented to SBSTTA22</w:t>
      </w:r>
      <w:r w:rsidR="00C4178A">
        <w:rPr>
          <w:szCs w:val="22"/>
        </w:rPr>
        <w:t>.</w:t>
      </w:r>
      <w:r w:rsidR="00C4178A" w:rsidRPr="00E723C6">
        <w:rPr>
          <w:szCs w:val="22"/>
        </w:rPr>
        <w:t xml:space="preserve"> </w:t>
      </w:r>
      <w:r w:rsidR="00C4178A" w:rsidRPr="00C4178A">
        <w:rPr>
          <w:szCs w:val="22"/>
        </w:rPr>
        <w:t xml:space="preserve">Once </w:t>
      </w:r>
      <w:r w:rsidR="00F51B84">
        <w:rPr>
          <w:szCs w:val="22"/>
        </w:rPr>
        <w:t xml:space="preserve">it is </w:t>
      </w:r>
      <w:r w:rsidR="00C4178A" w:rsidRPr="00C4178A">
        <w:rPr>
          <w:szCs w:val="22"/>
        </w:rPr>
        <w:t xml:space="preserve">adopted by the Conference of the Parties, </w:t>
      </w:r>
      <w:r w:rsidR="00F51B84">
        <w:rPr>
          <w:szCs w:val="22"/>
        </w:rPr>
        <w:t xml:space="preserve">Parties, </w:t>
      </w:r>
      <w:r w:rsidR="00C4178A">
        <w:rPr>
          <w:szCs w:val="22"/>
        </w:rPr>
        <w:t>other G</w:t>
      </w:r>
      <w:r w:rsidR="00C4178A" w:rsidRPr="00C4178A">
        <w:rPr>
          <w:szCs w:val="22"/>
        </w:rPr>
        <w:t xml:space="preserve">overnments and </w:t>
      </w:r>
      <w:r w:rsidR="00C4178A">
        <w:rPr>
          <w:szCs w:val="22"/>
        </w:rPr>
        <w:t>relevant organizations</w:t>
      </w:r>
      <w:r w:rsidR="00C4178A" w:rsidRPr="00C4178A">
        <w:rPr>
          <w:szCs w:val="22"/>
        </w:rPr>
        <w:t xml:space="preserve"> can make u</w:t>
      </w:r>
      <w:r w:rsidR="00D10226">
        <w:rPr>
          <w:szCs w:val="22"/>
        </w:rPr>
        <w:t xml:space="preserve">se of the supplemental guidance </w:t>
      </w:r>
      <w:r w:rsidRPr="00E723C6">
        <w:rPr>
          <w:szCs w:val="22"/>
        </w:rPr>
        <w:t xml:space="preserve">as a tool to identify and manage </w:t>
      </w:r>
      <w:r w:rsidR="00F51B84">
        <w:rPr>
          <w:szCs w:val="22"/>
        </w:rPr>
        <w:t xml:space="preserve">the </w:t>
      </w:r>
      <w:r w:rsidRPr="00E723C6">
        <w:rPr>
          <w:szCs w:val="22"/>
        </w:rPr>
        <w:t>risks of unintentional introduction of invasive alien species associated with trade of live species</w:t>
      </w:r>
      <w:r w:rsidR="00F51B84" w:rsidRPr="004C4C7C">
        <w:rPr>
          <w:i/>
          <w:szCs w:val="22"/>
        </w:rPr>
        <w:t>, i.e.</w:t>
      </w:r>
      <w:r w:rsidR="00F51B84">
        <w:rPr>
          <w:szCs w:val="22"/>
        </w:rPr>
        <w:t xml:space="preserve"> hitchhikers and contaminants</w:t>
      </w:r>
      <w:r w:rsidRPr="00E723C6">
        <w:rPr>
          <w:szCs w:val="22"/>
        </w:rPr>
        <w:t xml:space="preserve">. </w:t>
      </w:r>
    </w:p>
    <w:p w:rsidR="00E723C6" w:rsidRPr="00E723C6" w:rsidRDefault="00E723C6" w:rsidP="00E723C6">
      <w:pPr>
        <w:pStyle w:val="Para1"/>
        <w:numPr>
          <w:ilvl w:val="0"/>
          <w:numId w:val="0"/>
        </w:numPr>
        <w:rPr>
          <w:b/>
          <w:bCs/>
          <w:i/>
          <w:iCs/>
          <w:snapToGrid/>
          <w:szCs w:val="22"/>
        </w:rPr>
      </w:pPr>
      <w:r w:rsidRPr="00E723C6">
        <w:rPr>
          <w:b/>
          <w:bCs/>
          <w:i/>
          <w:iCs/>
          <w:snapToGrid/>
          <w:szCs w:val="22"/>
        </w:rPr>
        <w:t>E-Commerce</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043C59">
        <w:rPr>
          <w:szCs w:val="22"/>
        </w:rPr>
        <w:t>recognise</w:t>
      </w:r>
      <w:r w:rsidR="00C4178A">
        <w:rPr>
          <w:szCs w:val="22"/>
        </w:rPr>
        <w:t>d</w:t>
      </w:r>
      <w:r w:rsidR="00043C59" w:rsidRPr="00E723C6">
        <w:rPr>
          <w:szCs w:val="22"/>
        </w:rPr>
        <w:t xml:space="preserve"> </w:t>
      </w:r>
      <w:r w:rsidRPr="00E723C6">
        <w:rPr>
          <w:szCs w:val="22"/>
        </w:rPr>
        <w:t xml:space="preserve">the </w:t>
      </w:r>
      <w:r w:rsidR="00E61599">
        <w:rPr>
          <w:szCs w:val="22"/>
        </w:rPr>
        <w:t xml:space="preserve">serious </w:t>
      </w:r>
      <w:r w:rsidRPr="00E723C6">
        <w:rPr>
          <w:szCs w:val="22"/>
        </w:rPr>
        <w:t xml:space="preserve">threat posed </w:t>
      </w:r>
      <w:r w:rsidR="00F51B84">
        <w:rPr>
          <w:szCs w:val="22"/>
        </w:rPr>
        <w:t>via</w:t>
      </w:r>
      <w:r w:rsidR="00F51B84" w:rsidRPr="00E723C6">
        <w:rPr>
          <w:szCs w:val="22"/>
        </w:rPr>
        <w:t xml:space="preserve"> e-commerce </w:t>
      </w:r>
      <w:r w:rsidRPr="00E723C6">
        <w:rPr>
          <w:szCs w:val="22"/>
        </w:rPr>
        <w:t>to biodiversity and ecosystem services</w:t>
      </w:r>
      <w:r w:rsidR="00043C59">
        <w:rPr>
          <w:szCs w:val="22"/>
        </w:rPr>
        <w:t>, including the</w:t>
      </w:r>
      <w:r w:rsidRPr="00E723C6">
        <w:rPr>
          <w:szCs w:val="22"/>
        </w:rPr>
        <w:t xml:space="preserve"> </w:t>
      </w:r>
      <w:r w:rsidR="00043C59">
        <w:rPr>
          <w:szCs w:val="22"/>
        </w:rPr>
        <w:t>increasing</w:t>
      </w:r>
      <w:r w:rsidR="00043C59" w:rsidRPr="00E723C6">
        <w:rPr>
          <w:szCs w:val="22"/>
        </w:rPr>
        <w:t xml:space="preserve"> </w:t>
      </w:r>
      <w:r w:rsidRPr="00E723C6">
        <w:rPr>
          <w:szCs w:val="22"/>
        </w:rPr>
        <w:t xml:space="preserve">opportunities </w:t>
      </w:r>
      <w:r w:rsidR="00F51B84">
        <w:rPr>
          <w:szCs w:val="22"/>
        </w:rPr>
        <w:t xml:space="preserve">of </w:t>
      </w:r>
      <w:r w:rsidRPr="00E723C6">
        <w:rPr>
          <w:szCs w:val="22"/>
        </w:rPr>
        <w:t>introduction of alien species</w:t>
      </w:r>
      <w:r w:rsidR="00F51B84">
        <w:rPr>
          <w:szCs w:val="22"/>
        </w:rPr>
        <w:t xml:space="preserve"> in distant environments</w:t>
      </w:r>
      <w:r w:rsidRPr="00E723C6">
        <w:rPr>
          <w:szCs w:val="22"/>
        </w:rPr>
        <w:t xml:space="preserve">. The Expert Workshop </w:t>
      </w:r>
      <w:r w:rsidR="00D10226" w:rsidRPr="00E723C6">
        <w:rPr>
          <w:szCs w:val="22"/>
        </w:rPr>
        <w:t>highlight</w:t>
      </w:r>
      <w:r w:rsidR="00D10226">
        <w:rPr>
          <w:szCs w:val="22"/>
        </w:rPr>
        <w:t>ed</w:t>
      </w:r>
      <w:r w:rsidR="00D10226" w:rsidRPr="00E723C6">
        <w:rPr>
          <w:szCs w:val="22"/>
        </w:rPr>
        <w:t xml:space="preserve"> </w:t>
      </w:r>
      <w:r w:rsidRPr="00E723C6">
        <w:rPr>
          <w:szCs w:val="22"/>
        </w:rPr>
        <w:t xml:space="preserve">that the primary way of addressing the risk associated with e-commerce is development of national regulations, to </w:t>
      </w:r>
      <w:r w:rsidR="002B3B85">
        <w:rPr>
          <w:szCs w:val="22"/>
        </w:rPr>
        <w:t xml:space="preserve">assist </w:t>
      </w:r>
      <w:r w:rsidRPr="00E723C6">
        <w:rPr>
          <w:szCs w:val="22"/>
        </w:rPr>
        <w:t xml:space="preserve">national customs agencies to </w:t>
      </w:r>
      <w:r w:rsidR="002B3B85">
        <w:rPr>
          <w:szCs w:val="22"/>
        </w:rPr>
        <w:t xml:space="preserve">enforce </w:t>
      </w:r>
      <w:r w:rsidR="00F51B84">
        <w:rPr>
          <w:szCs w:val="22"/>
        </w:rPr>
        <w:t>halting</w:t>
      </w:r>
      <w:r w:rsidR="002B3B85">
        <w:rPr>
          <w:szCs w:val="22"/>
        </w:rPr>
        <w:t xml:space="preserve"> entries of invasive alien species</w:t>
      </w:r>
      <w:r w:rsidRPr="00E723C6">
        <w:rPr>
          <w:szCs w:val="22"/>
        </w:rPr>
        <w:t xml:space="preserve">. The Expert Workshop </w:t>
      </w:r>
      <w:r w:rsidR="002B3B85" w:rsidRPr="00E723C6">
        <w:rPr>
          <w:szCs w:val="22"/>
        </w:rPr>
        <w:t>stresse</w:t>
      </w:r>
      <w:r w:rsidR="002B3B85">
        <w:rPr>
          <w:szCs w:val="22"/>
        </w:rPr>
        <w:t>d</w:t>
      </w:r>
      <w:r w:rsidR="002B3B85" w:rsidRPr="00E723C6">
        <w:rPr>
          <w:szCs w:val="22"/>
        </w:rPr>
        <w:t xml:space="preserve"> </w:t>
      </w:r>
      <w:r w:rsidRPr="00E723C6">
        <w:rPr>
          <w:szCs w:val="22"/>
        </w:rPr>
        <w:t>the importance of data sharing and information flow</w:t>
      </w:r>
      <w:r w:rsidR="002B3B85">
        <w:rPr>
          <w:szCs w:val="22"/>
        </w:rPr>
        <w:t xml:space="preserve"> </w:t>
      </w:r>
      <w:r w:rsidR="00F51B84">
        <w:rPr>
          <w:szCs w:val="22"/>
        </w:rPr>
        <w:t xml:space="preserve">on invasive alien species </w:t>
      </w:r>
      <w:r w:rsidR="002B3B85">
        <w:rPr>
          <w:szCs w:val="22"/>
        </w:rPr>
        <w:t>to facilitate the national process above</w:t>
      </w:r>
      <w:r w:rsidRPr="00E723C6">
        <w:rPr>
          <w:szCs w:val="22"/>
        </w:rPr>
        <w:t>.</w:t>
      </w:r>
    </w:p>
    <w:p w:rsidR="00E723C6" w:rsidRPr="00E723C6" w:rsidRDefault="00E723C6" w:rsidP="00E723C6">
      <w:pPr>
        <w:pStyle w:val="Para1"/>
        <w:numPr>
          <w:ilvl w:val="0"/>
          <w:numId w:val="6"/>
        </w:numPr>
        <w:ind w:left="0" w:firstLine="0"/>
        <w:rPr>
          <w:szCs w:val="22"/>
        </w:rPr>
      </w:pPr>
      <w:r w:rsidRPr="00E723C6">
        <w:rPr>
          <w:szCs w:val="22"/>
        </w:rPr>
        <w:t xml:space="preserve">The Expert Workshop felt that CBD national focal points </w:t>
      </w:r>
      <w:r w:rsidR="00043C59">
        <w:rPr>
          <w:szCs w:val="22"/>
        </w:rPr>
        <w:t>should</w:t>
      </w:r>
      <w:r w:rsidRPr="00E723C6">
        <w:rPr>
          <w:szCs w:val="22"/>
        </w:rPr>
        <w:t xml:space="preserve"> engage with national </w:t>
      </w:r>
      <w:r w:rsidR="00D56704">
        <w:rPr>
          <w:szCs w:val="22"/>
        </w:rPr>
        <w:t>C</w:t>
      </w:r>
      <w:r w:rsidR="00D56704" w:rsidRPr="00E723C6">
        <w:rPr>
          <w:szCs w:val="22"/>
        </w:rPr>
        <w:t xml:space="preserve">ustoms </w:t>
      </w:r>
      <w:r w:rsidRPr="00E723C6">
        <w:rPr>
          <w:szCs w:val="22"/>
        </w:rPr>
        <w:t>authorities (</w:t>
      </w:r>
      <w:r w:rsidR="002B3B85">
        <w:rPr>
          <w:szCs w:val="22"/>
        </w:rPr>
        <w:t xml:space="preserve">the Customs Administration </w:t>
      </w:r>
      <w:r w:rsidR="00D56704">
        <w:rPr>
          <w:szCs w:val="22"/>
        </w:rPr>
        <w:t>designated to</w:t>
      </w:r>
      <w:r w:rsidR="002B3B85">
        <w:rPr>
          <w:szCs w:val="22"/>
        </w:rPr>
        <w:t xml:space="preserve"> the W</w:t>
      </w:r>
      <w:r w:rsidR="00D56704">
        <w:rPr>
          <w:szCs w:val="22"/>
        </w:rPr>
        <w:t xml:space="preserve">orld </w:t>
      </w:r>
      <w:r w:rsidR="002B3B85">
        <w:rPr>
          <w:szCs w:val="22"/>
        </w:rPr>
        <w:t>C</w:t>
      </w:r>
      <w:r w:rsidR="00D56704">
        <w:rPr>
          <w:szCs w:val="22"/>
        </w:rPr>
        <w:t xml:space="preserve">ustoms </w:t>
      </w:r>
      <w:r w:rsidR="002B3B85">
        <w:rPr>
          <w:szCs w:val="22"/>
        </w:rPr>
        <w:t>O</w:t>
      </w:r>
      <w:r w:rsidR="00D56704">
        <w:rPr>
          <w:szCs w:val="22"/>
        </w:rPr>
        <w:t>rganization</w:t>
      </w:r>
      <w:r w:rsidRPr="00E723C6">
        <w:rPr>
          <w:szCs w:val="22"/>
        </w:rPr>
        <w:t>) to raise the issue of invasive alien species</w:t>
      </w:r>
      <w:r w:rsidR="00F51B84">
        <w:rPr>
          <w:szCs w:val="22"/>
        </w:rPr>
        <w:t>, in collaboration,</w:t>
      </w:r>
      <w:r w:rsidRPr="00E723C6">
        <w:rPr>
          <w:szCs w:val="22"/>
        </w:rPr>
        <w:t xml:space="preserve"> among the users and operators of e- commerce.</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736955" w:rsidRPr="00E723C6">
        <w:rPr>
          <w:szCs w:val="22"/>
        </w:rPr>
        <w:t>welcome</w:t>
      </w:r>
      <w:r w:rsidR="00736955">
        <w:rPr>
          <w:szCs w:val="22"/>
        </w:rPr>
        <w:t>d</w:t>
      </w:r>
      <w:r w:rsidR="00736955" w:rsidRPr="00E723C6">
        <w:rPr>
          <w:szCs w:val="22"/>
        </w:rPr>
        <w:t xml:space="preserve"> </w:t>
      </w:r>
      <w:r w:rsidRPr="00E723C6">
        <w:rPr>
          <w:szCs w:val="22"/>
        </w:rPr>
        <w:t xml:space="preserve">the </w:t>
      </w:r>
      <w:r w:rsidR="00043C59">
        <w:rPr>
          <w:szCs w:val="22"/>
        </w:rPr>
        <w:t>E</w:t>
      </w:r>
      <w:r w:rsidRPr="00E723C6">
        <w:rPr>
          <w:szCs w:val="22"/>
        </w:rPr>
        <w:t xml:space="preserve">-commerce </w:t>
      </w:r>
      <w:r w:rsidR="00043C59">
        <w:rPr>
          <w:szCs w:val="22"/>
        </w:rPr>
        <w:t>W</w:t>
      </w:r>
      <w:r w:rsidRPr="00E723C6">
        <w:rPr>
          <w:szCs w:val="22"/>
        </w:rPr>
        <w:t xml:space="preserve">orking </w:t>
      </w:r>
      <w:r w:rsidR="00043C59">
        <w:rPr>
          <w:szCs w:val="22"/>
        </w:rPr>
        <w:t>Gr</w:t>
      </w:r>
      <w:r w:rsidRPr="00E723C6">
        <w:rPr>
          <w:szCs w:val="22"/>
        </w:rPr>
        <w:t xml:space="preserve">oup established by the World Customs Organisation, and </w:t>
      </w:r>
      <w:r w:rsidR="00043C59">
        <w:rPr>
          <w:szCs w:val="22"/>
        </w:rPr>
        <w:t>encourage</w:t>
      </w:r>
      <w:r w:rsidR="00476A41">
        <w:rPr>
          <w:szCs w:val="22"/>
        </w:rPr>
        <w:t>d</w:t>
      </w:r>
      <w:r w:rsidRPr="00E723C6">
        <w:rPr>
          <w:szCs w:val="22"/>
        </w:rPr>
        <w:t xml:space="preserve"> the CBD Secretariat engages with this body.</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F51B84" w:rsidRPr="00E723C6">
        <w:rPr>
          <w:szCs w:val="22"/>
        </w:rPr>
        <w:t>highlight</w:t>
      </w:r>
      <w:r w:rsidR="00F51B84">
        <w:rPr>
          <w:szCs w:val="22"/>
        </w:rPr>
        <w:t>ed</w:t>
      </w:r>
      <w:r w:rsidR="00F51B84" w:rsidRPr="00E723C6">
        <w:rPr>
          <w:szCs w:val="22"/>
        </w:rPr>
        <w:t xml:space="preserve"> </w:t>
      </w:r>
      <w:r w:rsidRPr="00E723C6">
        <w:rPr>
          <w:szCs w:val="22"/>
        </w:rPr>
        <w:t xml:space="preserve">the need to continue the work on e-commerce within the mechanisms of the </w:t>
      </w:r>
      <w:r w:rsidR="00476A41">
        <w:rPr>
          <w:szCs w:val="22"/>
        </w:rPr>
        <w:t>CBD</w:t>
      </w:r>
      <w:r w:rsidRPr="00E723C6">
        <w:rPr>
          <w:szCs w:val="22"/>
        </w:rPr>
        <w:t xml:space="preserve">. </w:t>
      </w:r>
    </w:p>
    <w:p w:rsidR="00E723C6" w:rsidRPr="00E723C6" w:rsidRDefault="00E723C6" w:rsidP="00E723C6">
      <w:pPr>
        <w:pStyle w:val="Para1"/>
        <w:numPr>
          <w:ilvl w:val="0"/>
          <w:numId w:val="0"/>
        </w:numPr>
        <w:rPr>
          <w:b/>
          <w:bCs/>
          <w:i/>
          <w:iCs/>
          <w:snapToGrid/>
          <w:szCs w:val="22"/>
        </w:rPr>
      </w:pPr>
      <w:r w:rsidRPr="00E723C6">
        <w:rPr>
          <w:b/>
          <w:bCs/>
          <w:i/>
          <w:iCs/>
          <w:snapToGrid/>
          <w:szCs w:val="22"/>
        </w:rPr>
        <w:t>Data</w:t>
      </w:r>
      <w:r w:rsidR="00D56704">
        <w:rPr>
          <w:b/>
          <w:bCs/>
          <w:i/>
          <w:iCs/>
          <w:snapToGrid/>
          <w:szCs w:val="22"/>
        </w:rPr>
        <w:t xml:space="preserve">, tools </w:t>
      </w:r>
      <w:r>
        <w:rPr>
          <w:b/>
          <w:bCs/>
          <w:i/>
          <w:iCs/>
          <w:snapToGrid/>
          <w:szCs w:val="22"/>
        </w:rPr>
        <w:t xml:space="preserve">and </w:t>
      </w:r>
      <w:r w:rsidRPr="00E723C6">
        <w:rPr>
          <w:b/>
          <w:bCs/>
          <w:i/>
          <w:iCs/>
          <w:snapToGrid/>
          <w:szCs w:val="22"/>
        </w:rPr>
        <w:t xml:space="preserve">Aichi </w:t>
      </w:r>
      <w:r>
        <w:rPr>
          <w:b/>
          <w:bCs/>
          <w:i/>
          <w:iCs/>
          <w:snapToGrid/>
          <w:szCs w:val="22"/>
        </w:rPr>
        <w:t xml:space="preserve">Biodiversity </w:t>
      </w:r>
      <w:r w:rsidRPr="00E723C6">
        <w:rPr>
          <w:b/>
          <w:bCs/>
          <w:i/>
          <w:iCs/>
          <w:snapToGrid/>
          <w:szCs w:val="22"/>
        </w:rPr>
        <w:t>T</w:t>
      </w:r>
      <w:r>
        <w:rPr>
          <w:b/>
          <w:bCs/>
          <w:i/>
          <w:iCs/>
          <w:snapToGrid/>
          <w:szCs w:val="22"/>
        </w:rPr>
        <w:t xml:space="preserve">arget </w:t>
      </w:r>
      <w:r w:rsidRPr="00E723C6">
        <w:rPr>
          <w:b/>
          <w:bCs/>
          <w:i/>
          <w:iCs/>
          <w:snapToGrid/>
          <w:szCs w:val="22"/>
        </w:rPr>
        <w:t>9</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736955" w:rsidRPr="00E723C6">
        <w:rPr>
          <w:szCs w:val="22"/>
        </w:rPr>
        <w:t>welcome</w:t>
      </w:r>
      <w:r w:rsidR="00736955">
        <w:rPr>
          <w:szCs w:val="22"/>
        </w:rPr>
        <w:t>d</w:t>
      </w:r>
      <w:r w:rsidR="00736955" w:rsidRPr="00E723C6">
        <w:rPr>
          <w:szCs w:val="22"/>
        </w:rPr>
        <w:t xml:space="preserve"> </w:t>
      </w:r>
      <w:r w:rsidRPr="00E723C6">
        <w:rPr>
          <w:szCs w:val="22"/>
        </w:rPr>
        <w:t xml:space="preserve">the tools and databases developed in support of Aichi Target 9, </w:t>
      </w:r>
      <w:r w:rsidR="00736955">
        <w:rPr>
          <w:szCs w:val="22"/>
        </w:rPr>
        <w:t>that will enable</w:t>
      </w:r>
      <w:r w:rsidR="00736955" w:rsidRPr="00E723C6">
        <w:rPr>
          <w:szCs w:val="22"/>
        </w:rPr>
        <w:t xml:space="preserve"> </w:t>
      </w:r>
      <w:r w:rsidRPr="00E723C6">
        <w:rPr>
          <w:szCs w:val="22"/>
        </w:rPr>
        <w:t xml:space="preserve">data from diverse sources to be compiled, standardized, shared and made freely accessible via open data platforms; </w:t>
      </w:r>
      <w:proofErr w:type="gramStart"/>
      <w:r w:rsidRPr="00E723C6">
        <w:rPr>
          <w:szCs w:val="22"/>
        </w:rPr>
        <w:t>in particular,</w:t>
      </w:r>
      <w:r w:rsidR="00D56704">
        <w:rPr>
          <w:szCs w:val="22"/>
        </w:rPr>
        <w:t xml:space="preserve"> </w:t>
      </w:r>
      <w:r w:rsidRPr="00E723C6">
        <w:rPr>
          <w:szCs w:val="22"/>
        </w:rPr>
        <w:t>expert-curated</w:t>
      </w:r>
      <w:proofErr w:type="gramEnd"/>
      <w:r w:rsidRPr="00E723C6">
        <w:rPr>
          <w:szCs w:val="22"/>
        </w:rPr>
        <w:t xml:space="preserve"> national invasive alien species lists, aggregated occurrence data on invasive alien species both in native and introduced ranges, and pathway information, among others. Data on </w:t>
      </w:r>
      <w:r w:rsidR="00F51B84">
        <w:rPr>
          <w:szCs w:val="22"/>
        </w:rPr>
        <w:t xml:space="preserve">regulated </w:t>
      </w:r>
      <w:r w:rsidR="00736955">
        <w:rPr>
          <w:szCs w:val="22"/>
        </w:rPr>
        <w:t>invasive alien species</w:t>
      </w:r>
      <w:r w:rsidR="00736955" w:rsidRPr="00E723C6">
        <w:rPr>
          <w:szCs w:val="22"/>
        </w:rPr>
        <w:t xml:space="preserve"> </w:t>
      </w:r>
      <w:r w:rsidRPr="00E723C6">
        <w:rPr>
          <w:szCs w:val="22"/>
        </w:rPr>
        <w:t xml:space="preserve">is a significant gap in </w:t>
      </w:r>
      <w:r w:rsidR="00F51B84">
        <w:rPr>
          <w:szCs w:val="22"/>
        </w:rPr>
        <w:t xml:space="preserve">the </w:t>
      </w:r>
      <w:r w:rsidRPr="00E723C6">
        <w:rPr>
          <w:szCs w:val="22"/>
        </w:rPr>
        <w:t>existing standardised databases,</w:t>
      </w:r>
      <w:r w:rsidR="00F51B84">
        <w:rPr>
          <w:szCs w:val="22"/>
        </w:rPr>
        <w:t xml:space="preserve"> above,</w:t>
      </w:r>
      <w:r w:rsidRPr="00E723C6">
        <w:rPr>
          <w:szCs w:val="22"/>
        </w:rPr>
        <w:t xml:space="preserve"> and </w:t>
      </w:r>
      <w:r w:rsidR="00F51B84">
        <w:rPr>
          <w:szCs w:val="22"/>
        </w:rPr>
        <w:t xml:space="preserve">the gap </w:t>
      </w:r>
      <w:r w:rsidRPr="00E723C6">
        <w:rPr>
          <w:szCs w:val="22"/>
        </w:rPr>
        <w:t>need</w:t>
      </w:r>
      <w:r w:rsidR="00F51B84">
        <w:rPr>
          <w:szCs w:val="22"/>
        </w:rPr>
        <w:t>s</w:t>
      </w:r>
      <w:r w:rsidRPr="00E723C6">
        <w:rPr>
          <w:szCs w:val="22"/>
        </w:rPr>
        <w:t xml:space="preserve"> to be filled. Existing tools </w:t>
      </w:r>
      <w:r w:rsidR="00C4178A">
        <w:rPr>
          <w:szCs w:val="22"/>
        </w:rPr>
        <w:t xml:space="preserve">that can act </w:t>
      </w:r>
      <w:r w:rsidRPr="00E723C6">
        <w:rPr>
          <w:szCs w:val="22"/>
        </w:rPr>
        <w:t xml:space="preserve">to identify species should be examined with a view to their wider application, taking account of variation </w:t>
      </w:r>
      <w:r w:rsidR="00F51B84">
        <w:rPr>
          <w:szCs w:val="22"/>
        </w:rPr>
        <w:t xml:space="preserve">of </w:t>
      </w:r>
      <w:r w:rsidR="00F51B84" w:rsidRPr="00E723C6">
        <w:rPr>
          <w:szCs w:val="22"/>
        </w:rPr>
        <w:t xml:space="preserve">regulation </w:t>
      </w:r>
      <w:r w:rsidR="00F51B84">
        <w:rPr>
          <w:szCs w:val="22"/>
        </w:rPr>
        <w:t>on</w:t>
      </w:r>
      <w:r w:rsidRPr="00E723C6">
        <w:rPr>
          <w:szCs w:val="22"/>
        </w:rPr>
        <w:t xml:space="preserve"> invasive alien species under different national jurisdictions;</w:t>
      </w:r>
    </w:p>
    <w:p w:rsidR="00E723C6" w:rsidRPr="00E723C6" w:rsidRDefault="00E723C6" w:rsidP="00E723C6">
      <w:pPr>
        <w:pStyle w:val="Para1"/>
        <w:numPr>
          <w:ilvl w:val="0"/>
          <w:numId w:val="6"/>
        </w:numPr>
        <w:ind w:left="0" w:firstLine="0"/>
        <w:rPr>
          <w:szCs w:val="22"/>
        </w:rPr>
      </w:pPr>
      <w:r w:rsidRPr="00E723C6">
        <w:rPr>
          <w:szCs w:val="22"/>
        </w:rPr>
        <w:t xml:space="preserve">The Expert Workshop emphasised the need for continued and increased investment in mobilization of invasive alien species data, </w:t>
      </w:r>
      <w:r w:rsidR="00C4178A">
        <w:rPr>
          <w:szCs w:val="22"/>
        </w:rPr>
        <w:t xml:space="preserve">to the </w:t>
      </w:r>
      <w:r w:rsidRPr="00E723C6">
        <w:rPr>
          <w:szCs w:val="22"/>
        </w:rPr>
        <w:t xml:space="preserve">maintenance </w:t>
      </w:r>
      <w:r w:rsidR="00C4178A">
        <w:rPr>
          <w:szCs w:val="22"/>
        </w:rPr>
        <w:t xml:space="preserve">and updating </w:t>
      </w:r>
      <w:r w:rsidRPr="00E723C6">
        <w:rPr>
          <w:szCs w:val="22"/>
        </w:rPr>
        <w:t xml:space="preserve">of shared data infrastructures, expert curation and building capacity in use of data-sharing tools and </w:t>
      </w:r>
      <w:r w:rsidR="00C4178A">
        <w:rPr>
          <w:szCs w:val="22"/>
        </w:rPr>
        <w:t xml:space="preserve">information on </w:t>
      </w:r>
      <w:r w:rsidRPr="00E723C6">
        <w:rPr>
          <w:szCs w:val="22"/>
        </w:rPr>
        <w:t xml:space="preserve">best practices. Ongoing support for data mobilization and </w:t>
      </w:r>
      <w:r w:rsidR="00C4178A">
        <w:rPr>
          <w:szCs w:val="22"/>
        </w:rPr>
        <w:t xml:space="preserve">free and open </w:t>
      </w:r>
      <w:r w:rsidRPr="00E723C6">
        <w:rPr>
          <w:szCs w:val="22"/>
        </w:rPr>
        <w:t xml:space="preserve">access is critical for progressing </w:t>
      </w:r>
      <w:r w:rsidR="00F51B84">
        <w:rPr>
          <w:szCs w:val="22"/>
        </w:rPr>
        <w:t>toward</w:t>
      </w:r>
      <w:r w:rsidR="00F51B84" w:rsidRPr="00E723C6">
        <w:rPr>
          <w:szCs w:val="22"/>
        </w:rPr>
        <w:t xml:space="preserve"> </w:t>
      </w:r>
      <w:r w:rsidR="00F51B84">
        <w:rPr>
          <w:szCs w:val="22"/>
        </w:rPr>
        <w:t xml:space="preserve">achieving </w:t>
      </w:r>
      <w:r w:rsidRPr="00E723C6">
        <w:rPr>
          <w:szCs w:val="22"/>
        </w:rPr>
        <w:t xml:space="preserve">Aichi </w:t>
      </w:r>
      <w:r w:rsidR="00F51B84">
        <w:rPr>
          <w:szCs w:val="22"/>
        </w:rPr>
        <w:t xml:space="preserve">Biodiversity </w:t>
      </w:r>
      <w:r w:rsidRPr="00E723C6">
        <w:rPr>
          <w:szCs w:val="22"/>
        </w:rPr>
        <w:t xml:space="preserve">Target 9, </w:t>
      </w:r>
      <w:r w:rsidR="00F51B84">
        <w:rPr>
          <w:szCs w:val="22"/>
        </w:rPr>
        <w:t>and</w:t>
      </w:r>
      <w:r w:rsidR="00C4178A">
        <w:rPr>
          <w:szCs w:val="22"/>
        </w:rPr>
        <w:t xml:space="preserve"> </w:t>
      </w:r>
      <w:proofErr w:type="gramStart"/>
      <w:r w:rsidR="00C4178A">
        <w:rPr>
          <w:szCs w:val="22"/>
        </w:rPr>
        <w:t xml:space="preserve">managing </w:t>
      </w:r>
      <w:r w:rsidRPr="00E723C6">
        <w:rPr>
          <w:szCs w:val="22"/>
        </w:rPr>
        <w:t xml:space="preserve"> invasive</w:t>
      </w:r>
      <w:proofErr w:type="gramEnd"/>
      <w:r w:rsidRPr="00E723C6">
        <w:rPr>
          <w:szCs w:val="22"/>
        </w:rPr>
        <w:t xml:space="preserve"> alien species in the face of climate change and e-commerce, as well as evaluating </w:t>
      </w:r>
      <w:r w:rsidR="00F51B84">
        <w:rPr>
          <w:szCs w:val="22"/>
        </w:rPr>
        <w:t xml:space="preserve">those </w:t>
      </w:r>
      <w:r w:rsidRPr="00E723C6">
        <w:rPr>
          <w:szCs w:val="22"/>
        </w:rPr>
        <w:t xml:space="preserve">response measures </w:t>
      </w:r>
      <w:r w:rsidR="00F51B84">
        <w:rPr>
          <w:szCs w:val="22"/>
        </w:rPr>
        <w:t>applied,</w:t>
      </w:r>
      <w:r w:rsidR="00F51B84" w:rsidRPr="00E723C6">
        <w:rPr>
          <w:szCs w:val="22"/>
        </w:rPr>
        <w:t xml:space="preserve"> </w:t>
      </w:r>
      <w:r w:rsidRPr="00E723C6">
        <w:rPr>
          <w:szCs w:val="22"/>
        </w:rPr>
        <w:t xml:space="preserve">including </w:t>
      </w:r>
      <w:r w:rsidR="00736955">
        <w:rPr>
          <w:szCs w:val="22"/>
        </w:rPr>
        <w:t xml:space="preserve">the use of </w:t>
      </w:r>
      <w:r w:rsidRPr="00E723C6">
        <w:rPr>
          <w:szCs w:val="22"/>
        </w:rPr>
        <w:t>bio</w:t>
      </w:r>
      <w:r w:rsidR="00736955">
        <w:rPr>
          <w:szCs w:val="22"/>
        </w:rPr>
        <w:t xml:space="preserve">logical </w:t>
      </w:r>
      <w:r w:rsidRPr="00E723C6">
        <w:rPr>
          <w:szCs w:val="22"/>
        </w:rPr>
        <w:t>control</w:t>
      </w:r>
      <w:r w:rsidR="00736955">
        <w:rPr>
          <w:szCs w:val="22"/>
        </w:rPr>
        <w:t xml:space="preserve"> agents</w:t>
      </w:r>
      <w:r w:rsidRPr="00E723C6">
        <w:rPr>
          <w:szCs w:val="22"/>
        </w:rPr>
        <w:t>.</w:t>
      </w:r>
    </w:p>
    <w:p w:rsidR="00E723C6" w:rsidRPr="00E723C6" w:rsidRDefault="00E723C6" w:rsidP="00413295">
      <w:pPr>
        <w:pStyle w:val="Para1"/>
        <w:keepNext/>
        <w:numPr>
          <w:ilvl w:val="0"/>
          <w:numId w:val="0"/>
        </w:numPr>
        <w:rPr>
          <w:b/>
          <w:bCs/>
          <w:i/>
          <w:iCs/>
          <w:snapToGrid/>
          <w:szCs w:val="22"/>
        </w:rPr>
      </w:pPr>
      <w:r w:rsidRPr="00E723C6">
        <w:rPr>
          <w:b/>
          <w:bCs/>
          <w:i/>
          <w:iCs/>
          <w:snapToGrid/>
          <w:szCs w:val="22"/>
        </w:rPr>
        <w:lastRenderedPageBreak/>
        <w:t>Bio</w:t>
      </w:r>
      <w:r>
        <w:rPr>
          <w:b/>
          <w:bCs/>
          <w:i/>
          <w:iCs/>
          <w:snapToGrid/>
          <w:szCs w:val="22"/>
        </w:rPr>
        <w:t xml:space="preserve">logical </w:t>
      </w:r>
      <w:r w:rsidRPr="00E723C6">
        <w:rPr>
          <w:b/>
          <w:bCs/>
          <w:i/>
          <w:iCs/>
          <w:snapToGrid/>
          <w:szCs w:val="22"/>
        </w:rPr>
        <w:t>control</w:t>
      </w:r>
      <w:r>
        <w:rPr>
          <w:b/>
          <w:bCs/>
          <w:i/>
          <w:iCs/>
          <w:snapToGrid/>
          <w:szCs w:val="22"/>
        </w:rPr>
        <w:t xml:space="preserve"> against invasive alien species</w:t>
      </w:r>
    </w:p>
    <w:p w:rsidR="00E723C6" w:rsidRPr="00E723C6" w:rsidRDefault="00E723C6" w:rsidP="004C4C7C">
      <w:pPr>
        <w:pStyle w:val="Para1"/>
        <w:numPr>
          <w:ilvl w:val="0"/>
          <w:numId w:val="6"/>
        </w:numPr>
        <w:ind w:left="0" w:firstLine="0"/>
        <w:rPr>
          <w:szCs w:val="22"/>
        </w:rPr>
      </w:pPr>
      <w:r w:rsidRPr="00E723C6">
        <w:rPr>
          <w:szCs w:val="22"/>
        </w:rPr>
        <w:t>The Expert Workshop welcomed the input from Canada providing detail</w:t>
      </w:r>
      <w:r w:rsidR="00F51B84">
        <w:rPr>
          <w:szCs w:val="22"/>
        </w:rPr>
        <w:t>s</w:t>
      </w:r>
      <w:r w:rsidRPr="00E723C6">
        <w:rPr>
          <w:szCs w:val="22"/>
        </w:rPr>
        <w:t xml:space="preserve"> on </w:t>
      </w:r>
      <w:r w:rsidR="00736955" w:rsidRPr="00736955">
        <w:rPr>
          <w:szCs w:val="22"/>
        </w:rPr>
        <w:t xml:space="preserve">risk assessment and post release monitoring of biological control agents from </w:t>
      </w:r>
      <w:r w:rsidRPr="00E723C6">
        <w:rPr>
          <w:szCs w:val="22"/>
        </w:rPr>
        <w:t xml:space="preserve">the North American Plant Protection </w:t>
      </w:r>
      <w:proofErr w:type="gramStart"/>
      <w:r w:rsidRPr="00E723C6">
        <w:rPr>
          <w:szCs w:val="22"/>
        </w:rPr>
        <w:t>Organization’s  Regional</w:t>
      </w:r>
      <w:proofErr w:type="gramEnd"/>
      <w:r w:rsidRPr="00E723C6">
        <w:rPr>
          <w:szCs w:val="22"/>
        </w:rPr>
        <w:t xml:space="preserve"> Standards for Phytosanitary Measures</w:t>
      </w:r>
      <w:r w:rsidR="00330991">
        <w:rPr>
          <w:rStyle w:val="FootnoteReference"/>
          <w:szCs w:val="22"/>
        </w:rPr>
        <w:footnoteReference w:id="7"/>
      </w:r>
      <w:r w:rsidR="00F51B84">
        <w:rPr>
          <w:szCs w:val="22"/>
        </w:rPr>
        <w:t>, which were built</w:t>
      </w:r>
      <w:r w:rsidR="00736955">
        <w:rPr>
          <w:szCs w:val="22"/>
        </w:rPr>
        <w:t xml:space="preserve"> </w:t>
      </w:r>
      <w:r w:rsidRPr="00E723C6">
        <w:rPr>
          <w:szCs w:val="22"/>
        </w:rPr>
        <w:t xml:space="preserve">on the International Standard for Phytosanitary Measures No.3 and other international standards for risk analyses. The Expert Workshop </w:t>
      </w:r>
      <w:r w:rsidR="00D56704" w:rsidRPr="00E723C6">
        <w:rPr>
          <w:szCs w:val="22"/>
        </w:rPr>
        <w:t>stresse</w:t>
      </w:r>
      <w:r w:rsidR="00D56704">
        <w:rPr>
          <w:szCs w:val="22"/>
        </w:rPr>
        <w:t>d</w:t>
      </w:r>
      <w:r w:rsidRPr="00E723C6">
        <w:rPr>
          <w:szCs w:val="22"/>
        </w:rPr>
        <w:t xml:space="preserve"> the importance that these standards, along with others (e.g. the methodologies or risk analysis of biological control agents </w:t>
      </w:r>
      <w:r w:rsidR="00736955">
        <w:rPr>
          <w:szCs w:val="22"/>
        </w:rPr>
        <w:t>used</w:t>
      </w:r>
      <w:r w:rsidRPr="00E723C6">
        <w:rPr>
          <w:szCs w:val="22"/>
        </w:rPr>
        <w:t xml:space="preserve"> in Australia, New Zealand or United Kingdom), could supplement the </w:t>
      </w:r>
      <w:r w:rsidR="00D56704" w:rsidRPr="004C4C7C">
        <w:rPr>
          <w:i/>
          <w:szCs w:val="22"/>
        </w:rPr>
        <w:t>“</w:t>
      </w:r>
      <w:r w:rsidRPr="004C4C7C">
        <w:rPr>
          <w:i/>
          <w:szCs w:val="22"/>
        </w:rPr>
        <w:t>Summary of technical considerations for the use of biological control agents to manage invasive alien species</w:t>
      </w:r>
      <w:r w:rsidR="00D56704" w:rsidRPr="004C4C7C">
        <w:rPr>
          <w:i/>
          <w:szCs w:val="22"/>
        </w:rPr>
        <w:t>”</w:t>
      </w:r>
      <w:r w:rsidRPr="00E723C6">
        <w:rPr>
          <w:szCs w:val="22"/>
        </w:rPr>
        <w:t xml:space="preserve"> annexed to decision XIII/13.</w:t>
      </w:r>
    </w:p>
    <w:p w:rsidR="00E723C6" w:rsidRPr="00E723C6" w:rsidRDefault="00E723C6" w:rsidP="00E723C6">
      <w:pPr>
        <w:pStyle w:val="Para1"/>
        <w:numPr>
          <w:ilvl w:val="0"/>
          <w:numId w:val="6"/>
        </w:numPr>
        <w:ind w:left="0" w:firstLine="0"/>
        <w:rPr>
          <w:szCs w:val="22"/>
        </w:rPr>
      </w:pPr>
      <w:r>
        <w:rPr>
          <w:szCs w:val="22"/>
        </w:rPr>
        <w:t xml:space="preserve"> </w:t>
      </w:r>
      <w:r w:rsidRPr="00E723C6">
        <w:rPr>
          <w:szCs w:val="22"/>
        </w:rPr>
        <w:t xml:space="preserve">The Expert Workshop </w:t>
      </w:r>
      <w:r w:rsidR="00D56704" w:rsidRPr="00E723C6">
        <w:rPr>
          <w:szCs w:val="22"/>
        </w:rPr>
        <w:t>highlight</w:t>
      </w:r>
      <w:r w:rsidR="00D56704">
        <w:rPr>
          <w:szCs w:val="22"/>
        </w:rPr>
        <w:t>ed</w:t>
      </w:r>
      <w:r w:rsidR="00D56704" w:rsidRPr="00E723C6">
        <w:rPr>
          <w:szCs w:val="22"/>
        </w:rPr>
        <w:t xml:space="preserve"> </w:t>
      </w:r>
      <w:r w:rsidRPr="00E723C6">
        <w:rPr>
          <w:szCs w:val="22"/>
        </w:rPr>
        <w:t xml:space="preserve">that such standards, when applied comprehensively and </w:t>
      </w:r>
      <w:r w:rsidR="00F36AEA">
        <w:rPr>
          <w:szCs w:val="22"/>
        </w:rPr>
        <w:t>with precaution</w:t>
      </w:r>
      <w:r w:rsidRPr="00E723C6">
        <w:rPr>
          <w:szCs w:val="22"/>
        </w:rPr>
        <w:t>, can be applied b</w:t>
      </w:r>
      <w:r w:rsidR="00CB0DF4">
        <w:rPr>
          <w:szCs w:val="22"/>
        </w:rPr>
        <w:t>y the least developed countries, small island developing States and countries with economies in transition</w:t>
      </w:r>
      <w:r w:rsidRPr="00E723C6">
        <w:rPr>
          <w:szCs w:val="22"/>
        </w:rPr>
        <w:t xml:space="preserve">. </w:t>
      </w:r>
    </w:p>
    <w:p w:rsidR="00E723C6" w:rsidRPr="00E723C6" w:rsidRDefault="00E723C6" w:rsidP="00E723C6">
      <w:pPr>
        <w:pStyle w:val="Para1"/>
        <w:numPr>
          <w:ilvl w:val="0"/>
          <w:numId w:val="6"/>
        </w:numPr>
        <w:ind w:left="0" w:firstLine="0"/>
        <w:rPr>
          <w:szCs w:val="22"/>
        </w:rPr>
      </w:pPr>
      <w:r w:rsidRPr="00E723C6">
        <w:rPr>
          <w:szCs w:val="22"/>
        </w:rPr>
        <w:t xml:space="preserve">The Expert Workshop noted that the Guidance documents and </w:t>
      </w:r>
      <w:r w:rsidR="00CB0DF4">
        <w:rPr>
          <w:szCs w:val="22"/>
        </w:rPr>
        <w:t xml:space="preserve">the </w:t>
      </w:r>
      <w:r w:rsidRPr="00E723C6">
        <w:rPr>
          <w:szCs w:val="22"/>
        </w:rPr>
        <w:t>International Organization for Biological Control</w:t>
      </w:r>
      <w:r w:rsidR="00CB0DF4">
        <w:rPr>
          <w:szCs w:val="22"/>
        </w:rPr>
        <w:t>’s</w:t>
      </w:r>
      <w:r w:rsidRPr="00E723C6">
        <w:rPr>
          <w:szCs w:val="22"/>
        </w:rPr>
        <w:t xml:space="preserve"> best practices papers published on use of biocontrol </w:t>
      </w:r>
      <w:r w:rsidR="001E0F49">
        <w:rPr>
          <w:szCs w:val="22"/>
        </w:rPr>
        <w:t xml:space="preserve">agents can be used to </w:t>
      </w:r>
      <w:r w:rsidRPr="00E723C6">
        <w:rPr>
          <w:szCs w:val="22"/>
        </w:rPr>
        <w:t>provide additional guidance</w:t>
      </w:r>
      <w:r w:rsidR="001E0F49">
        <w:rPr>
          <w:rStyle w:val="FootnoteReference"/>
          <w:szCs w:val="22"/>
        </w:rPr>
        <w:footnoteReference w:id="8"/>
      </w:r>
      <w:r w:rsidRPr="00E723C6">
        <w:rPr>
          <w:szCs w:val="22"/>
        </w:rPr>
        <w:t>.</w:t>
      </w:r>
    </w:p>
    <w:p w:rsidR="00E723C6" w:rsidRPr="00E723C6" w:rsidRDefault="00E723C6" w:rsidP="00E723C6">
      <w:pPr>
        <w:pStyle w:val="Para1"/>
        <w:numPr>
          <w:ilvl w:val="0"/>
          <w:numId w:val="0"/>
        </w:numPr>
        <w:rPr>
          <w:b/>
          <w:bCs/>
          <w:i/>
          <w:iCs/>
          <w:snapToGrid/>
          <w:szCs w:val="22"/>
        </w:rPr>
      </w:pPr>
      <w:r>
        <w:rPr>
          <w:b/>
          <w:bCs/>
          <w:i/>
          <w:iCs/>
          <w:snapToGrid/>
          <w:szCs w:val="22"/>
        </w:rPr>
        <w:t>Cost-</w:t>
      </w:r>
      <w:r w:rsidRPr="00E723C6">
        <w:rPr>
          <w:b/>
          <w:bCs/>
          <w:i/>
          <w:iCs/>
          <w:snapToGrid/>
          <w:szCs w:val="22"/>
        </w:rPr>
        <w:t>benefit</w:t>
      </w:r>
      <w:r>
        <w:rPr>
          <w:b/>
          <w:bCs/>
          <w:i/>
          <w:iCs/>
          <w:snapToGrid/>
          <w:szCs w:val="22"/>
        </w:rPr>
        <w:t xml:space="preserve"> and cost effectiveness analysis</w:t>
      </w:r>
    </w:p>
    <w:p w:rsidR="00E723C6" w:rsidRPr="00E723C6" w:rsidRDefault="00E723C6" w:rsidP="00E723C6">
      <w:pPr>
        <w:pStyle w:val="Para1"/>
        <w:numPr>
          <w:ilvl w:val="0"/>
          <w:numId w:val="6"/>
        </w:numPr>
        <w:ind w:left="0" w:firstLine="0"/>
        <w:rPr>
          <w:szCs w:val="22"/>
        </w:rPr>
      </w:pPr>
      <w:r w:rsidRPr="00E723C6">
        <w:rPr>
          <w:szCs w:val="22"/>
        </w:rPr>
        <w:t>The Expert Workshop found that the cost-benefit and cost</w:t>
      </w:r>
      <w:r w:rsidR="00D56704">
        <w:rPr>
          <w:szCs w:val="22"/>
        </w:rPr>
        <w:t>-</w:t>
      </w:r>
      <w:r w:rsidRPr="00E723C6">
        <w:rPr>
          <w:szCs w:val="22"/>
        </w:rPr>
        <w:t xml:space="preserve">effectiveness analysis framework produced by </w:t>
      </w:r>
      <w:r w:rsidR="00D56704">
        <w:rPr>
          <w:szCs w:val="22"/>
        </w:rPr>
        <w:t xml:space="preserve">the </w:t>
      </w:r>
      <w:r w:rsidRPr="00E723C6">
        <w:rPr>
          <w:szCs w:val="22"/>
        </w:rPr>
        <w:t xml:space="preserve">IUCN would be a useful basis for enhancing the prevention and management of invasive alien species, noting its potential application for informing </w:t>
      </w:r>
      <w:r w:rsidR="00D56704">
        <w:rPr>
          <w:szCs w:val="22"/>
        </w:rPr>
        <w:t xml:space="preserve">Parties on the </w:t>
      </w:r>
      <w:r w:rsidRPr="00E723C6">
        <w:rPr>
          <w:szCs w:val="22"/>
        </w:rPr>
        <w:t xml:space="preserve">pathways analysis and species prioritisation. The Expert Workshop </w:t>
      </w:r>
      <w:r w:rsidR="004764C3" w:rsidRPr="00E723C6">
        <w:rPr>
          <w:szCs w:val="22"/>
        </w:rPr>
        <w:t>stresse</w:t>
      </w:r>
      <w:r w:rsidR="004764C3">
        <w:rPr>
          <w:szCs w:val="22"/>
        </w:rPr>
        <w:t>d</w:t>
      </w:r>
      <w:r w:rsidR="004764C3" w:rsidRPr="00E723C6">
        <w:rPr>
          <w:szCs w:val="22"/>
        </w:rPr>
        <w:t xml:space="preserve"> </w:t>
      </w:r>
      <w:r w:rsidRPr="00E723C6">
        <w:rPr>
          <w:szCs w:val="22"/>
        </w:rPr>
        <w:t xml:space="preserve">the importance </w:t>
      </w:r>
      <w:r w:rsidR="001E0F49">
        <w:rPr>
          <w:szCs w:val="22"/>
        </w:rPr>
        <w:t>for further research</w:t>
      </w:r>
      <w:r w:rsidRPr="00E723C6">
        <w:rPr>
          <w:szCs w:val="22"/>
        </w:rPr>
        <w:t xml:space="preserve"> on this issue. </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D56704" w:rsidRPr="00E723C6">
        <w:rPr>
          <w:szCs w:val="22"/>
        </w:rPr>
        <w:t>highlight</w:t>
      </w:r>
      <w:r w:rsidR="00D56704">
        <w:rPr>
          <w:szCs w:val="22"/>
        </w:rPr>
        <w:t>ed that</w:t>
      </w:r>
      <w:r w:rsidR="00D56704" w:rsidRPr="00E723C6">
        <w:rPr>
          <w:szCs w:val="22"/>
        </w:rPr>
        <w:t xml:space="preserve"> </w:t>
      </w:r>
      <w:r w:rsidR="00D56704">
        <w:rPr>
          <w:szCs w:val="22"/>
        </w:rPr>
        <w:t>submission of</w:t>
      </w:r>
      <w:r w:rsidRPr="00E723C6">
        <w:rPr>
          <w:szCs w:val="22"/>
        </w:rPr>
        <w:t xml:space="preserve"> information on the methods used for </w:t>
      </w:r>
      <w:r w:rsidR="00BB5183">
        <w:rPr>
          <w:szCs w:val="22"/>
        </w:rPr>
        <w:t xml:space="preserve">pathway </w:t>
      </w:r>
      <w:r w:rsidRPr="00E723C6">
        <w:rPr>
          <w:szCs w:val="22"/>
        </w:rPr>
        <w:t xml:space="preserve">analysis </w:t>
      </w:r>
      <w:r w:rsidR="00BB5183">
        <w:rPr>
          <w:szCs w:val="22"/>
        </w:rPr>
        <w:t xml:space="preserve">and priority species </w:t>
      </w:r>
      <w:r w:rsidRPr="00E723C6">
        <w:rPr>
          <w:szCs w:val="22"/>
        </w:rPr>
        <w:t>to the CBD Secretariat</w:t>
      </w:r>
      <w:r w:rsidR="00D56704">
        <w:rPr>
          <w:szCs w:val="22"/>
        </w:rPr>
        <w:t xml:space="preserve"> is helpful</w:t>
      </w:r>
      <w:r w:rsidRPr="00E723C6">
        <w:rPr>
          <w:szCs w:val="22"/>
        </w:rPr>
        <w:t xml:space="preserve"> to further develop the framework, which is urgently needed. </w:t>
      </w:r>
    </w:p>
    <w:p w:rsidR="00E723C6" w:rsidRPr="00E723C6" w:rsidRDefault="00E723C6" w:rsidP="00E723C6">
      <w:pPr>
        <w:pStyle w:val="Para1"/>
        <w:numPr>
          <w:ilvl w:val="0"/>
          <w:numId w:val="0"/>
        </w:numPr>
        <w:rPr>
          <w:b/>
          <w:bCs/>
          <w:i/>
          <w:iCs/>
          <w:snapToGrid/>
          <w:szCs w:val="22"/>
        </w:rPr>
      </w:pPr>
      <w:r>
        <w:rPr>
          <w:b/>
          <w:bCs/>
          <w:i/>
          <w:iCs/>
          <w:snapToGrid/>
          <w:szCs w:val="22"/>
        </w:rPr>
        <w:t>Invasive alien species management and c</w:t>
      </w:r>
      <w:r w:rsidRPr="00E723C6">
        <w:rPr>
          <w:b/>
          <w:bCs/>
          <w:i/>
          <w:iCs/>
          <w:snapToGrid/>
          <w:szCs w:val="22"/>
        </w:rPr>
        <w:t xml:space="preserve">limate </w:t>
      </w:r>
      <w:r>
        <w:rPr>
          <w:b/>
          <w:bCs/>
          <w:i/>
          <w:iCs/>
          <w:snapToGrid/>
          <w:szCs w:val="22"/>
        </w:rPr>
        <w:t>c</w:t>
      </w:r>
      <w:r w:rsidRPr="00E723C6">
        <w:rPr>
          <w:b/>
          <w:bCs/>
          <w:i/>
          <w:iCs/>
          <w:snapToGrid/>
          <w:szCs w:val="22"/>
        </w:rPr>
        <w:t>hange</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4764C3" w:rsidRPr="00E723C6">
        <w:rPr>
          <w:szCs w:val="22"/>
        </w:rPr>
        <w:t>interpret</w:t>
      </w:r>
      <w:r w:rsidR="004764C3">
        <w:rPr>
          <w:szCs w:val="22"/>
        </w:rPr>
        <w:t>ed</w:t>
      </w:r>
      <w:r w:rsidR="004764C3" w:rsidRPr="00E723C6">
        <w:rPr>
          <w:szCs w:val="22"/>
        </w:rPr>
        <w:t xml:space="preserve"> </w:t>
      </w:r>
      <w:r w:rsidR="00BB5183">
        <w:rPr>
          <w:szCs w:val="22"/>
        </w:rPr>
        <w:t xml:space="preserve">that </w:t>
      </w:r>
      <w:r w:rsidRPr="00E723C6">
        <w:rPr>
          <w:szCs w:val="22"/>
        </w:rPr>
        <w:t xml:space="preserve">land use change and natural disasters </w:t>
      </w:r>
      <w:r w:rsidR="00F51B84">
        <w:rPr>
          <w:szCs w:val="22"/>
        </w:rPr>
        <w:t xml:space="preserve">in paragraph 17 (c) of decision XIII/13 were as the </w:t>
      </w:r>
      <w:r w:rsidRPr="00E723C6">
        <w:rPr>
          <w:szCs w:val="22"/>
        </w:rPr>
        <w:t>processes exacerbated by climate change.</w:t>
      </w:r>
    </w:p>
    <w:p w:rsidR="00E723C6" w:rsidRPr="00E723C6" w:rsidRDefault="00E723C6" w:rsidP="00E723C6">
      <w:pPr>
        <w:pStyle w:val="Para1"/>
        <w:numPr>
          <w:ilvl w:val="0"/>
          <w:numId w:val="6"/>
        </w:numPr>
        <w:ind w:left="0" w:firstLine="0"/>
        <w:rPr>
          <w:szCs w:val="22"/>
        </w:rPr>
      </w:pPr>
      <w:r w:rsidRPr="00E723C6">
        <w:rPr>
          <w:szCs w:val="22"/>
        </w:rPr>
        <w:t>The Expert Workshop highlight</w:t>
      </w:r>
      <w:r w:rsidR="004764C3">
        <w:rPr>
          <w:szCs w:val="22"/>
        </w:rPr>
        <w:t>ed</w:t>
      </w:r>
      <w:r w:rsidRPr="00E723C6">
        <w:rPr>
          <w:szCs w:val="22"/>
        </w:rPr>
        <w:t xml:space="preserve"> that priority should be </w:t>
      </w:r>
      <w:r w:rsidR="004764C3">
        <w:rPr>
          <w:szCs w:val="22"/>
        </w:rPr>
        <w:t xml:space="preserve">given to </w:t>
      </w:r>
      <w:r w:rsidRPr="00E723C6">
        <w:rPr>
          <w:szCs w:val="22"/>
        </w:rPr>
        <w:t>assessing what work ha</w:t>
      </w:r>
      <w:r w:rsidR="00F36AEA">
        <w:rPr>
          <w:szCs w:val="22"/>
        </w:rPr>
        <w:t>s</w:t>
      </w:r>
      <w:r w:rsidRPr="00E723C6">
        <w:rPr>
          <w:szCs w:val="22"/>
        </w:rPr>
        <w:t xml:space="preserve"> been done on the prevention and management of invasive alien species in the context of climate change, </w:t>
      </w:r>
      <w:proofErr w:type="gramStart"/>
      <w:r w:rsidR="004764C3">
        <w:rPr>
          <w:szCs w:val="22"/>
        </w:rPr>
        <w:t xml:space="preserve">in order </w:t>
      </w:r>
      <w:r w:rsidRPr="00E723C6">
        <w:rPr>
          <w:szCs w:val="22"/>
        </w:rPr>
        <w:t>to</w:t>
      </w:r>
      <w:proofErr w:type="gramEnd"/>
      <w:r w:rsidRPr="00E723C6">
        <w:rPr>
          <w:szCs w:val="22"/>
        </w:rPr>
        <w:t xml:space="preserve"> identify gaps and understand how other relevant organisations/bodies are dealing with this issue. </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4764C3" w:rsidRPr="00E723C6">
        <w:rPr>
          <w:szCs w:val="22"/>
        </w:rPr>
        <w:t>suggest</w:t>
      </w:r>
      <w:r w:rsidR="004764C3">
        <w:rPr>
          <w:szCs w:val="22"/>
        </w:rPr>
        <w:t>ed</w:t>
      </w:r>
      <w:r w:rsidR="004764C3" w:rsidRPr="00E723C6">
        <w:rPr>
          <w:szCs w:val="22"/>
        </w:rPr>
        <w:t xml:space="preserve"> </w:t>
      </w:r>
      <w:r w:rsidRPr="00E723C6">
        <w:rPr>
          <w:szCs w:val="22"/>
        </w:rPr>
        <w:t xml:space="preserve">the CBD Secretariat to engage with UNFCCC to understand how best to address invasive alien species within the Nationally Determined Contributions and National Adaptation Plans that were considered under the UNFCCC process. </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4764C3" w:rsidRPr="00E723C6">
        <w:rPr>
          <w:szCs w:val="22"/>
        </w:rPr>
        <w:t>stresse</w:t>
      </w:r>
      <w:r w:rsidR="004764C3">
        <w:rPr>
          <w:szCs w:val="22"/>
        </w:rPr>
        <w:t>d</w:t>
      </w:r>
      <w:r w:rsidR="004764C3" w:rsidRPr="00E723C6">
        <w:rPr>
          <w:szCs w:val="22"/>
        </w:rPr>
        <w:t xml:space="preserve"> </w:t>
      </w:r>
      <w:r w:rsidRPr="00E723C6">
        <w:rPr>
          <w:szCs w:val="22"/>
        </w:rPr>
        <w:t>the importance of incorporating the impacts of climate change within invasive alien species risk analysis (assessment, management</w:t>
      </w:r>
      <w:r w:rsidR="004764C3">
        <w:rPr>
          <w:szCs w:val="22"/>
        </w:rPr>
        <w:t xml:space="preserve"> and</w:t>
      </w:r>
      <w:r w:rsidR="00BB5183">
        <w:rPr>
          <w:szCs w:val="22"/>
        </w:rPr>
        <w:t xml:space="preserve"> </w:t>
      </w:r>
      <w:r w:rsidRPr="00E723C6">
        <w:rPr>
          <w:szCs w:val="22"/>
        </w:rPr>
        <w:t>communication).</w:t>
      </w:r>
    </w:p>
    <w:p w:rsidR="00E723C6" w:rsidRPr="00E723C6" w:rsidRDefault="00E723C6" w:rsidP="00E723C6">
      <w:pPr>
        <w:pStyle w:val="Para1"/>
        <w:numPr>
          <w:ilvl w:val="0"/>
          <w:numId w:val="0"/>
        </w:numPr>
        <w:rPr>
          <w:b/>
          <w:bCs/>
          <w:i/>
          <w:iCs/>
          <w:snapToGrid/>
          <w:szCs w:val="22"/>
        </w:rPr>
      </w:pPr>
      <w:r w:rsidRPr="00E723C6">
        <w:rPr>
          <w:b/>
          <w:bCs/>
          <w:i/>
          <w:iCs/>
          <w:snapToGrid/>
          <w:szCs w:val="22"/>
        </w:rPr>
        <w:t>Social and cultural values</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4764C3" w:rsidRPr="00E723C6">
        <w:rPr>
          <w:szCs w:val="22"/>
        </w:rPr>
        <w:t>stresse</w:t>
      </w:r>
      <w:r w:rsidR="004764C3">
        <w:rPr>
          <w:szCs w:val="22"/>
        </w:rPr>
        <w:t>d</w:t>
      </w:r>
      <w:r w:rsidR="004764C3" w:rsidRPr="00E723C6">
        <w:rPr>
          <w:szCs w:val="22"/>
        </w:rPr>
        <w:t xml:space="preserve"> </w:t>
      </w:r>
      <w:r w:rsidRPr="00E723C6">
        <w:rPr>
          <w:szCs w:val="22"/>
        </w:rPr>
        <w:t>that cultural and social values of Indigenous Peoples and Local Communities (IPLCs) and their livelihoods have been impacted by invasive alien species</w:t>
      </w:r>
      <w:r w:rsidR="00F51B84">
        <w:rPr>
          <w:szCs w:val="22"/>
        </w:rPr>
        <w:t>.</w:t>
      </w:r>
      <w:r w:rsidRPr="00E723C6">
        <w:rPr>
          <w:szCs w:val="22"/>
        </w:rPr>
        <w:t xml:space="preserve"> </w:t>
      </w:r>
      <w:r w:rsidR="00F51B84">
        <w:rPr>
          <w:szCs w:val="22"/>
        </w:rPr>
        <w:t>The Expert Workshop</w:t>
      </w:r>
      <w:r w:rsidR="00F51B84" w:rsidRPr="00E723C6">
        <w:rPr>
          <w:szCs w:val="22"/>
        </w:rPr>
        <w:t xml:space="preserve"> </w:t>
      </w:r>
      <w:r w:rsidRPr="00E723C6">
        <w:rPr>
          <w:szCs w:val="22"/>
        </w:rPr>
        <w:t xml:space="preserve">also </w:t>
      </w:r>
      <w:r w:rsidR="00BB5183" w:rsidRPr="00E723C6">
        <w:rPr>
          <w:szCs w:val="22"/>
        </w:rPr>
        <w:t>stresse</w:t>
      </w:r>
      <w:r w:rsidR="00BB5183">
        <w:rPr>
          <w:szCs w:val="22"/>
        </w:rPr>
        <w:t>d</w:t>
      </w:r>
      <w:r w:rsidR="00BB5183" w:rsidRPr="00E723C6">
        <w:rPr>
          <w:szCs w:val="22"/>
        </w:rPr>
        <w:t xml:space="preserve"> </w:t>
      </w:r>
      <w:r w:rsidRPr="00E723C6">
        <w:rPr>
          <w:szCs w:val="22"/>
        </w:rPr>
        <w:t xml:space="preserve">the importance of self-determination and empowerment of IPLCs to incorporate </w:t>
      </w:r>
      <w:r w:rsidR="004764C3">
        <w:rPr>
          <w:szCs w:val="22"/>
        </w:rPr>
        <w:t>the</w:t>
      </w:r>
      <w:r w:rsidR="00F51B84">
        <w:rPr>
          <w:szCs w:val="22"/>
        </w:rPr>
        <w:t>ir</w:t>
      </w:r>
      <w:r w:rsidR="004764C3">
        <w:rPr>
          <w:szCs w:val="22"/>
        </w:rPr>
        <w:t xml:space="preserve"> </w:t>
      </w:r>
      <w:r w:rsidRPr="00E723C6">
        <w:rPr>
          <w:szCs w:val="22"/>
        </w:rPr>
        <w:t>traditional knowledge</w:t>
      </w:r>
      <w:r w:rsidR="00F51B84">
        <w:rPr>
          <w:szCs w:val="22"/>
        </w:rPr>
        <w:t xml:space="preserve"> and experiences</w:t>
      </w:r>
      <w:r w:rsidRPr="00E723C6">
        <w:rPr>
          <w:szCs w:val="22"/>
        </w:rPr>
        <w:t xml:space="preserve"> into</w:t>
      </w:r>
      <w:r w:rsidR="00F51B84">
        <w:rPr>
          <w:szCs w:val="22"/>
        </w:rPr>
        <w:t xml:space="preserve"> their</w:t>
      </w:r>
      <w:r w:rsidRPr="00E723C6">
        <w:rPr>
          <w:szCs w:val="22"/>
        </w:rPr>
        <w:t xml:space="preserve"> invasive alien species management measures. </w:t>
      </w:r>
    </w:p>
    <w:p w:rsidR="00E723C6" w:rsidRPr="00E723C6" w:rsidRDefault="00E723C6" w:rsidP="00E723C6">
      <w:pPr>
        <w:pStyle w:val="Para1"/>
        <w:numPr>
          <w:ilvl w:val="0"/>
          <w:numId w:val="6"/>
        </w:numPr>
        <w:ind w:left="0" w:firstLine="0"/>
        <w:rPr>
          <w:szCs w:val="22"/>
        </w:rPr>
      </w:pPr>
      <w:r w:rsidRPr="00E723C6">
        <w:rPr>
          <w:szCs w:val="22"/>
        </w:rPr>
        <w:t xml:space="preserve">The Expert Workshop </w:t>
      </w:r>
      <w:r w:rsidR="004764C3" w:rsidRPr="00E723C6">
        <w:rPr>
          <w:szCs w:val="22"/>
        </w:rPr>
        <w:t>highlight</w:t>
      </w:r>
      <w:r w:rsidR="004764C3">
        <w:rPr>
          <w:szCs w:val="22"/>
        </w:rPr>
        <w:t>ed</w:t>
      </w:r>
      <w:r w:rsidR="004764C3" w:rsidRPr="00E723C6">
        <w:rPr>
          <w:szCs w:val="22"/>
        </w:rPr>
        <w:t xml:space="preserve"> </w:t>
      </w:r>
      <w:r w:rsidRPr="00E723C6">
        <w:rPr>
          <w:szCs w:val="22"/>
        </w:rPr>
        <w:t>that a major challenge is the mobilisation of information on the effects of invasive alien species on social and cultural values</w:t>
      </w:r>
      <w:r w:rsidR="004764C3">
        <w:rPr>
          <w:szCs w:val="22"/>
        </w:rPr>
        <w:t xml:space="preserve"> of IPLCs</w:t>
      </w:r>
      <w:r w:rsidRPr="00E723C6">
        <w:rPr>
          <w:szCs w:val="22"/>
        </w:rPr>
        <w:t xml:space="preserve">. The Expert Workshop </w:t>
      </w:r>
      <w:r w:rsidR="004764C3" w:rsidRPr="00E723C6">
        <w:rPr>
          <w:szCs w:val="22"/>
        </w:rPr>
        <w:t>note</w:t>
      </w:r>
      <w:r w:rsidR="004764C3">
        <w:rPr>
          <w:szCs w:val="22"/>
        </w:rPr>
        <w:t>d</w:t>
      </w:r>
      <w:r w:rsidR="004764C3" w:rsidRPr="00E723C6">
        <w:rPr>
          <w:szCs w:val="22"/>
        </w:rPr>
        <w:t xml:space="preserve"> </w:t>
      </w:r>
      <w:r w:rsidRPr="00E723C6">
        <w:rPr>
          <w:szCs w:val="22"/>
        </w:rPr>
        <w:t xml:space="preserve">the importance of exploring alternative mechanisms to engage with IPLCs in mobilization of information. </w:t>
      </w:r>
    </w:p>
    <w:p w:rsidR="00E723C6" w:rsidRPr="00E723C6" w:rsidRDefault="00E723C6" w:rsidP="00E723C6">
      <w:pPr>
        <w:pStyle w:val="Para1"/>
        <w:numPr>
          <w:ilvl w:val="0"/>
          <w:numId w:val="6"/>
        </w:numPr>
        <w:ind w:left="0" w:firstLine="0"/>
        <w:rPr>
          <w:szCs w:val="22"/>
        </w:rPr>
      </w:pPr>
      <w:r w:rsidRPr="00E723C6">
        <w:rPr>
          <w:szCs w:val="22"/>
        </w:rPr>
        <w:lastRenderedPageBreak/>
        <w:t>The Expert Workshop note</w:t>
      </w:r>
      <w:r w:rsidR="004764C3">
        <w:rPr>
          <w:szCs w:val="22"/>
        </w:rPr>
        <w:t>d</w:t>
      </w:r>
      <w:r w:rsidRPr="00E723C6">
        <w:rPr>
          <w:szCs w:val="22"/>
        </w:rPr>
        <w:t xml:space="preserve"> that the work on cost-benefit and cost-effectiveness analyses aims to incorporate the impacts of invasive alien species upon social, economic and cultural values and livelihoods, as well as </w:t>
      </w:r>
      <w:r w:rsidR="004764C3">
        <w:rPr>
          <w:szCs w:val="22"/>
        </w:rPr>
        <w:t xml:space="preserve">on </w:t>
      </w:r>
      <w:r w:rsidRPr="00E723C6">
        <w:rPr>
          <w:szCs w:val="22"/>
        </w:rPr>
        <w:t xml:space="preserve">their management. </w:t>
      </w:r>
    </w:p>
    <w:p w:rsidR="00605407" w:rsidRDefault="00E723C6" w:rsidP="004C4C7C">
      <w:pPr>
        <w:pStyle w:val="Para1"/>
        <w:numPr>
          <w:ilvl w:val="0"/>
          <w:numId w:val="6"/>
        </w:numPr>
        <w:ind w:left="0" w:firstLine="0"/>
        <w:rPr>
          <w:szCs w:val="22"/>
        </w:rPr>
      </w:pPr>
      <w:r w:rsidRPr="00E723C6">
        <w:rPr>
          <w:szCs w:val="22"/>
        </w:rPr>
        <w:t xml:space="preserve">The Expert Workshop </w:t>
      </w:r>
      <w:r w:rsidR="00BB5183" w:rsidRPr="00E723C6">
        <w:rPr>
          <w:szCs w:val="22"/>
        </w:rPr>
        <w:t>stresse</w:t>
      </w:r>
      <w:r w:rsidR="00BB5183">
        <w:rPr>
          <w:szCs w:val="22"/>
        </w:rPr>
        <w:t>d</w:t>
      </w:r>
      <w:r w:rsidR="00BB5183" w:rsidRPr="00E723C6">
        <w:rPr>
          <w:szCs w:val="22"/>
        </w:rPr>
        <w:t xml:space="preserve"> </w:t>
      </w:r>
      <w:r w:rsidRPr="00E723C6">
        <w:rPr>
          <w:szCs w:val="22"/>
        </w:rPr>
        <w:t xml:space="preserve">the importance of incorporating social and cultural values within </w:t>
      </w:r>
      <w:r w:rsidR="00F51B84">
        <w:rPr>
          <w:szCs w:val="22"/>
        </w:rPr>
        <w:t>invasive alien species</w:t>
      </w:r>
      <w:r w:rsidR="00F51B84" w:rsidRPr="00E723C6">
        <w:rPr>
          <w:szCs w:val="22"/>
        </w:rPr>
        <w:t xml:space="preserve"> </w:t>
      </w:r>
      <w:r w:rsidR="00F51B84">
        <w:rPr>
          <w:szCs w:val="22"/>
        </w:rPr>
        <w:t>r</w:t>
      </w:r>
      <w:r w:rsidR="00F51B84" w:rsidRPr="00E723C6">
        <w:rPr>
          <w:szCs w:val="22"/>
        </w:rPr>
        <w:t xml:space="preserve">isk </w:t>
      </w:r>
      <w:r w:rsidR="00F51B84">
        <w:rPr>
          <w:szCs w:val="22"/>
        </w:rPr>
        <w:t>a</w:t>
      </w:r>
      <w:r w:rsidR="00F51B84" w:rsidRPr="00E723C6">
        <w:rPr>
          <w:szCs w:val="22"/>
        </w:rPr>
        <w:t xml:space="preserve">nalysis </w:t>
      </w:r>
      <w:r w:rsidRPr="00E723C6">
        <w:rPr>
          <w:szCs w:val="22"/>
        </w:rPr>
        <w:t>(assessment, management</w:t>
      </w:r>
      <w:r w:rsidR="004764C3">
        <w:rPr>
          <w:szCs w:val="22"/>
        </w:rPr>
        <w:t xml:space="preserve"> and</w:t>
      </w:r>
      <w:r w:rsidRPr="00E723C6">
        <w:rPr>
          <w:szCs w:val="22"/>
        </w:rPr>
        <w:t xml:space="preserve"> communication).</w:t>
      </w:r>
    </w:p>
    <w:p w:rsidR="00605407" w:rsidRPr="004C4C7C" w:rsidRDefault="00605407" w:rsidP="004C4C7C">
      <w:pPr>
        <w:pStyle w:val="Para1"/>
        <w:numPr>
          <w:ilvl w:val="0"/>
          <w:numId w:val="0"/>
        </w:numPr>
        <w:rPr>
          <w:b/>
          <w:i/>
          <w:szCs w:val="22"/>
        </w:rPr>
      </w:pPr>
      <w:r w:rsidRPr="004C4C7C">
        <w:rPr>
          <w:b/>
          <w:i/>
          <w:szCs w:val="22"/>
        </w:rPr>
        <w:t>Timeframe</w:t>
      </w:r>
    </w:p>
    <w:p w:rsidR="008652FA" w:rsidRDefault="008652FA" w:rsidP="00E723C6">
      <w:pPr>
        <w:pStyle w:val="Para1"/>
        <w:numPr>
          <w:ilvl w:val="0"/>
          <w:numId w:val="6"/>
        </w:numPr>
        <w:ind w:left="0" w:firstLine="0"/>
        <w:rPr>
          <w:szCs w:val="22"/>
        </w:rPr>
      </w:pPr>
      <w:r>
        <w:rPr>
          <w:szCs w:val="22"/>
        </w:rPr>
        <w:t xml:space="preserve">Timeframe for preparation for the twenty second </w:t>
      </w:r>
      <w:proofErr w:type="gramStart"/>
      <w:r>
        <w:rPr>
          <w:szCs w:val="22"/>
        </w:rPr>
        <w:t>meeting</w:t>
      </w:r>
      <w:proofErr w:type="gramEnd"/>
      <w:r>
        <w:rPr>
          <w:szCs w:val="22"/>
        </w:rPr>
        <w:t xml:space="preserve"> of </w:t>
      </w:r>
      <w:r w:rsidRPr="008652FA">
        <w:rPr>
          <w:szCs w:val="22"/>
        </w:rPr>
        <w:t>Subsidiary Body on Scientific, Technical and Technological Advice</w:t>
      </w:r>
      <w:r>
        <w:rPr>
          <w:szCs w:val="22"/>
        </w:rPr>
        <w:t xml:space="preserve"> is suggested by the Expert Workshop as shown in the table</w:t>
      </w:r>
      <w:r w:rsidR="00E723C6">
        <w:rPr>
          <w:szCs w:val="22"/>
        </w:rPr>
        <w:t>,</w:t>
      </w:r>
      <w:r>
        <w:rPr>
          <w:szCs w:val="22"/>
        </w:rPr>
        <w:t xml:space="preserve"> below.</w:t>
      </w:r>
    </w:p>
    <w:tbl>
      <w:tblPr>
        <w:tblW w:w="0" w:type="auto"/>
        <w:tblCellMar>
          <w:left w:w="0" w:type="dxa"/>
          <w:right w:w="0" w:type="dxa"/>
        </w:tblCellMar>
        <w:tblLook w:val="04A0" w:firstRow="1" w:lastRow="0" w:firstColumn="1" w:lastColumn="0" w:noHBand="0" w:noVBand="1"/>
      </w:tblPr>
      <w:tblGrid>
        <w:gridCol w:w="2236"/>
        <w:gridCol w:w="1669"/>
        <w:gridCol w:w="1852"/>
        <w:gridCol w:w="1770"/>
        <w:gridCol w:w="1813"/>
      </w:tblGrid>
      <w:tr w:rsidR="008652FA" w:rsidTr="005E519D">
        <w:tc>
          <w:tcPr>
            <w:tcW w:w="3192" w:type="dxa"/>
            <w:tcBorders>
              <w:top w:val="single" w:sz="8" w:space="0" w:color="auto"/>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rsidR="008652FA" w:rsidRPr="00413295" w:rsidRDefault="008652FA" w:rsidP="005E519D">
            <w:r w:rsidRPr="00413295">
              <w:t>Document title (shortened)</w:t>
            </w:r>
          </w:p>
        </w:tc>
        <w:tc>
          <w:tcPr>
            <w:tcW w:w="3192"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rsidR="008652FA" w:rsidRPr="00413295" w:rsidRDefault="008652FA" w:rsidP="005E519D">
            <w:r w:rsidRPr="00413295">
              <w:t>Before holidays</w:t>
            </w:r>
          </w:p>
        </w:tc>
        <w:tc>
          <w:tcPr>
            <w:tcW w:w="3192"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rsidR="008652FA" w:rsidRPr="00413295" w:rsidRDefault="008652FA" w:rsidP="005E519D">
            <w:r w:rsidRPr="00413295">
              <w:t>January 2018</w:t>
            </w:r>
          </w:p>
        </w:tc>
        <w:tc>
          <w:tcPr>
            <w:tcW w:w="3192"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rsidR="008652FA" w:rsidRPr="00413295" w:rsidRDefault="008652FA" w:rsidP="005E519D">
            <w:r w:rsidRPr="00413295">
              <w:t>February 2018</w:t>
            </w:r>
          </w:p>
        </w:tc>
        <w:tc>
          <w:tcPr>
            <w:tcW w:w="3192" w:type="dxa"/>
            <w:tcBorders>
              <w:top w:val="single" w:sz="8" w:space="0" w:color="auto"/>
              <w:left w:val="nil"/>
              <w:bottom w:val="single" w:sz="8" w:space="0" w:color="auto"/>
              <w:right w:val="single" w:sz="8" w:space="0" w:color="auto"/>
            </w:tcBorders>
            <w:shd w:val="clear" w:color="auto" w:fill="DDD9C3"/>
            <w:tcMar>
              <w:top w:w="0" w:type="dxa"/>
              <w:left w:w="108" w:type="dxa"/>
              <w:bottom w:w="0" w:type="dxa"/>
              <w:right w:w="108" w:type="dxa"/>
            </w:tcMar>
            <w:hideMark/>
          </w:tcPr>
          <w:p w:rsidR="008652FA" w:rsidRPr="00413295" w:rsidRDefault="008652FA" w:rsidP="005E519D">
            <w:r w:rsidRPr="00413295">
              <w:t>March 2018 onwards</w:t>
            </w:r>
          </w:p>
        </w:tc>
      </w:tr>
      <w:tr w:rsidR="008652FA" w:rsidTr="005E519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Supplemental guidance on live species trade and transport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r w:rsidRPr="00413295">
              <w:t>Clean copy reflected comments from IPPC, OIE and EWS by 23 December 2017</w:t>
            </w:r>
          </w:p>
          <w:p w:rsidR="008652FA" w:rsidRPr="00413295" w:rsidRDefault="008652FA" w:rsidP="005E519D"/>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Inputs from relevant organizations and experts by the end of January /early February</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Peer review process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Posting on SBSTTA Web site after editing by the end of March</w:t>
            </w:r>
          </w:p>
        </w:tc>
      </w:tr>
      <w:tr w:rsidR="008652FA" w:rsidTr="005E519D">
        <w:trPr>
          <w:trHeight w:val="602"/>
        </w:trPr>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 xml:space="preserve">Progress report on guidance tools setting </w:t>
            </w:r>
            <w:proofErr w:type="gramStart"/>
            <w:r w:rsidRPr="00413295">
              <w:t>on  IAS</w:t>
            </w:r>
            <w:proofErr w:type="gramEnd"/>
            <w:r w:rsidRPr="00413295">
              <w:t xml:space="preserve"> management  </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Secretariat prepares draft</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Peer review process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Posting by the end of March</w:t>
            </w:r>
          </w:p>
        </w:tc>
      </w:tr>
      <w:tr w:rsidR="008652FA" w:rsidTr="005E519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Report of EWS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Secretariat shares draft report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r w:rsidRPr="00413295">
              <w:t>Comments from participants</w:t>
            </w:r>
          </w:p>
          <w:p w:rsidR="008652FA" w:rsidRPr="00413295" w:rsidRDefault="008652FA" w:rsidP="005E519D"/>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Posting on the meeting web site with link to information submissions from experts and Parties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tc>
      </w:tr>
      <w:tr w:rsidR="008652FA" w:rsidTr="005E519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2FA" w:rsidRPr="00413295" w:rsidRDefault="008652FA" w:rsidP="005E519D">
            <w:r w:rsidRPr="00413295">
              <w:t>INF to SBSTTA22</w:t>
            </w:r>
          </w:p>
          <w:p w:rsidR="008652FA" w:rsidRPr="00413295" w:rsidRDefault="008652FA" w:rsidP="005E519D"/>
          <w:p w:rsidR="008652FA" w:rsidRPr="00413295" w:rsidRDefault="008652FA" w:rsidP="005E519D">
            <w:r w:rsidRPr="00413295">
              <w:t xml:space="preserve">Progress on risk management of e-commerce </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t>WCO Conference on E-Commerce in China</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8652FA" w:rsidRPr="00413295" w:rsidRDefault="008652FA" w:rsidP="005E519D">
            <w:r w:rsidRPr="00413295">
              <w:rPr>
                <w:rFonts w:ascii="Wingdings" w:hAnsi="Wingdings"/>
              </w:rPr>
              <w:t></w:t>
            </w:r>
            <w:r w:rsidRPr="00413295">
              <w:t>posting at the latest SBSTTA22 (SCBD internal review is required)</w:t>
            </w:r>
          </w:p>
        </w:tc>
      </w:tr>
      <w:tr w:rsidR="008652FA" w:rsidTr="005E519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2FA" w:rsidRPr="00413295" w:rsidRDefault="008652FA" w:rsidP="005E519D">
            <w:r w:rsidRPr="00413295">
              <w:t>INF to SBSTTA22</w:t>
            </w:r>
          </w:p>
          <w:p w:rsidR="008652FA" w:rsidRPr="00413295" w:rsidRDefault="008652FA" w:rsidP="005E519D"/>
          <w:p w:rsidR="008652FA" w:rsidRPr="00413295" w:rsidRDefault="008652FA" w:rsidP="005E519D">
            <w:r w:rsidRPr="00413295">
              <w:t xml:space="preserve">IUCN proposed framework on </w:t>
            </w:r>
            <w:proofErr w:type="gramStart"/>
            <w:r w:rsidRPr="00413295">
              <w:t>technical  guidance</w:t>
            </w:r>
            <w:proofErr w:type="gramEnd"/>
            <w:r w:rsidRPr="00413295">
              <w:t xml:space="preserve"> on cost-benefit analysis </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roofErr w:type="gramStart"/>
            <w:r w:rsidRPr="00413295">
              <w:t>posting  at</w:t>
            </w:r>
            <w:proofErr w:type="gramEnd"/>
            <w:r w:rsidRPr="00413295">
              <w:t xml:space="preserve"> the latest SBSTTA22 (SCBD internal review is required)</w:t>
            </w:r>
          </w:p>
        </w:tc>
      </w:tr>
      <w:tr w:rsidR="008652FA" w:rsidTr="005E519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2FA" w:rsidRPr="00413295" w:rsidRDefault="008652FA" w:rsidP="005E519D">
            <w:r w:rsidRPr="00413295">
              <w:t>INF to SBSTTA22</w:t>
            </w:r>
          </w:p>
          <w:p w:rsidR="008652FA" w:rsidRPr="00413295" w:rsidRDefault="008652FA" w:rsidP="005E519D"/>
          <w:p w:rsidR="008652FA" w:rsidRPr="00413295" w:rsidRDefault="008652FA" w:rsidP="005E519D">
            <w:r w:rsidRPr="00413295">
              <w:t>EICAT, SEICAT, GIASI Partnership</w:t>
            </w:r>
          </w:p>
          <w:p w:rsidR="008652FA" w:rsidRPr="00413295" w:rsidRDefault="008652FA" w:rsidP="005E519D"/>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r w:rsidRPr="00413295">
              <w:t xml:space="preserve"> posting at </w:t>
            </w:r>
            <w:proofErr w:type="gramStart"/>
            <w:r w:rsidRPr="00413295">
              <w:t>the  latest</w:t>
            </w:r>
            <w:proofErr w:type="gramEnd"/>
            <w:r w:rsidRPr="00413295">
              <w:t xml:space="preserve"> SBSTTA22 (SCBD internal review is required)</w:t>
            </w:r>
          </w:p>
        </w:tc>
      </w:tr>
      <w:tr w:rsidR="008652FA" w:rsidTr="005E519D">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652FA" w:rsidRPr="00413295" w:rsidRDefault="008652FA" w:rsidP="005E519D">
            <w:r w:rsidRPr="00413295">
              <w:t>INF to SBSTTA22</w:t>
            </w:r>
          </w:p>
          <w:p w:rsidR="008652FA" w:rsidRPr="00413295" w:rsidRDefault="008652FA" w:rsidP="005E519D"/>
          <w:p w:rsidR="008652FA" w:rsidRPr="00413295" w:rsidRDefault="008652FA" w:rsidP="005E519D">
            <w:r w:rsidRPr="00413295">
              <w:t xml:space="preserve">Impact of climate change, natural </w:t>
            </w:r>
            <w:r w:rsidRPr="00413295">
              <w:lastRenderedPageBreak/>
              <w:t>disaster and land-use change</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rsidR="008652FA" w:rsidRPr="00413295" w:rsidRDefault="008652FA" w:rsidP="005E519D"/>
          <w:p w:rsidR="008652FA" w:rsidRPr="00413295" w:rsidRDefault="008652FA" w:rsidP="005E519D">
            <w:r w:rsidRPr="00413295">
              <w:rPr>
                <w:rFonts w:ascii="Wingdings" w:hAnsi="Wingdings"/>
              </w:rPr>
              <w:t></w:t>
            </w:r>
            <w:r w:rsidRPr="00413295">
              <w:t xml:space="preserve">posting at the latest SBSTTA22 (SCBD internal </w:t>
            </w:r>
            <w:r w:rsidRPr="00413295">
              <w:lastRenderedPageBreak/>
              <w:t>review is required)</w:t>
            </w:r>
          </w:p>
        </w:tc>
      </w:tr>
    </w:tbl>
    <w:p w:rsidR="005E519D" w:rsidRDefault="005E519D" w:rsidP="005E519D">
      <w:pPr>
        <w:pStyle w:val="Para1"/>
        <w:numPr>
          <w:ilvl w:val="0"/>
          <w:numId w:val="0"/>
        </w:numPr>
        <w:rPr>
          <w:szCs w:val="22"/>
        </w:rPr>
      </w:pPr>
    </w:p>
    <w:p w:rsidR="00A92163" w:rsidRPr="00EB2C6E" w:rsidRDefault="005E519D" w:rsidP="00A92163">
      <w:pPr>
        <w:pStyle w:val="Para1"/>
        <w:numPr>
          <w:ilvl w:val="0"/>
          <w:numId w:val="0"/>
        </w:numPr>
        <w:jc w:val="left"/>
        <w:rPr>
          <w:kern w:val="22"/>
          <w:szCs w:val="22"/>
        </w:rPr>
      </w:pPr>
      <w:r>
        <w:rPr>
          <w:szCs w:val="22"/>
        </w:rPr>
        <w:br w:type="page"/>
      </w:r>
    </w:p>
    <w:p w:rsidR="00A92163" w:rsidRDefault="00A92163" w:rsidP="00A92163">
      <w:pPr>
        <w:pStyle w:val="Para1"/>
        <w:numPr>
          <w:ilvl w:val="0"/>
          <w:numId w:val="0"/>
        </w:numPr>
        <w:jc w:val="center"/>
        <w:rPr>
          <w:kern w:val="22"/>
          <w:szCs w:val="22"/>
        </w:rPr>
      </w:pPr>
      <w:r w:rsidRPr="00D65584">
        <w:rPr>
          <w:i/>
          <w:kern w:val="22"/>
          <w:szCs w:val="22"/>
        </w:rPr>
        <w:lastRenderedPageBreak/>
        <w:t>Anne</w:t>
      </w:r>
      <w:r>
        <w:rPr>
          <w:i/>
          <w:kern w:val="22"/>
          <w:szCs w:val="22"/>
        </w:rPr>
        <w:t>x I</w:t>
      </w:r>
    </w:p>
    <w:p w:rsidR="00A92163" w:rsidRPr="000A4355" w:rsidRDefault="00A92163" w:rsidP="00A92163">
      <w:pPr>
        <w:pStyle w:val="Para1"/>
        <w:numPr>
          <w:ilvl w:val="0"/>
          <w:numId w:val="0"/>
        </w:numPr>
        <w:jc w:val="center"/>
        <w:rPr>
          <w:b/>
          <w:kern w:val="22"/>
        </w:rPr>
      </w:pPr>
      <w:r>
        <w:rPr>
          <w:b/>
          <w:kern w:val="22"/>
        </w:rPr>
        <w:t>LIST OF PARTICIPANTS</w:t>
      </w:r>
    </w:p>
    <w:p w:rsidR="00A92163" w:rsidRPr="00EB2C6E" w:rsidRDefault="00A92163" w:rsidP="00A92163">
      <w:pPr>
        <w:pStyle w:val="Para1"/>
        <w:numPr>
          <w:ilvl w:val="0"/>
          <w:numId w:val="0"/>
        </w:numPr>
        <w:jc w:val="left"/>
        <w:rPr>
          <w:kern w:val="22"/>
          <w:szCs w:val="22"/>
        </w:rPr>
      </w:pPr>
    </w:p>
    <w:p w:rsidR="00A92163" w:rsidRDefault="00A92163" w:rsidP="00A92163">
      <w:pPr>
        <w:pStyle w:val="Para1"/>
        <w:numPr>
          <w:ilvl w:val="0"/>
          <w:numId w:val="0"/>
        </w:numPr>
        <w:rPr>
          <w:kern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9"/>
      </w:tblGrid>
      <w:tr w:rsidR="00A92163" w:rsidRPr="008840CF" w:rsidTr="00931847">
        <w:tc>
          <w:tcPr>
            <w:tcW w:w="4788" w:type="dxa"/>
          </w:tcPr>
          <w:p w:rsidR="00A92163" w:rsidRPr="008840CF" w:rsidRDefault="00A92163" w:rsidP="00931847">
            <w:pPr>
              <w:pStyle w:val="Para1"/>
              <w:numPr>
                <w:ilvl w:val="0"/>
                <w:numId w:val="0"/>
              </w:numPr>
              <w:spacing w:before="0" w:after="0"/>
              <w:rPr>
                <w:rFonts w:ascii="Times New Roman Bold" w:hAnsi="Times New Roman Bold"/>
                <w:b/>
                <w:spacing w:val="40"/>
                <w:kern w:val="22"/>
                <w:szCs w:val="22"/>
              </w:rPr>
            </w:pPr>
            <w:r w:rsidRPr="008840CF">
              <w:rPr>
                <w:rFonts w:ascii="Times New Roman Bold" w:hAnsi="Times New Roman Bold"/>
                <w:b/>
                <w:spacing w:val="40"/>
                <w:kern w:val="22"/>
                <w:szCs w:val="22"/>
              </w:rPr>
              <w:t>Barbados</w:t>
            </w:r>
          </w:p>
        </w:tc>
        <w:tc>
          <w:tcPr>
            <w:tcW w:w="4788" w:type="dxa"/>
          </w:tcPr>
          <w:p w:rsidR="00A92163" w:rsidRPr="008840CF" w:rsidRDefault="00A92163" w:rsidP="00931847">
            <w:pPr>
              <w:pStyle w:val="Para1"/>
              <w:numPr>
                <w:ilvl w:val="0"/>
                <w:numId w:val="0"/>
              </w:numPr>
              <w:spacing w:before="0" w:after="0"/>
              <w:rPr>
                <w:rFonts w:ascii="Times New Roman Bold" w:hAnsi="Times New Roman Bold"/>
                <w:b/>
                <w:spacing w:val="40"/>
                <w:kern w:val="22"/>
                <w:szCs w:val="22"/>
              </w:rPr>
            </w:pPr>
            <w:r w:rsidRPr="008840CF">
              <w:rPr>
                <w:rFonts w:ascii="Times New Roman Bold" w:hAnsi="Times New Roman Bold"/>
                <w:b/>
                <w:spacing w:val="40"/>
                <w:kern w:val="22"/>
                <w:szCs w:val="22"/>
              </w:rPr>
              <w:t>Brazil</w:t>
            </w:r>
          </w:p>
        </w:tc>
      </w:tr>
      <w:tr w:rsidR="00A92163" w:rsidTr="00931847">
        <w:tc>
          <w:tcPr>
            <w:tcW w:w="4788" w:type="dxa"/>
          </w:tcPr>
          <w:p w:rsidR="00A92163" w:rsidRPr="00031886" w:rsidRDefault="00A92163" w:rsidP="00D53305">
            <w:pPr>
              <w:pStyle w:val="Para1"/>
              <w:numPr>
                <w:ilvl w:val="0"/>
                <w:numId w:val="15"/>
              </w:numPr>
              <w:spacing w:before="0" w:after="0"/>
              <w:rPr>
                <w:kern w:val="22"/>
                <w:szCs w:val="22"/>
              </w:rPr>
            </w:pPr>
            <w:r>
              <w:rPr>
                <w:kern w:val="22"/>
                <w:szCs w:val="22"/>
              </w:rPr>
              <w:t xml:space="preserve">Ms. Kim </w:t>
            </w:r>
            <w:r w:rsidRPr="00031886">
              <w:rPr>
                <w:kern w:val="22"/>
                <w:szCs w:val="22"/>
              </w:rPr>
              <w:t>Downes Agard</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Environmental Officer</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Biodiversity Conservation and Management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Ministry of Environment and Drainage</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St. Michael, Barbados</w:t>
            </w:r>
          </w:p>
          <w:p w:rsidR="00A92163" w:rsidRDefault="00A92163" w:rsidP="00931847">
            <w:pPr>
              <w:pStyle w:val="Para1"/>
              <w:numPr>
                <w:ilvl w:val="0"/>
                <w:numId w:val="0"/>
              </w:numPr>
              <w:spacing w:before="0" w:after="0"/>
              <w:ind w:left="360"/>
              <w:rPr>
                <w:kern w:val="22"/>
                <w:szCs w:val="22"/>
              </w:rPr>
            </w:pPr>
            <w:r w:rsidRPr="00031886">
              <w:rPr>
                <w:kern w:val="22"/>
                <w:szCs w:val="22"/>
              </w:rPr>
              <w:t>kim.downesagard@barbados.gov.bb; downeskn@hotmail.com</w:t>
            </w:r>
          </w:p>
        </w:tc>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 xml:space="preserve">Ms. </w:t>
            </w:r>
            <w:proofErr w:type="spellStart"/>
            <w:r w:rsidRPr="00031886">
              <w:rPr>
                <w:kern w:val="22"/>
                <w:szCs w:val="22"/>
              </w:rPr>
              <w:t>Tatiani</w:t>
            </w:r>
            <w:proofErr w:type="spellEnd"/>
            <w:r w:rsidRPr="00031886">
              <w:rPr>
                <w:kern w:val="22"/>
                <w:szCs w:val="22"/>
              </w:rPr>
              <w:t xml:space="preserve"> Elisa </w:t>
            </w:r>
            <w:proofErr w:type="spellStart"/>
            <w:r w:rsidRPr="00031886">
              <w:rPr>
                <w:kern w:val="22"/>
                <w:szCs w:val="22"/>
              </w:rPr>
              <w:t>Chapla</w:t>
            </w:r>
            <w:proofErr w:type="spellEnd"/>
          </w:p>
          <w:p w:rsidR="00A92163" w:rsidRPr="00031886" w:rsidRDefault="00A92163" w:rsidP="00931847">
            <w:pPr>
              <w:pStyle w:val="Para1"/>
              <w:numPr>
                <w:ilvl w:val="0"/>
                <w:numId w:val="0"/>
              </w:numPr>
              <w:spacing w:before="0" w:after="0"/>
              <w:ind w:left="360"/>
              <w:rPr>
                <w:kern w:val="22"/>
                <w:szCs w:val="22"/>
              </w:rPr>
            </w:pPr>
            <w:r w:rsidRPr="00031886">
              <w:rPr>
                <w:kern w:val="22"/>
                <w:szCs w:val="22"/>
              </w:rPr>
              <w:t>Environmental Analyst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Secretariat of Biodiversity</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Department of Species Conservation and Management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Ministry of the Environment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Brasilia, Brazil</w:t>
            </w:r>
          </w:p>
          <w:p w:rsidR="00A92163" w:rsidRDefault="00A92163" w:rsidP="00931847">
            <w:pPr>
              <w:pStyle w:val="Para1"/>
              <w:numPr>
                <w:ilvl w:val="0"/>
                <w:numId w:val="0"/>
              </w:numPr>
              <w:spacing w:before="0" w:after="0"/>
              <w:ind w:left="360"/>
              <w:rPr>
                <w:kern w:val="22"/>
                <w:szCs w:val="22"/>
              </w:rPr>
            </w:pPr>
            <w:r w:rsidRPr="00031886">
              <w:rPr>
                <w:kern w:val="22"/>
                <w:szCs w:val="22"/>
              </w:rPr>
              <w:t>tatiani.chapla@mma.gov.br; tatianichapla@gmail.com</w:t>
            </w:r>
          </w:p>
        </w:tc>
      </w:tr>
      <w:tr w:rsidR="00A92163" w:rsidTr="00931847">
        <w:tc>
          <w:tcPr>
            <w:tcW w:w="4788" w:type="dxa"/>
          </w:tcPr>
          <w:p w:rsidR="00A92163" w:rsidRPr="008840CF" w:rsidRDefault="00A92163" w:rsidP="00931847">
            <w:pPr>
              <w:pStyle w:val="Para1"/>
              <w:numPr>
                <w:ilvl w:val="0"/>
                <w:numId w:val="0"/>
              </w:numPr>
              <w:spacing w:before="0" w:after="0"/>
              <w:rPr>
                <w:rFonts w:ascii="Times New Roman Bold" w:hAnsi="Times New Roman Bold"/>
                <w:b/>
                <w:spacing w:val="40"/>
                <w:kern w:val="22"/>
                <w:szCs w:val="22"/>
              </w:rPr>
            </w:pPr>
            <w:r w:rsidRPr="008840CF">
              <w:rPr>
                <w:rFonts w:ascii="Times New Roman Bold" w:hAnsi="Times New Roman Bold"/>
                <w:b/>
                <w:spacing w:val="40"/>
                <w:kern w:val="22"/>
                <w:szCs w:val="22"/>
              </w:rPr>
              <w:t>Cape Verde</w:t>
            </w:r>
          </w:p>
        </w:tc>
        <w:tc>
          <w:tcPr>
            <w:tcW w:w="4788" w:type="dxa"/>
          </w:tcPr>
          <w:p w:rsidR="00A92163" w:rsidRPr="008840CF" w:rsidRDefault="00A92163" w:rsidP="00931847">
            <w:pPr>
              <w:pStyle w:val="Para1"/>
              <w:numPr>
                <w:ilvl w:val="0"/>
                <w:numId w:val="0"/>
              </w:numPr>
              <w:spacing w:before="0" w:after="0"/>
              <w:rPr>
                <w:rFonts w:ascii="Times New Roman Bold" w:hAnsi="Times New Roman Bold"/>
                <w:b/>
                <w:spacing w:val="40"/>
                <w:kern w:val="22"/>
                <w:szCs w:val="22"/>
              </w:rPr>
            </w:pPr>
          </w:p>
        </w:tc>
      </w:tr>
      <w:tr w:rsidR="00A92163" w:rsidTr="00931847">
        <w:tc>
          <w:tcPr>
            <w:tcW w:w="4788" w:type="dxa"/>
          </w:tcPr>
          <w:p w:rsidR="00A92163" w:rsidRPr="00031886" w:rsidRDefault="00A92163" w:rsidP="00D53305">
            <w:pPr>
              <w:pStyle w:val="Para1"/>
              <w:numPr>
                <w:ilvl w:val="0"/>
                <w:numId w:val="15"/>
              </w:numPr>
              <w:spacing w:before="0" w:after="0"/>
              <w:rPr>
                <w:kern w:val="22"/>
                <w:szCs w:val="22"/>
                <w:lang w:val="pt-BR"/>
              </w:rPr>
            </w:pPr>
            <w:r w:rsidRPr="00031886">
              <w:rPr>
                <w:kern w:val="22"/>
                <w:szCs w:val="22"/>
                <w:lang w:val="pt-BR"/>
              </w:rPr>
              <w:t>Ms. Sonia Indira Monteiro de Pina Araujo</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Marine Turtle Conservation Coordinator</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General Directorate of Environment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Ministry of Environment and Agriculture</w:t>
            </w:r>
          </w:p>
          <w:p w:rsidR="00A92163" w:rsidRPr="00031886" w:rsidRDefault="00A92163" w:rsidP="00931847">
            <w:pPr>
              <w:pStyle w:val="Para1"/>
              <w:numPr>
                <w:ilvl w:val="0"/>
                <w:numId w:val="0"/>
              </w:numPr>
              <w:spacing w:before="0" w:after="0"/>
              <w:ind w:left="360"/>
              <w:rPr>
                <w:kern w:val="22"/>
                <w:szCs w:val="22"/>
              </w:rPr>
            </w:pPr>
            <w:r>
              <w:rPr>
                <w:kern w:val="22"/>
                <w:szCs w:val="22"/>
              </w:rPr>
              <w:t>Praia, Cape</w:t>
            </w:r>
            <w:r w:rsidRPr="00031886">
              <w:rPr>
                <w:kern w:val="22"/>
                <w:szCs w:val="22"/>
              </w:rPr>
              <w:t xml:space="preserve"> Verde</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soniaraujocv@gmail.com</w:t>
            </w:r>
          </w:p>
          <w:p w:rsidR="00A92163" w:rsidRDefault="00A92163" w:rsidP="00931847">
            <w:pPr>
              <w:pStyle w:val="Para1"/>
              <w:numPr>
                <w:ilvl w:val="0"/>
                <w:numId w:val="0"/>
              </w:numPr>
              <w:spacing w:before="0" w:after="0"/>
              <w:ind w:left="360"/>
              <w:rPr>
                <w:kern w:val="22"/>
                <w:szCs w:val="22"/>
              </w:rPr>
            </w:pPr>
          </w:p>
        </w:tc>
        <w:tc>
          <w:tcPr>
            <w:tcW w:w="4788" w:type="dxa"/>
          </w:tcPr>
          <w:p w:rsidR="00A92163" w:rsidRPr="00031886" w:rsidRDefault="00A92163" w:rsidP="00931847">
            <w:pPr>
              <w:pStyle w:val="Para1"/>
              <w:numPr>
                <w:ilvl w:val="0"/>
                <w:numId w:val="0"/>
              </w:numPr>
              <w:spacing w:before="0" w:after="0"/>
              <w:ind w:left="360"/>
              <w:rPr>
                <w:kern w:val="22"/>
                <w:szCs w:val="22"/>
              </w:rPr>
            </w:pPr>
          </w:p>
        </w:tc>
      </w:tr>
      <w:tr w:rsidR="00A92163" w:rsidTr="00931847">
        <w:tc>
          <w:tcPr>
            <w:tcW w:w="4788" w:type="dxa"/>
          </w:tcPr>
          <w:p w:rsidR="00A92163" w:rsidRPr="008840CF" w:rsidRDefault="00A92163" w:rsidP="00931847">
            <w:pPr>
              <w:pStyle w:val="Para1"/>
              <w:numPr>
                <w:ilvl w:val="0"/>
                <w:numId w:val="0"/>
              </w:numPr>
              <w:spacing w:before="0" w:after="0"/>
              <w:rPr>
                <w:rFonts w:ascii="Times New Roman Bold" w:hAnsi="Times New Roman Bold"/>
                <w:b/>
                <w:spacing w:val="40"/>
                <w:kern w:val="22"/>
                <w:szCs w:val="22"/>
              </w:rPr>
            </w:pPr>
            <w:r w:rsidRPr="008840CF">
              <w:rPr>
                <w:rFonts w:ascii="Times New Roman Bold" w:hAnsi="Times New Roman Bold"/>
                <w:b/>
                <w:spacing w:val="40"/>
                <w:kern w:val="22"/>
                <w:szCs w:val="22"/>
              </w:rPr>
              <w:t>Canada</w:t>
            </w:r>
          </w:p>
        </w:tc>
        <w:tc>
          <w:tcPr>
            <w:tcW w:w="4788" w:type="dxa"/>
          </w:tcPr>
          <w:p w:rsidR="00A92163" w:rsidRPr="008840CF" w:rsidRDefault="00A92163" w:rsidP="00931847">
            <w:pPr>
              <w:pStyle w:val="Para1"/>
              <w:numPr>
                <w:ilvl w:val="0"/>
                <w:numId w:val="0"/>
              </w:numPr>
              <w:spacing w:before="0" w:after="0"/>
              <w:rPr>
                <w:rFonts w:ascii="Times New Roman Bold" w:hAnsi="Times New Roman Bold"/>
                <w:b/>
                <w:spacing w:val="40"/>
                <w:kern w:val="22"/>
                <w:szCs w:val="22"/>
              </w:rPr>
            </w:pPr>
          </w:p>
        </w:tc>
      </w:tr>
      <w:tr w:rsidR="00A92163" w:rsidTr="00931847">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Ms. Christine Villegas</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Invasive Alien Species and Domestic Programs</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Canadian Food Inspection Agency</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Government of Canada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Ottawa, Ontario</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christine.villegas@inspection.gc.ca</w:t>
            </w:r>
          </w:p>
          <w:p w:rsidR="00A92163" w:rsidRPr="00031886" w:rsidRDefault="00A92163" w:rsidP="00931847">
            <w:pPr>
              <w:pStyle w:val="Para1"/>
              <w:numPr>
                <w:ilvl w:val="0"/>
                <w:numId w:val="0"/>
              </w:numPr>
              <w:spacing w:before="0" w:after="0"/>
              <w:rPr>
                <w:kern w:val="22"/>
                <w:szCs w:val="22"/>
              </w:rPr>
            </w:pPr>
          </w:p>
          <w:p w:rsidR="00A92163" w:rsidRPr="00031886" w:rsidRDefault="00A92163" w:rsidP="004764C3">
            <w:pPr>
              <w:pStyle w:val="Para1"/>
              <w:numPr>
                <w:ilvl w:val="0"/>
                <w:numId w:val="15"/>
              </w:numPr>
              <w:spacing w:before="0" w:after="0"/>
              <w:rPr>
                <w:kern w:val="22"/>
                <w:szCs w:val="22"/>
              </w:rPr>
            </w:pPr>
            <w:r>
              <w:rPr>
                <w:kern w:val="22"/>
                <w:szCs w:val="22"/>
              </w:rPr>
              <w:t xml:space="preserve">Mr. </w:t>
            </w:r>
            <w:r w:rsidR="004764C3">
              <w:rPr>
                <w:kern w:val="22"/>
                <w:szCs w:val="22"/>
              </w:rPr>
              <w:t>Guy Robichaud</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Department of Fisheries and Oceans Canada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Government of Canada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 xml:space="preserve">Moncton, New </w:t>
            </w:r>
            <w:r w:rsidR="004764C3" w:rsidRPr="00031886">
              <w:rPr>
                <w:kern w:val="22"/>
                <w:szCs w:val="22"/>
              </w:rPr>
              <w:t>Brunswick</w:t>
            </w:r>
          </w:p>
          <w:p w:rsidR="00A92163" w:rsidRDefault="00A92163" w:rsidP="00931847">
            <w:pPr>
              <w:pStyle w:val="Para1"/>
              <w:numPr>
                <w:ilvl w:val="0"/>
                <w:numId w:val="0"/>
              </w:numPr>
              <w:spacing w:before="0" w:after="0"/>
              <w:ind w:left="360"/>
              <w:rPr>
                <w:kern w:val="22"/>
                <w:szCs w:val="22"/>
              </w:rPr>
            </w:pPr>
            <w:r w:rsidRPr="00031886">
              <w:rPr>
                <w:kern w:val="22"/>
                <w:szCs w:val="22"/>
              </w:rPr>
              <w:t>guy.robichaud@dfo-mpo.gc.ca</w:t>
            </w:r>
          </w:p>
          <w:p w:rsidR="00A92163" w:rsidRPr="00031886" w:rsidRDefault="00A92163" w:rsidP="00931847">
            <w:pPr>
              <w:pStyle w:val="Para1"/>
              <w:numPr>
                <w:ilvl w:val="0"/>
                <w:numId w:val="0"/>
              </w:numPr>
              <w:spacing w:before="0" w:after="0"/>
              <w:ind w:left="360"/>
              <w:rPr>
                <w:kern w:val="22"/>
                <w:szCs w:val="22"/>
              </w:rPr>
            </w:pPr>
          </w:p>
          <w:p w:rsidR="00A92163" w:rsidRPr="00031886" w:rsidRDefault="00A92163" w:rsidP="00D53305">
            <w:pPr>
              <w:pStyle w:val="Para1"/>
              <w:numPr>
                <w:ilvl w:val="0"/>
                <w:numId w:val="15"/>
              </w:numPr>
              <w:spacing w:before="0" w:after="0"/>
              <w:rPr>
                <w:kern w:val="22"/>
                <w:szCs w:val="22"/>
              </w:rPr>
            </w:pPr>
            <w:r w:rsidRPr="00031886">
              <w:rPr>
                <w:kern w:val="22"/>
                <w:szCs w:val="22"/>
              </w:rPr>
              <w:t xml:space="preserve">Mr. Thomas W. </w:t>
            </w:r>
            <w:proofErr w:type="spellStart"/>
            <w:r w:rsidRPr="00031886">
              <w:rPr>
                <w:kern w:val="22"/>
                <w:szCs w:val="22"/>
              </w:rPr>
              <w:t>Therriault</w:t>
            </w:r>
            <w:proofErr w:type="spellEnd"/>
          </w:p>
          <w:p w:rsidR="00A92163" w:rsidRPr="00031886" w:rsidRDefault="00A92163" w:rsidP="00931847">
            <w:pPr>
              <w:pStyle w:val="Para1"/>
              <w:numPr>
                <w:ilvl w:val="0"/>
                <w:numId w:val="0"/>
              </w:numPr>
              <w:spacing w:before="0" w:after="0"/>
              <w:ind w:left="360"/>
              <w:rPr>
                <w:kern w:val="22"/>
                <w:szCs w:val="22"/>
              </w:rPr>
            </w:pPr>
            <w:r w:rsidRPr="00031886">
              <w:rPr>
                <w:kern w:val="22"/>
                <w:szCs w:val="22"/>
              </w:rPr>
              <w:t>Research Scientist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Fisheries and Oceans Canada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 xml:space="preserve">Government of Canada  </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Nanaimo, Canada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thomas.therriault@dfo-mpo.gc.ca</w:t>
            </w:r>
          </w:p>
          <w:p w:rsidR="00A92163" w:rsidRDefault="00A92163" w:rsidP="00931847">
            <w:pPr>
              <w:pStyle w:val="Para1"/>
              <w:numPr>
                <w:ilvl w:val="0"/>
                <w:numId w:val="0"/>
              </w:numPr>
              <w:spacing w:before="0" w:after="0"/>
              <w:rPr>
                <w:kern w:val="22"/>
                <w:szCs w:val="22"/>
              </w:rPr>
            </w:pPr>
          </w:p>
        </w:tc>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Ms. Erin LeClair</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Risk Assessor</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Canadian Food Inspection Agency</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Government of Canada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Ottawa, Ontario</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erin.leclair@inspection.gc.ca</w:t>
            </w:r>
          </w:p>
          <w:p w:rsidR="00A92163" w:rsidRPr="00031886" w:rsidRDefault="00A92163" w:rsidP="00931847">
            <w:pPr>
              <w:pStyle w:val="Para1"/>
              <w:numPr>
                <w:ilvl w:val="0"/>
                <w:numId w:val="0"/>
              </w:numPr>
              <w:spacing w:before="0" w:after="0"/>
              <w:rPr>
                <w:kern w:val="22"/>
                <w:szCs w:val="22"/>
              </w:rPr>
            </w:pPr>
          </w:p>
          <w:p w:rsidR="00A92163" w:rsidRPr="00031886" w:rsidRDefault="00A92163" w:rsidP="00D53305">
            <w:pPr>
              <w:pStyle w:val="Para1"/>
              <w:numPr>
                <w:ilvl w:val="0"/>
                <w:numId w:val="15"/>
              </w:numPr>
              <w:spacing w:before="0" w:after="0"/>
              <w:rPr>
                <w:kern w:val="22"/>
                <w:szCs w:val="22"/>
              </w:rPr>
            </w:pPr>
            <w:r w:rsidRPr="00031886">
              <w:rPr>
                <w:kern w:val="22"/>
                <w:szCs w:val="22"/>
              </w:rPr>
              <w:t>Mr. Peter Mason</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Program Representative and Research Scientist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Agriculture and Agri-Food Canada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Government of Canada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Ottawa, Ontario</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peter.mason@agr.gc.ca</w:t>
            </w:r>
          </w:p>
          <w:p w:rsidR="00A92163" w:rsidRPr="00031886" w:rsidRDefault="00A92163" w:rsidP="00931847">
            <w:pPr>
              <w:pStyle w:val="Para1"/>
              <w:numPr>
                <w:ilvl w:val="0"/>
                <w:numId w:val="0"/>
              </w:numPr>
              <w:spacing w:before="0" w:after="0"/>
              <w:rPr>
                <w:kern w:val="22"/>
                <w:szCs w:val="22"/>
              </w:rPr>
            </w:pPr>
          </w:p>
          <w:p w:rsidR="00A92163" w:rsidRPr="00031886" w:rsidRDefault="00A92163" w:rsidP="00931847">
            <w:pPr>
              <w:pStyle w:val="Para1"/>
              <w:numPr>
                <w:ilvl w:val="0"/>
                <w:numId w:val="0"/>
              </w:numPr>
              <w:spacing w:before="0" w:after="0"/>
              <w:rPr>
                <w:kern w:val="22"/>
                <w:szCs w:val="22"/>
              </w:rPr>
            </w:pPr>
          </w:p>
        </w:tc>
      </w:tr>
      <w:tr w:rsidR="00A92163" w:rsidTr="00931847">
        <w:tc>
          <w:tcPr>
            <w:tcW w:w="4788" w:type="dxa"/>
          </w:tcPr>
          <w:p w:rsidR="00A92163" w:rsidRDefault="00A92163" w:rsidP="00931847">
            <w:pPr>
              <w:pStyle w:val="Para1"/>
              <w:numPr>
                <w:ilvl w:val="0"/>
                <w:numId w:val="0"/>
              </w:numPr>
              <w:spacing w:before="0" w:after="0"/>
              <w:rPr>
                <w:kern w:val="22"/>
                <w:szCs w:val="22"/>
              </w:rPr>
            </w:pPr>
            <w:r w:rsidRPr="008840CF">
              <w:rPr>
                <w:rFonts w:ascii="Times New Roman Bold" w:hAnsi="Times New Roman Bold"/>
                <w:b/>
                <w:spacing w:val="40"/>
                <w:kern w:val="22"/>
                <w:szCs w:val="22"/>
              </w:rPr>
              <w:t>Mexico</w:t>
            </w:r>
          </w:p>
        </w:tc>
        <w:tc>
          <w:tcPr>
            <w:tcW w:w="4788" w:type="dxa"/>
          </w:tcPr>
          <w:p w:rsidR="00A92163" w:rsidRPr="00031886" w:rsidRDefault="00A92163" w:rsidP="00931847">
            <w:pPr>
              <w:pStyle w:val="Para1"/>
              <w:numPr>
                <w:ilvl w:val="0"/>
                <w:numId w:val="0"/>
              </w:numPr>
              <w:spacing w:before="0" w:after="0"/>
              <w:rPr>
                <w:kern w:val="22"/>
                <w:szCs w:val="22"/>
              </w:rPr>
            </w:pPr>
          </w:p>
        </w:tc>
      </w:tr>
      <w:tr w:rsidR="00A92163" w:rsidRPr="001B7FEE" w:rsidTr="00931847">
        <w:tc>
          <w:tcPr>
            <w:tcW w:w="4788" w:type="dxa"/>
          </w:tcPr>
          <w:p w:rsidR="00A92163" w:rsidRPr="00031886" w:rsidRDefault="00A92163" w:rsidP="00D53305">
            <w:pPr>
              <w:pStyle w:val="Para1"/>
              <w:numPr>
                <w:ilvl w:val="0"/>
                <w:numId w:val="15"/>
              </w:numPr>
              <w:spacing w:before="0" w:after="0"/>
              <w:rPr>
                <w:kern w:val="22"/>
                <w:szCs w:val="22"/>
                <w:lang w:val="pt-BR"/>
              </w:rPr>
            </w:pPr>
            <w:r w:rsidRPr="00031886">
              <w:rPr>
                <w:kern w:val="22"/>
                <w:szCs w:val="22"/>
                <w:lang w:val="pt-BR"/>
              </w:rPr>
              <w:t>Ms. Ana Isabel González Martínez</w:t>
            </w:r>
          </w:p>
          <w:p w:rsidR="00A92163" w:rsidRPr="00031886" w:rsidRDefault="00A92163" w:rsidP="00931847">
            <w:pPr>
              <w:pStyle w:val="Para1"/>
              <w:numPr>
                <w:ilvl w:val="0"/>
                <w:numId w:val="0"/>
              </w:numPr>
              <w:spacing w:before="0" w:after="0"/>
              <w:ind w:left="360"/>
              <w:rPr>
                <w:kern w:val="22"/>
                <w:szCs w:val="22"/>
              </w:rPr>
            </w:pPr>
            <w:proofErr w:type="spellStart"/>
            <w:r w:rsidRPr="00031886">
              <w:rPr>
                <w:kern w:val="22"/>
                <w:szCs w:val="22"/>
              </w:rPr>
              <w:t>Subcoordinator</w:t>
            </w:r>
            <w:proofErr w:type="spellEnd"/>
            <w:r w:rsidRPr="00031886">
              <w:rPr>
                <w:kern w:val="22"/>
                <w:szCs w:val="22"/>
              </w:rPr>
              <w:t xml:space="preserve"> of Invasive Species</w:t>
            </w:r>
          </w:p>
          <w:p w:rsidR="00A92163" w:rsidRPr="001B7FEE" w:rsidRDefault="00A92163" w:rsidP="00931847">
            <w:pPr>
              <w:pStyle w:val="Para1"/>
              <w:numPr>
                <w:ilvl w:val="0"/>
                <w:numId w:val="0"/>
              </w:numPr>
              <w:spacing w:before="0" w:after="0"/>
              <w:ind w:left="360"/>
              <w:rPr>
                <w:kern w:val="22"/>
                <w:szCs w:val="22"/>
                <w:lang w:val="pt-BR"/>
              </w:rPr>
            </w:pPr>
            <w:r w:rsidRPr="001B7FEE">
              <w:rPr>
                <w:kern w:val="22"/>
                <w:szCs w:val="22"/>
                <w:lang w:val="pt-BR"/>
              </w:rPr>
              <w:t>Comisión Nacional para el Conocimiento y Uso de la Biodiversidad (CONABIO)</w:t>
            </w:r>
          </w:p>
          <w:p w:rsidR="00A92163" w:rsidRPr="001B7FEE" w:rsidRDefault="00A92163" w:rsidP="00931847">
            <w:pPr>
              <w:pStyle w:val="Para1"/>
              <w:numPr>
                <w:ilvl w:val="0"/>
                <w:numId w:val="0"/>
              </w:numPr>
              <w:spacing w:before="0" w:after="0"/>
              <w:ind w:left="360"/>
              <w:rPr>
                <w:kern w:val="22"/>
                <w:szCs w:val="22"/>
                <w:lang w:val="pt-BR"/>
              </w:rPr>
            </w:pPr>
            <w:r w:rsidRPr="001B7FEE">
              <w:rPr>
                <w:kern w:val="22"/>
                <w:szCs w:val="22"/>
                <w:lang w:val="pt-BR"/>
              </w:rPr>
              <w:t>Mexico City, Mexico</w:t>
            </w:r>
          </w:p>
          <w:p w:rsidR="00A92163" w:rsidRPr="001B7FEE" w:rsidRDefault="00A92163" w:rsidP="00931847">
            <w:pPr>
              <w:pStyle w:val="Para1"/>
              <w:numPr>
                <w:ilvl w:val="0"/>
                <w:numId w:val="0"/>
              </w:numPr>
              <w:spacing w:before="0" w:after="0"/>
              <w:ind w:left="360"/>
              <w:rPr>
                <w:kern w:val="22"/>
                <w:szCs w:val="22"/>
                <w:lang w:val="pt-BR"/>
              </w:rPr>
            </w:pPr>
            <w:r w:rsidRPr="001B7FEE">
              <w:rPr>
                <w:kern w:val="22"/>
                <w:szCs w:val="22"/>
                <w:lang w:val="pt-BR"/>
              </w:rPr>
              <w:t>agonzalez@conabio.gob.mx</w:t>
            </w:r>
          </w:p>
          <w:p w:rsidR="00A92163" w:rsidRDefault="00A92163" w:rsidP="00931847">
            <w:pPr>
              <w:pStyle w:val="Para1"/>
              <w:numPr>
                <w:ilvl w:val="0"/>
                <w:numId w:val="0"/>
              </w:numPr>
              <w:spacing w:before="0" w:after="0"/>
              <w:rPr>
                <w:kern w:val="22"/>
                <w:szCs w:val="22"/>
                <w:lang w:val="pt-BR"/>
              </w:rPr>
            </w:pPr>
          </w:p>
          <w:p w:rsidR="00A92163" w:rsidRPr="001B7FEE" w:rsidRDefault="00A92163" w:rsidP="00931847">
            <w:pPr>
              <w:pStyle w:val="Para1"/>
              <w:numPr>
                <w:ilvl w:val="0"/>
                <w:numId w:val="0"/>
              </w:numPr>
              <w:spacing w:before="0" w:after="0"/>
              <w:rPr>
                <w:kern w:val="22"/>
                <w:szCs w:val="22"/>
                <w:lang w:val="pt-BR"/>
              </w:rPr>
            </w:pPr>
          </w:p>
        </w:tc>
        <w:tc>
          <w:tcPr>
            <w:tcW w:w="4788" w:type="dxa"/>
          </w:tcPr>
          <w:p w:rsidR="00A92163" w:rsidRPr="001B7FEE" w:rsidRDefault="00A92163" w:rsidP="00931847">
            <w:pPr>
              <w:pStyle w:val="Para1"/>
              <w:numPr>
                <w:ilvl w:val="0"/>
                <w:numId w:val="0"/>
              </w:numPr>
              <w:spacing w:before="0" w:after="0"/>
              <w:rPr>
                <w:kern w:val="22"/>
                <w:szCs w:val="22"/>
                <w:lang w:val="pt-BR"/>
              </w:rPr>
            </w:pPr>
          </w:p>
        </w:tc>
      </w:tr>
      <w:tr w:rsidR="00A92163" w:rsidTr="00931847">
        <w:tc>
          <w:tcPr>
            <w:tcW w:w="4788" w:type="dxa"/>
          </w:tcPr>
          <w:p w:rsidR="00A92163" w:rsidRDefault="00A92163" w:rsidP="00931847">
            <w:pPr>
              <w:pStyle w:val="Para1"/>
              <w:numPr>
                <w:ilvl w:val="0"/>
                <w:numId w:val="0"/>
              </w:numPr>
              <w:spacing w:before="0" w:after="0"/>
              <w:rPr>
                <w:kern w:val="22"/>
                <w:szCs w:val="22"/>
              </w:rPr>
            </w:pPr>
            <w:r w:rsidRPr="008840CF">
              <w:rPr>
                <w:rFonts w:ascii="Times New Roman Bold" w:hAnsi="Times New Roman Bold"/>
                <w:b/>
                <w:spacing w:val="40"/>
                <w:kern w:val="22"/>
                <w:szCs w:val="22"/>
              </w:rPr>
              <w:t>New Zealand</w:t>
            </w:r>
          </w:p>
        </w:tc>
        <w:tc>
          <w:tcPr>
            <w:tcW w:w="4788" w:type="dxa"/>
          </w:tcPr>
          <w:p w:rsidR="00A92163" w:rsidRPr="00031886" w:rsidRDefault="00A92163" w:rsidP="00931847">
            <w:pPr>
              <w:pStyle w:val="Para1"/>
              <w:numPr>
                <w:ilvl w:val="0"/>
                <w:numId w:val="0"/>
              </w:numPr>
              <w:spacing w:before="0" w:after="0"/>
              <w:rPr>
                <w:kern w:val="22"/>
                <w:szCs w:val="22"/>
              </w:rPr>
            </w:pPr>
            <w:r w:rsidRPr="008840CF">
              <w:rPr>
                <w:rFonts w:ascii="Times New Roman Bold" w:hAnsi="Times New Roman Bold"/>
                <w:b/>
                <w:spacing w:val="40"/>
                <w:kern w:val="22"/>
                <w:szCs w:val="22"/>
              </w:rPr>
              <w:t>New Zealand</w:t>
            </w:r>
            <w:r>
              <w:rPr>
                <w:rFonts w:ascii="Times New Roman Bold" w:hAnsi="Times New Roman Bold"/>
                <w:b/>
                <w:spacing w:val="40"/>
                <w:kern w:val="22"/>
                <w:szCs w:val="22"/>
              </w:rPr>
              <w:t>, IPLC</w:t>
            </w:r>
          </w:p>
        </w:tc>
      </w:tr>
      <w:tr w:rsidR="00A92163" w:rsidTr="00931847">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 xml:space="preserve">Mr. Adam van </w:t>
            </w:r>
            <w:proofErr w:type="spellStart"/>
            <w:r w:rsidRPr="00031886">
              <w:rPr>
                <w:kern w:val="22"/>
                <w:szCs w:val="22"/>
              </w:rPr>
              <w:t>Opzeeland</w:t>
            </w:r>
            <w:proofErr w:type="spellEnd"/>
          </w:p>
          <w:p w:rsidR="00A92163" w:rsidRPr="00031886" w:rsidRDefault="00A92163" w:rsidP="00931847">
            <w:pPr>
              <w:pStyle w:val="Para1"/>
              <w:numPr>
                <w:ilvl w:val="0"/>
                <w:numId w:val="0"/>
              </w:numPr>
              <w:spacing w:before="0" w:after="0"/>
              <w:ind w:left="360"/>
              <w:rPr>
                <w:kern w:val="22"/>
                <w:szCs w:val="22"/>
              </w:rPr>
            </w:pPr>
            <w:r w:rsidRPr="00031886">
              <w:rPr>
                <w:kern w:val="22"/>
                <w:szCs w:val="22"/>
              </w:rPr>
              <w:t>Policy Analyst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International Environment, International Policy, Policy and Trade</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Ministry for Primary Industries</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Wellington, New Zealand</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adam.vanOpzeeland@mpi.govt.nz</w:t>
            </w:r>
          </w:p>
          <w:p w:rsidR="00A92163" w:rsidRDefault="00A92163" w:rsidP="00931847">
            <w:pPr>
              <w:pStyle w:val="Para1"/>
              <w:numPr>
                <w:ilvl w:val="0"/>
                <w:numId w:val="0"/>
              </w:numPr>
              <w:spacing w:before="0" w:after="0"/>
              <w:ind w:left="360"/>
              <w:rPr>
                <w:kern w:val="22"/>
                <w:szCs w:val="22"/>
              </w:rPr>
            </w:pPr>
          </w:p>
        </w:tc>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 xml:space="preserve">Ms. Justice </w:t>
            </w:r>
            <w:proofErr w:type="spellStart"/>
            <w:r w:rsidRPr="00031886">
              <w:rPr>
                <w:kern w:val="22"/>
                <w:szCs w:val="22"/>
              </w:rPr>
              <w:t>Hetaraka</w:t>
            </w:r>
            <w:proofErr w:type="spellEnd"/>
          </w:p>
          <w:p w:rsidR="00A92163" w:rsidRPr="00031886" w:rsidRDefault="00A92163" w:rsidP="00931847">
            <w:pPr>
              <w:pStyle w:val="Para1"/>
              <w:numPr>
                <w:ilvl w:val="0"/>
                <w:numId w:val="0"/>
              </w:numPr>
              <w:spacing w:before="0" w:after="0"/>
              <w:ind w:left="360"/>
              <w:rPr>
                <w:kern w:val="22"/>
                <w:szCs w:val="22"/>
              </w:rPr>
            </w:pPr>
            <w:r w:rsidRPr="00031886">
              <w:rPr>
                <w:kern w:val="22"/>
                <w:szCs w:val="22"/>
              </w:rPr>
              <w:t>Traditional Knowledge Programme Consultant</w:t>
            </w:r>
          </w:p>
          <w:p w:rsidR="00A92163" w:rsidRPr="00031886" w:rsidRDefault="00A92163" w:rsidP="00931847">
            <w:pPr>
              <w:pStyle w:val="Para1"/>
              <w:numPr>
                <w:ilvl w:val="0"/>
                <w:numId w:val="0"/>
              </w:numPr>
              <w:spacing w:before="0" w:after="0"/>
              <w:ind w:left="360"/>
              <w:rPr>
                <w:kern w:val="22"/>
                <w:szCs w:val="22"/>
              </w:rPr>
            </w:pPr>
            <w:proofErr w:type="spellStart"/>
            <w:r w:rsidRPr="00031886">
              <w:rPr>
                <w:kern w:val="22"/>
                <w:szCs w:val="22"/>
              </w:rPr>
              <w:t>Te</w:t>
            </w:r>
            <w:proofErr w:type="spellEnd"/>
            <w:r w:rsidRPr="00031886">
              <w:rPr>
                <w:kern w:val="22"/>
                <w:szCs w:val="22"/>
              </w:rPr>
              <w:t xml:space="preserve"> </w:t>
            </w:r>
            <w:proofErr w:type="spellStart"/>
            <w:r w:rsidRPr="00031886">
              <w:rPr>
                <w:kern w:val="22"/>
                <w:szCs w:val="22"/>
              </w:rPr>
              <w:t>Kopu</w:t>
            </w:r>
            <w:proofErr w:type="spellEnd"/>
          </w:p>
          <w:p w:rsidR="00A92163" w:rsidRPr="00031886" w:rsidRDefault="00A92163" w:rsidP="00931847">
            <w:pPr>
              <w:pStyle w:val="Para1"/>
              <w:numPr>
                <w:ilvl w:val="0"/>
                <w:numId w:val="0"/>
              </w:numPr>
              <w:spacing w:before="0" w:after="0"/>
              <w:ind w:left="360"/>
              <w:rPr>
                <w:kern w:val="22"/>
                <w:szCs w:val="22"/>
              </w:rPr>
            </w:pPr>
            <w:r w:rsidRPr="00031886">
              <w:rPr>
                <w:kern w:val="22"/>
                <w:szCs w:val="22"/>
              </w:rPr>
              <w:t>Whangarei, New Zealand</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justice.hetaraka@hotmail.com</w:t>
            </w:r>
          </w:p>
          <w:p w:rsidR="00A92163" w:rsidRPr="00031886" w:rsidRDefault="00A92163" w:rsidP="00931847">
            <w:pPr>
              <w:pStyle w:val="Para1"/>
              <w:numPr>
                <w:ilvl w:val="0"/>
                <w:numId w:val="0"/>
              </w:numPr>
              <w:spacing w:before="0" w:after="0"/>
              <w:rPr>
                <w:kern w:val="22"/>
                <w:szCs w:val="22"/>
              </w:rPr>
            </w:pPr>
          </w:p>
          <w:p w:rsidR="00A92163" w:rsidRPr="00031886" w:rsidRDefault="00A92163" w:rsidP="00931847">
            <w:pPr>
              <w:pStyle w:val="Para1"/>
              <w:numPr>
                <w:ilvl w:val="0"/>
                <w:numId w:val="0"/>
              </w:numPr>
              <w:spacing w:before="0" w:after="0"/>
              <w:ind w:left="360"/>
              <w:rPr>
                <w:kern w:val="22"/>
                <w:szCs w:val="22"/>
              </w:rPr>
            </w:pPr>
          </w:p>
        </w:tc>
      </w:tr>
      <w:tr w:rsidR="00A92163" w:rsidTr="00931847">
        <w:tc>
          <w:tcPr>
            <w:tcW w:w="4788" w:type="dxa"/>
          </w:tcPr>
          <w:p w:rsidR="00A92163" w:rsidRPr="008840CF" w:rsidRDefault="00A92163" w:rsidP="00931847">
            <w:pPr>
              <w:pStyle w:val="Para1"/>
              <w:numPr>
                <w:ilvl w:val="0"/>
                <w:numId w:val="0"/>
              </w:numPr>
              <w:spacing w:before="0" w:after="0"/>
              <w:rPr>
                <w:rFonts w:ascii="Times New Roman Bold" w:hAnsi="Times New Roman Bold"/>
                <w:b/>
                <w:spacing w:val="40"/>
                <w:kern w:val="22"/>
                <w:szCs w:val="22"/>
              </w:rPr>
            </w:pPr>
            <w:r w:rsidRPr="008840CF">
              <w:rPr>
                <w:rFonts w:ascii="Times New Roman Bold" w:hAnsi="Times New Roman Bold"/>
                <w:b/>
                <w:spacing w:val="40"/>
                <w:kern w:val="22"/>
                <w:szCs w:val="22"/>
              </w:rPr>
              <w:t>Sri Lanka</w:t>
            </w:r>
          </w:p>
        </w:tc>
        <w:tc>
          <w:tcPr>
            <w:tcW w:w="4788" w:type="dxa"/>
          </w:tcPr>
          <w:p w:rsidR="00A92163" w:rsidRPr="008840CF" w:rsidRDefault="00A92163" w:rsidP="00931847">
            <w:pPr>
              <w:pStyle w:val="Para1"/>
              <w:numPr>
                <w:ilvl w:val="0"/>
                <w:numId w:val="0"/>
              </w:numPr>
              <w:spacing w:before="0" w:after="0"/>
              <w:rPr>
                <w:rFonts w:ascii="Times New Roman Bold" w:hAnsi="Times New Roman Bold"/>
                <w:b/>
                <w:spacing w:val="40"/>
                <w:kern w:val="22"/>
                <w:szCs w:val="22"/>
              </w:rPr>
            </w:pPr>
            <w:r w:rsidRPr="008840CF">
              <w:rPr>
                <w:rFonts w:ascii="Times New Roman Bold" w:hAnsi="Times New Roman Bold"/>
                <w:b/>
                <w:spacing w:val="40"/>
                <w:kern w:val="22"/>
                <w:szCs w:val="22"/>
              </w:rPr>
              <w:t>Sweden</w:t>
            </w:r>
          </w:p>
        </w:tc>
      </w:tr>
      <w:tr w:rsidR="00A92163" w:rsidTr="00931847">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 xml:space="preserve">Mr. Buddhi </w:t>
            </w:r>
            <w:proofErr w:type="spellStart"/>
            <w:r w:rsidRPr="00031886">
              <w:rPr>
                <w:kern w:val="22"/>
                <w:szCs w:val="22"/>
              </w:rPr>
              <w:t>Marambe</w:t>
            </w:r>
            <w:proofErr w:type="spellEnd"/>
          </w:p>
          <w:p w:rsidR="00A92163" w:rsidRPr="00031886" w:rsidRDefault="00A92163" w:rsidP="00931847">
            <w:pPr>
              <w:pStyle w:val="Para1"/>
              <w:numPr>
                <w:ilvl w:val="0"/>
                <w:numId w:val="0"/>
              </w:numPr>
              <w:spacing w:before="0" w:after="0"/>
              <w:ind w:left="360"/>
              <w:rPr>
                <w:kern w:val="22"/>
                <w:szCs w:val="22"/>
              </w:rPr>
            </w:pPr>
            <w:r w:rsidRPr="00031886">
              <w:rPr>
                <w:kern w:val="22"/>
                <w:szCs w:val="22"/>
              </w:rPr>
              <w:t>Professor in Weed Science</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Chairman of the National Invasive Species Specialist Group</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Department of Crop Science</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Faculty of Agriculture</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University of Peradeniya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Colombo, Sri Lanka</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bmarambe@pdn.ac.lk; bmarambe@yahoo.com</w:t>
            </w:r>
          </w:p>
          <w:p w:rsidR="00A92163" w:rsidRPr="00031886" w:rsidRDefault="00A92163" w:rsidP="00931847">
            <w:pPr>
              <w:pStyle w:val="Para1"/>
              <w:numPr>
                <w:ilvl w:val="0"/>
                <w:numId w:val="0"/>
              </w:numPr>
              <w:spacing w:before="0" w:after="0"/>
              <w:rPr>
                <w:kern w:val="22"/>
                <w:szCs w:val="22"/>
              </w:rPr>
            </w:pPr>
          </w:p>
        </w:tc>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Ms. Melanie Josefsson</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Senior Technical Officer</w:t>
            </w:r>
            <w:r w:rsidRPr="00031886">
              <w:rPr>
                <w:kern w:val="22"/>
                <w:szCs w:val="22"/>
              </w:rPr>
              <w:tab/>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Swedish Environmental Protection Agency</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Stockholm, Sweden</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melanie.josefsson@naturvardsverket.se; natur@naturvardsverket.se</w:t>
            </w:r>
          </w:p>
        </w:tc>
      </w:tr>
      <w:tr w:rsidR="00A92163" w:rsidTr="00931847">
        <w:tc>
          <w:tcPr>
            <w:tcW w:w="4788" w:type="dxa"/>
          </w:tcPr>
          <w:p w:rsidR="00A92163" w:rsidRPr="008840CF" w:rsidRDefault="00A92163" w:rsidP="00931847">
            <w:pPr>
              <w:pStyle w:val="Para1"/>
              <w:numPr>
                <w:ilvl w:val="0"/>
                <w:numId w:val="0"/>
              </w:numPr>
              <w:spacing w:before="0" w:after="0"/>
              <w:rPr>
                <w:kern w:val="22"/>
                <w:szCs w:val="22"/>
              </w:rPr>
            </w:pPr>
            <w:r w:rsidRPr="008840CF">
              <w:rPr>
                <w:rFonts w:ascii="Times New Roman Bold" w:hAnsi="Times New Roman Bold"/>
                <w:spacing w:val="40"/>
                <w:kern w:val="22"/>
                <w:szCs w:val="22"/>
              </w:rPr>
              <w:t>IUCN</w:t>
            </w:r>
          </w:p>
        </w:tc>
        <w:tc>
          <w:tcPr>
            <w:tcW w:w="4788" w:type="dxa"/>
          </w:tcPr>
          <w:p w:rsidR="00A92163" w:rsidRPr="00031886" w:rsidRDefault="00A92163" w:rsidP="00931847">
            <w:pPr>
              <w:pStyle w:val="Para1"/>
              <w:numPr>
                <w:ilvl w:val="0"/>
                <w:numId w:val="0"/>
              </w:numPr>
              <w:spacing w:before="0" w:after="0"/>
              <w:rPr>
                <w:kern w:val="22"/>
                <w:szCs w:val="22"/>
              </w:rPr>
            </w:pPr>
          </w:p>
        </w:tc>
      </w:tr>
      <w:tr w:rsidR="00A92163" w:rsidTr="00931847">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Mr. Piero Genovesi</w:t>
            </w:r>
          </w:p>
          <w:p w:rsidR="00743451" w:rsidRDefault="00743451" w:rsidP="00931847">
            <w:pPr>
              <w:pStyle w:val="Para1"/>
              <w:numPr>
                <w:ilvl w:val="0"/>
                <w:numId w:val="0"/>
              </w:numPr>
              <w:spacing w:before="0" w:after="0"/>
              <w:ind w:left="360"/>
              <w:rPr>
                <w:kern w:val="22"/>
                <w:szCs w:val="22"/>
              </w:rPr>
            </w:pPr>
            <w:r>
              <w:rPr>
                <w:kern w:val="22"/>
                <w:szCs w:val="22"/>
              </w:rPr>
              <w:t>I</w:t>
            </w:r>
            <w:r w:rsidR="00303711">
              <w:rPr>
                <w:kern w:val="22"/>
                <w:szCs w:val="22"/>
              </w:rPr>
              <w:t>nstitute for Environmental Protection and Research - I</w:t>
            </w:r>
            <w:r>
              <w:rPr>
                <w:kern w:val="22"/>
                <w:szCs w:val="22"/>
              </w:rPr>
              <w:t xml:space="preserve">SPRA and </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Chair,</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IUCN Invasive Species Specialist Group (ISSG)</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Rome, Italy</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piero.genovesi@isprambiente.it</w:t>
            </w:r>
          </w:p>
          <w:p w:rsidR="00A92163" w:rsidRPr="00031886" w:rsidRDefault="00A92163" w:rsidP="00931847">
            <w:pPr>
              <w:pStyle w:val="Para1"/>
              <w:numPr>
                <w:ilvl w:val="0"/>
                <w:numId w:val="0"/>
              </w:numPr>
              <w:spacing w:before="0" w:after="0"/>
              <w:ind w:left="360"/>
              <w:rPr>
                <w:kern w:val="22"/>
                <w:szCs w:val="22"/>
              </w:rPr>
            </w:pPr>
          </w:p>
        </w:tc>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Mr. Kevin Smith</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Invasive Species Programme Officer</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International Union for Conservation of Nature (IUCN)</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Cambridge, United Kingdom</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kevin.smith@iucn.org</w:t>
            </w:r>
          </w:p>
        </w:tc>
      </w:tr>
      <w:tr w:rsidR="00A92163" w:rsidTr="00931847">
        <w:tc>
          <w:tcPr>
            <w:tcW w:w="4788" w:type="dxa"/>
          </w:tcPr>
          <w:p w:rsidR="00A92163" w:rsidRPr="008840CF" w:rsidRDefault="00A92163" w:rsidP="00931847">
            <w:pPr>
              <w:pStyle w:val="Para1"/>
              <w:numPr>
                <w:ilvl w:val="0"/>
                <w:numId w:val="0"/>
              </w:numPr>
              <w:spacing w:before="0" w:after="0"/>
              <w:rPr>
                <w:rFonts w:ascii="Times New Roman Bold" w:hAnsi="Times New Roman Bold"/>
                <w:spacing w:val="40"/>
                <w:kern w:val="22"/>
                <w:szCs w:val="22"/>
              </w:rPr>
            </w:pPr>
            <w:r w:rsidRPr="008840CF">
              <w:rPr>
                <w:rFonts w:ascii="Times New Roman Bold" w:hAnsi="Times New Roman Bold"/>
                <w:spacing w:val="40"/>
                <w:kern w:val="22"/>
                <w:szCs w:val="22"/>
              </w:rPr>
              <w:t>GBIF Secretariat</w:t>
            </w:r>
          </w:p>
        </w:tc>
        <w:tc>
          <w:tcPr>
            <w:tcW w:w="4788" w:type="dxa"/>
          </w:tcPr>
          <w:p w:rsidR="00A92163" w:rsidRPr="008840CF" w:rsidRDefault="00A92163" w:rsidP="00931847">
            <w:pPr>
              <w:pStyle w:val="Para1"/>
              <w:numPr>
                <w:ilvl w:val="0"/>
                <w:numId w:val="0"/>
              </w:numPr>
              <w:spacing w:before="0" w:after="0"/>
              <w:rPr>
                <w:rFonts w:ascii="Times New Roman Bold" w:hAnsi="Times New Roman Bold"/>
                <w:spacing w:val="40"/>
                <w:kern w:val="22"/>
                <w:szCs w:val="22"/>
              </w:rPr>
            </w:pPr>
            <w:r w:rsidRPr="008840CF">
              <w:rPr>
                <w:rFonts w:ascii="Times New Roman Bold" w:hAnsi="Times New Roman Bold"/>
                <w:spacing w:val="40"/>
                <w:kern w:val="22"/>
                <w:szCs w:val="22"/>
              </w:rPr>
              <w:t>nrg4SD</w:t>
            </w:r>
          </w:p>
        </w:tc>
      </w:tr>
      <w:tr w:rsidR="00A92163" w:rsidTr="00931847">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t>Mr. Tim Hirsch</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Deputy Director</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Global Biodiversity Information Facility (GBIF) Secretariat</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Copenhagen, Denmark</w:t>
            </w:r>
          </w:p>
          <w:p w:rsidR="00A92163" w:rsidRDefault="00A92163" w:rsidP="00931847">
            <w:pPr>
              <w:pStyle w:val="Para1"/>
              <w:numPr>
                <w:ilvl w:val="0"/>
                <w:numId w:val="0"/>
              </w:numPr>
              <w:spacing w:before="0" w:after="0"/>
              <w:ind w:left="360"/>
              <w:rPr>
                <w:kern w:val="22"/>
                <w:szCs w:val="22"/>
              </w:rPr>
            </w:pPr>
            <w:r w:rsidRPr="00031886">
              <w:rPr>
                <w:kern w:val="22"/>
                <w:szCs w:val="22"/>
              </w:rPr>
              <w:t>thirsch@gbif.org</w:t>
            </w: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Default="00A92163" w:rsidP="00931847">
            <w:pPr>
              <w:pStyle w:val="Para1"/>
              <w:numPr>
                <w:ilvl w:val="0"/>
                <w:numId w:val="0"/>
              </w:numPr>
              <w:spacing w:before="0" w:after="0"/>
              <w:ind w:left="360"/>
              <w:rPr>
                <w:kern w:val="22"/>
                <w:szCs w:val="22"/>
              </w:rPr>
            </w:pPr>
          </w:p>
          <w:p w:rsidR="00A92163" w:rsidRPr="00031886" w:rsidRDefault="00A92163" w:rsidP="00150953">
            <w:pPr>
              <w:pStyle w:val="Para1"/>
              <w:numPr>
                <w:ilvl w:val="0"/>
                <w:numId w:val="0"/>
              </w:numPr>
              <w:spacing w:before="0" w:after="0"/>
              <w:rPr>
                <w:kern w:val="22"/>
                <w:szCs w:val="22"/>
              </w:rPr>
            </w:pPr>
          </w:p>
        </w:tc>
        <w:tc>
          <w:tcPr>
            <w:tcW w:w="4788" w:type="dxa"/>
          </w:tcPr>
          <w:p w:rsidR="00A92163" w:rsidRPr="00031886" w:rsidRDefault="00A92163" w:rsidP="00D53305">
            <w:pPr>
              <w:pStyle w:val="Para1"/>
              <w:numPr>
                <w:ilvl w:val="0"/>
                <w:numId w:val="15"/>
              </w:numPr>
              <w:spacing w:before="0" w:after="0"/>
              <w:rPr>
                <w:kern w:val="22"/>
                <w:szCs w:val="22"/>
              </w:rPr>
            </w:pPr>
            <w:r w:rsidRPr="00031886">
              <w:rPr>
                <w:kern w:val="22"/>
                <w:szCs w:val="22"/>
              </w:rPr>
              <w:lastRenderedPageBreak/>
              <w:t>Ms. Renata Gomez</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Project Manager</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Regions for Biodiversity Learning Platform</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Network of Regional Governments for Sustainable Development (nrg4SD)</w:t>
            </w:r>
          </w:p>
          <w:p w:rsidR="00A92163" w:rsidRPr="001B7FEE" w:rsidRDefault="00A92163" w:rsidP="00931847">
            <w:pPr>
              <w:pStyle w:val="Para1"/>
              <w:numPr>
                <w:ilvl w:val="0"/>
                <w:numId w:val="0"/>
              </w:numPr>
              <w:spacing w:before="0" w:after="0"/>
              <w:ind w:left="360"/>
              <w:rPr>
                <w:kern w:val="22"/>
                <w:szCs w:val="22"/>
                <w:lang w:val="pt-BR"/>
              </w:rPr>
            </w:pPr>
            <w:r w:rsidRPr="001B7FEE">
              <w:rPr>
                <w:kern w:val="22"/>
                <w:szCs w:val="22"/>
                <w:lang w:val="pt-BR"/>
              </w:rPr>
              <w:t>San Cristóbal de las Casas, Mexico</w:t>
            </w:r>
          </w:p>
          <w:p w:rsidR="00A92163" w:rsidRPr="00031886" w:rsidRDefault="00A92163" w:rsidP="00931847">
            <w:pPr>
              <w:pStyle w:val="Para1"/>
              <w:numPr>
                <w:ilvl w:val="0"/>
                <w:numId w:val="0"/>
              </w:numPr>
              <w:spacing w:before="0" w:after="0"/>
              <w:ind w:left="360"/>
              <w:rPr>
                <w:kern w:val="22"/>
                <w:szCs w:val="22"/>
              </w:rPr>
            </w:pPr>
            <w:r w:rsidRPr="00031886">
              <w:rPr>
                <w:kern w:val="22"/>
                <w:szCs w:val="22"/>
              </w:rPr>
              <w:t>renatagomez1@gmail.com</w:t>
            </w:r>
          </w:p>
          <w:p w:rsidR="00A92163" w:rsidRPr="00031886" w:rsidRDefault="00A92163" w:rsidP="00931847">
            <w:pPr>
              <w:pStyle w:val="Para1"/>
              <w:numPr>
                <w:ilvl w:val="0"/>
                <w:numId w:val="0"/>
              </w:numPr>
              <w:spacing w:before="0" w:after="0"/>
              <w:rPr>
                <w:kern w:val="22"/>
                <w:szCs w:val="22"/>
              </w:rPr>
            </w:pPr>
          </w:p>
          <w:p w:rsidR="00A92163" w:rsidRPr="00031886" w:rsidRDefault="00A92163" w:rsidP="00931847">
            <w:pPr>
              <w:pStyle w:val="Para1"/>
              <w:numPr>
                <w:ilvl w:val="0"/>
                <w:numId w:val="0"/>
              </w:numPr>
              <w:spacing w:before="0" w:after="0"/>
              <w:ind w:left="360"/>
              <w:rPr>
                <w:kern w:val="22"/>
                <w:szCs w:val="22"/>
              </w:rPr>
            </w:pPr>
          </w:p>
        </w:tc>
      </w:tr>
    </w:tbl>
    <w:p w:rsidR="008652FA" w:rsidRDefault="008652FA" w:rsidP="00AE5EF7">
      <w:pPr>
        <w:pStyle w:val="Para1"/>
        <w:numPr>
          <w:ilvl w:val="0"/>
          <w:numId w:val="0"/>
        </w:numPr>
        <w:rPr>
          <w:szCs w:val="22"/>
        </w:rPr>
      </w:pPr>
    </w:p>
    <w:p w:rsidR="005E519D" w:rsidRPr="00A92163" w:rsidRDefault="005E519D" w:rsidP="00A92163">
      <w:pPr>
        <w:pStyle w:val="Para1"/>
        <w:numPr>
          <w:ilvl w:val="0"/>
          <w:numId w:val="0"/>
        </w:numPr>
        <w:jc w:val="center"/>
        <w:rPr>
          <w:i/>
          <w:szCs w:val="22"/>
        </w:rPr>
      </w:pPr>
      <w:r w:rsidRPr="00A92163">
        <w:rPr>
          <w:i/>
          <w:szCs w:val="22"/>
        </w:rPr>
        <w:t>Annex I</w:t>
      </w:r>
      <w:r w:rsidR="00A92163" w:rsidRPr="00A92163">
        <w:rPr>
          <w:i/>
          <w:szCs w:val="22"/>
        </w:rPr>
        <w:t>I</w:t>
      </w:r>
    </w:p>
    <w:p w:rsidR="00A92163" w:rsidRPr="00A92163" w:rsidRDefault="00A92163" w:rsidP="00A92163">
      <w:pPr>
        <w:pStyle w:val="Para1"/>
        <w:numPr>
          <w:ilvl w:val="0"/>
          <w:numId w:val="0"/>
        </w:numPr>
        <w:jc w:val="center"/>
        <w:rPr>
          <w:b/>
          <w:szCs w:val="22"/>
        </w:rPr>
      </w:pPr>
      <w:r w:rsidRPr="00A92163">
        <w:rPr>
          <w:b/>
          <w:szCs w:val="22"/>
        </w:rPr>
        <w:t>PROCEDUAL REPORT</w:t>
      </w:r>
    </w:p>
    <w:p w:rsidR="004D43D5" w:rsidRPr="00AE5EF7" w:rsidRDefault="004D43D5" w:rsidP="00AE5EF7">
      <w:pPr>
        <w:pStyle w:val="Para1"/>
        <w:numPr>
          <w:ilvl w:val="0"/>
          <w:numId w:val="0"/>
        </w:numPr>
        <w:jc w:val="center"/>
        <w:rPr>
          <w:b/>
          <w:kern w:val="22"/>
          <w:szCs w:val="22"/>
        </w:rPr>
      </w:pPr>
      <w:r w:rsidRPr="00AE5EF7">
        <w:rPr>
          <w:b/>
          <w:kern w:val="22"/>
          <w:szCs w:val="22"/>
        </w:rPr>
        <w:t>ITEM 1.</w:t>
      </w:r>
      <w:r w:rsidRPr="00AE5EF7">
        <w:rPr>
          <w:b/>
          <w:kern w:val="22"/>
          <w:szCs w:val="22"/>
        </w:rPr>
        <w:tab/>
        <w:t>OPENING OF THE WORKSHOP</w:t>
      </w:r>
    </w:p>
    <w:p w:rsidR="00607DD6" w:rsidRDefault="005E519D" w:rsidP="004C4C7C">
      <w:pPr>
        <w:pStyle w:val="Para1"/>
        <w:numPr>
          <w:ilvl w:val="0"/>
          <w:numId w:val="6"/>
        </w:numPr>
        <w:ind w:left="0" w:firstLine="0"/>
        <w:rPr>
          <w:kern w:val="22"/>
          <w:szCs w:val="22"/>
        </w:rPr>
      </w:pPr>
      <w:r>
        <w:rPr>
          <w:kern w:val="22"/>
          <w:szCs w:val="22"/>
        </w:rPr>
        <w:t xml:space="preserve">Mr. David Cooper, the </w:t>
      </w:r>
      <w:r w:rsidR="0028231C">
        <w:rPr>
          <w:kern w:val="22"/>
          <w:szCs w:val="22"/>
        </w:rPr>
        <w:t xml:space="preserve">Deputy </w:t>
      </w:r>
      <w:r w:rsidR="003E693E">
        <w:rPr>
          <w:kern w:val="22"/>
          <w:szCs w:val="22"/>
        </w:rPr>
        <w:t>Executive Secretary of the Conventi</w:t>
      </w:r>
      <w:r w:rsidR="003059F0">
        <w:rPr>
          <w:kern w:val="22"/>
          <w:szCs w:val="22"/>
        </w:rPr>
        <w:t>on on Biological Diversity</w:t>
      </w:r>
      <w:r w:rsidR="009475D5">
        <w:rPr>
          <w:kern w:val="22"/>
          <w:szCs w:val="22"/>
        </w:rPr>
        <w:t xml:space="preserve"> (CBD)</w:t>
      </w:r>
      <w:r w:rsidR="003E693E">
        <w:rPr>
          <w:kern w:val="22"/>
          <w:szCs w:val="22"/>
        </w:rPr>
        <w:t xml:space="preserve"> </w:t>
      </w:r>
      <w:r w:rsidR="00B678CD">
        <w:rPr>
          <w:kern w:val="22"/>
          <w:szCs w:val="22"/>
        </w:rPr>
        <w:t>welcomed the participants and opened the workshop at 9.30 a.m</w:t>
      </w:r>
      <w:r w:rsidR="00036270">
        <w:rPr>
          <w:kern w:val="22"/>
          <w:szCs w:val="22"/>
        </w:rPr>
        <w:t xml:space="preserve">. </w:t>
      </w:r>
      <w:r w:rsidR="00B678CD">
        <w:rPr>
          <w:kern w:val="22"/>
          <w:szCs w:val="22"/>
        </w:rPr>
        <w:t>on Wednesday, 6 December 2017.</w:t>
      </w:r>
      <w:r w:rsidR="00036270">
        <w:rPr>
          <w:kern w:val="22"/>
          <w:szCs w:val="22"/>
        </w:rPr>
        <w:t xml:space="preserve"> </w:t>
      </w:r>
      <w:r>
        <w:rPr>
          <w:kern w:val="22"/>
          <w:szCs w:val="22"/>
        </w:rPr>
        <w:t xml:space="preserve">He presented on the history of invasive alien species as a cross-cutting programme under the Convention, including preparatory process and adoption of the </w:t>
      </w:r>
      <w:r w:rsidR="00A92163">
        <w:rPr>
          <w:kern w:val="22"/>
          <w:szCs w:val="22"/>
        </w:rPr>
        <w:t>“</w:t>
      </w:r>
      <w:r w:rsidRPr="00A92163">
        <w:rPr>
          <w:i/>
          <w:kern w:val="22"/>
          <w:szCs w:val="22"/>
        </w:rPr>
        <w:t xml:space="preserve">Guiding Principles for the Prevention, Introduction and Mitigation of Impacts of Alien Species that Threaten Ecosystems, Habitats </w:t>
      </w:r>
      <w:r w:rsidR="00A92163" w:rsidRPr="00A92163">
        <w:rPr>
          <w:i/>
          <w:kern w:val="22"/>
          <w:szCs w:val="22"/>
        </w:rPr>
        <w:t>o</w:t>
      </w:r>
      <w:r w:rsidRPr="00A92163">
        <w:rPr>
          <w:i/>
          <w:kern w:val="22"/>
          <w:szCs w:val="22"/>
        </w:rPr>
        <w:t>r Species</w:t>
      </w:r>
      <w:r w:rsidR="00A92163">
        <w:rPr>
          <w:kern w:val="22"/>
          <w:szCs w:val="22"/>
        </w:rPr>
        <w:t>” annexed to decision VI/23</w:t>
      </w:r>
      <w:r w:rsidR="00A92163">
        <w:rPr>
          <w:rStyle w:val="FootnoteReference"/>
          <w:kern w:val="22"/>
          <w:szCs w:val="22"/>
        </w:rPr>
        <w:footnoteReference w:id="9"/>
      </w:r>
      <w:r w:rsidR="00150953">
        <w:rPr>
          <w:kern w:val="22"/>
          <w:szCs w:val="22"/>
        </w:rPr>
        <w:t xml:space="preserve">, </w:t>
      </w:r>
      <w:r>
        <w:rPr>
          <w:kern w:val="22"/>
          <w:szCs w:val="22"/>
        </w:rPr>
        <w:t xml:space="preserve">and </w:t>
      </w:r>
      <w:r w:rsidR="00B87DF5">
        <w:rPr>
          <w:kern w:val="22"/>
          <w:szCs w:val="22"/>
        </w:rPr>
        <w:t xml:space="preserve">the </w:t>
      </w:r>
      <w:r>
        <w:rPr>
          <w:kern w:val="22"/>
          <w:szCs w:val="22"/>
        </w:rPr>
        <w:t xml:space="preserve">works </w:t>
      </w:r>
      <w:r w:rsidR="0029214A">
        <w:rPr>
          <w:kern w:val="22"/>
          <w:szCs w:val="22"/>
        </w:rPr>
        <w:t xml:space="preserve">undertaken </w:t>
      </w:r>
      <w:r>
        <w:rPr>
          <w:kern w:val="22"/>
          <w:szCs w:val="22"/>
        </w:rPr>
        <w:t xml:space="preserve">to address gaps and inconsistency of international regulatory framework </w:t>
      </w:r>
      <w:r w:rsidR="00F51B84">
        <w:rPr>
          <w:kern w:val="22"/>
          <w:szCs w:val="22"/>
        </w:rPr>
        <w:t xml:space="preserve">relevant </w:t>
      </w:r>
      <w:r>
        <w:rPr>
          <w:kern w:val="22"/>
          <w:szCs w:val="22"/>
        </w:rPr>
        <w:t>to invasive alien species</w:t>
      </w:r>
      <w:r w:rsidR="0029214A">
        <w:rPr>
          <w:kern w:val="22"/>
          <w:szCs w:val="22"/>
        </w:rPr>
        <w:t xml:space="preserve">. He also discussed the </w:t>
      </w:r>
      <w:r>
        <w:rPr>
          <w:kern w:val="22"/>
          <w:szCs w:val="22"/>
        </w:rPr>
        <w:t xml:space="preserve">recent development of </w:t>
      </w:r>
      <w:r w:rsidR="009475D5">
        <w:rPr>
          <w:kern w:val="22"/>
          <w:szCs w:val="22"/>
        </w:rPr>
        <w:t>“</w:t>
      </w:r>
      <w:r w:rsidR="009475D5" w:rsidRPr="009475D5">
        <w:rPr>
          <w:i/>
          <w:kern w:val="22"/>
          <w:szCs w:val="22"/>
        </w:rPr>
        <w:t>G</w:t>
      </w:r>
      <w:r w:rsidRPr="009475D5">
        <w:rPr>
          <w:i/>
          <w:kern w:val="22"/>
          <w:szCs w:val="22"/>
        </w:rPr>
        <w:t>uidance</w:t>
      </w:r>
      <w:r w:rsidR="00A92163" w:rsidRPr="009475D5">
        <w:rPr>
          <w:b/>
          <w:i/>
          <w:kern w:val="22"/>
          <w:szCs w:val="22"/>
        </w:rPr>
        <w:t xml:space="preserve"> </w:t>
      </w:r>
      <w:r w:rsidR="00A92163" w:rsidRPr="009475D5">
        <w:rPr>
          <w:i/>
          <w:kern w:val="22"/>
          <w:szCs w:val="22"/>
        </w:rPr>
        <w:t>on Devising and Implementing Measures to Address the Risks</w:t>
      </w:r>
      <w:r w:rsidR="009475D5">
        <w:rPr>
          <w:i/>
          <w:kern w:val="22"/>
          <w:szCs w:val="22"/>
        </w:rPr>
        <w:t xml:space="preserve"> </w:t>
      </w:r>
      <w:r w:rsidR="00A92163" w:rsidRPr="009475D5">
        <w:rPr>
          <w:i/>
          <w:kern w:val="22"/>
          <w:szCs w:val="22"/>
        </w:rPr>
        <w:t xml:space="preserve">Associated with the Introduction of Alien Species as Pets, Aquarium and Terrarium Species, and as Live Bait </w:t>
      </w:r>
      <w:r w:rsidR="00F51B84">
        <w:rPr>
          <w:i/>
          <w:kern w:val="22"/>
          <w:szCs w:val="22"/>
        </w:rPr>
        <w:t>a</w:t>
      </w:r>
      <w:r w:rsidR="00F51B84" w:rsidRPr="009475D5">
        <w:rPr>
          <w:i/>
          <w:kern w:val="22"/>
          <w:szCs w:val="22"/>
        </w:rPr>
        <w:t xml:space="preserve">nd </w:t>
      </w:r>
      <w:r w:rsidR="00A92163" w:rsidRPr="009475D5">
        <w:rPr>
          <w:i/>
          <w:kern w:val="22"/>
          <w:szCs w:val="22"/>
        </w:rPr>
        <w:t>Live Food</w:t>
      </w:r>
      <w:r w:rsidR="009475D5">
        <w:rPr>
          <w:kern w:val="22"/>
          <w:szCs w:val="22"/>
        </w:rPr>
        <w:t>”</w:t>
      </w:r>
      <w:r>
        <w:rPr>
          <w:kern w:val="22"/>
          <w:szCs w:val="22"/>
        </w:rPr>
        <w:t xml:space="preserve"> and </w:t>
      </w:r>
      <w:r w:rsidR="00A92163">
        <w:rPr>
          <w:kern w:val="22"/>
          <w:szCs w:val="22"/>
        </w:rPr>
        <w:t>“</w:t>
      </w:r>
      <w:r w:rsidR="00A92163">
        <w:rPr>
          <w:i/>
          <w:kern w:val="22"/>
          <w:szCs w:val="22"/>
        </w:rPr>
        <w:t>C</w:t>
      </w:r>
      <w:r w:rsidRPr="00A92163">
        <w:rPr>
          <w:i/>
          <w:kern w:val="22"/>
          <w:szCs w:val="22"/>
        </w:rPr>
        <w:t>onsideration on the use of biological control agents against invasive alien species</w:t>
      </w:r>
      <w:r w:rsidR="00A92163">
        <w:rPr>
          <w:i/>
          <w:kern w:val="22"/>
          <w:szCs w:val="22"/>
        </w:rPr>
        <w:t>”</w:t>
      </w:r>
      <w:r>
        <w:rPr>
          <w:kern w:val="22"/>
          <w:szCs w:val="22"/>
        </w:rPr>
        <w:t xml:space="preserve">. </w:t>
      </w:r>
      <w:r w:rsidR="009475D5">
        <w:rPr>
          <w:kern w:val="22"/>
          <w:szCs w:val="22"/>
        </w:rPr>
        <w:t xml:space="preserve"> </w:t>
      </w:r>
      <w:r>
        <w:rPr>
          <w:kern w:val="22"/>
          <w:szCs w:val="22"/>
        </w:rPr>
        <w:t xml:space="preserve">He stressed that the risk </w:t>
      </w:r>
      <w:r w:rsidR="009475D5">
        <w:rPr>
          <w:kern w:val="22"/>
          <w:szCs w:val="22"/>
        </w:rPr>
        <w:t xml:space="preserve">of biological invasion </w:t>
      </w:r>
      <w:r>
        <w:rPr>
          <w:kern w:val="22"/>
          <w:szCs w:val="22"/>
        </w:rPr>
        <w:t xml:space="preserve">and known impacts of </w:t>
      </w:r>
      <w:r w:rsidR="009475D5">
        <w:rPr>
          <w:kern w:val="22"/>
          <w:szCs w:val="22"/>
        </w:rPr>
        <w:t>invasive alien species</w:t>
      </w:r>
      <w:r>
        <w:rPr>
          <w:kern w:val="22"/>
          <w:szCs w:val="22"/>
        </w:rPr>
        <w:t xml:space="preserve"> on biodiversity </w:t>
      </w:r>
      <w:r w:rsidR="009475D5">
        <w:rPr>
          <w:kern w:val="22"/>
          <w:szCs w:val="22"/>
        </w:rPr>
        <w:t>are</w:t>
      </w:r>
      <w:r>
        <w:rPr>
          <w:kern w:val="22"/>
          <w:szCs w:val="22"/>
        </w:rPr>
        <w:t xml:space="preserve"> </w:t>
      </w:r>
      <w:r w:rsidR="004D18A2">
        <w:rPr>
          <w:kern w:val="22"/>
          <w:szCs w:val="22"/>
        </w:rPr>
        <w:t>significant</w:t>
      </w:r>
      <w:r w:rsidR="0029214A">
        <w:rPr>
          <w:kern w:val="22"/>
          <w:szCs w:val="22"/>
        </w:rPr>
        <w:t xml:space="preserve"> and are </w:t>
      </w:r>
      <w:r w:rsidR="009475D5">
        <w:rPr>
          <w:kern w:val="22"/>
          <w:szCs w:val="22"/>
        </w:rPr>
        <w:t xml:space="preserve">increasing </w:t>
      </w:r>
      <w:r w:rsidR="0029214A">
        <w:rPr>
          <w:kern w:val="22"/>
          <w:szCs w:val="22"/>
        </w:rPr>
        <w:t xml:space="preserve">with growing volumes of </w:t>
      </w:r>
      <w:r w:rsidR="004D18A2">
        <w:rPr>
          <w:kern w:val="22"/>
          <w:szCs w:val="22"/>
        </w:rPr>
        <w:t xml:space="preserve">international trade and transport. The Secretariat established the Inter-agency Liaison Group on Invasive Alien Species (Liaison Group) together with relevant international organizations </w:t>
      </w:r>
      <w:r w:rsidR="009475D5">
        <w:rPr>
          <w:kern w:val="22"/>
          <w:szCs w:val="22"/>
        </w:rPr>
        <w:t>which</w:t>
      </w:r>
      <w:r w:rsidR="004D18A2">
        <w:rPr>
          <w:kern w:val="22"/>
          <w:szCs w:val="22"/>
        </w:rPr>
        <w:t xml:space="preserve"> set standards </w:t>
      </w:r>
      <w:r w:rsidR="009475D5">
        <w:rPr>
          <w:kern w:val="22"/>
          <w:szCs w:val="22"/>
        </w:rPr>
        <w:t xml:space="preserve">and guidelines </w:t>
      </w:r>
      <w:r w:rsidR="004D18A2">
        <w:rPr>
          <w:kern w:val="22"/>
          <w:szCs w:val="22"/>
        </w:rPr>
        <w:t>on sanitary</w:t>
      </w:r>
      <w:r w:rsidR="0029214A">
        <w:rPr>
          <w:kern w:val="22"/>
          <w:szCs w:val="22"/>
        </w:rPr>
        <w:t>,</w:t>
      </w:r>
      <w:r w:rsidR="004D18A2">
        <w:rPr>
          <w:kern w:val="22"/>
          <w:szCs w:val="22"/>
        </w:rPr>
        <w:t xml:space="preserve"> phytosanitary and </w:t>
      </w:r>
      <w:r w:rsidR="009475D5">
        <w:rPr>
          <w:kern w:val="22"/>
          <w:szCs w:val="22"/>
        </w:rPr>
        <w:t>safe transport</w:t>
      </w:r>
      <w:r w:rsidR="0029214A">
        <w:rPr>
          <w:kern w:val="22"/>
          <w:szCs w:val="22"/>
        </w:rPr>
        <w:t xml:space="preserve"> </w:t>
      </w:r>
      <w:proofErr w:type="gramStart"/>
      <w:r w:rsidR="0029214A">
        <w:rPr>
          <w:kern w:val="22"/>
          <w:szCs w:val="22"/>
        </w:rPr>
        <w:t>measures.</w:t>
      </w:r>
      <w:r w:rsidR="004D18A2">
        <w:rPr>
          <w:kern w:val="22"/>
          <w:szCs w:val="22"/>
        </w:rPr>
        <w:t>.</w:t>
      </w:r>
      <w:proofErr w:type="gramEnd"/>
      <w:r w:rsidR="004D18A2">
        <w:rPr>
          <w:kern w:val="22"/>
          <w:szCs w:val="22"/>
        </w:rPr>
        <w:t xml:space="preserve"> The Liaison Group now includes important partners for </w:t>
      </w:r>
      <w:r w:rsidR="0029214A">
        <w:rPr>
          <w:kern w:val="22"/>
          <w:szCs w:val="22"/>
        </w:rPr>
        <w:t xml:space="preserve">the </w:t>
      </w:r>
      <w:r w:rsidR="004D18A2">
        <w:rPr>
          <w:kern w:val="22"/>
          <w:szCs w:val="22"/>
        </w:rPr>
        <w:t>development of guidance covering invasive alien species in both terrestrial and aquatic environment and capacity development</w:t>
      </w:r>
      <w:r w:rsidR="0029214A">
        <w:rPr>
          <w:kern w:val="22"/>
          <w:szCs w:val="22"/>
        </w:rPr>
        <w:t>s</w:t>
      </w:r>
      <w:r w:rsidR="004D18A2">
        <w:rPr>
          <w:kern w:val="22"/>
          <w:szCs w:val="22"/>
        </w:rPr>
        <w:t xml:space="preserve"> for Parties to achieve Aichi Biodiversity Target 9. He also stressed that addressing invasive alien species </w:t>
      </w:r>
      <w:r w:rsidR="00150953">
        <w:rPr>
          <w:kern w:val="22"/>
          <w:szCs w:val="22"/>
        </w:rPr>
        <w:t>can further advance</w:t>
      </w:r>
      <w:r w:rsidR="004D18A2">
        <w:rPr>
          <w:kern w:val="22"/>
          <w:szCs w:val="22"/>
        </w:rPr>
        <w:t xml:space="preserve"> the implementation of </w:t>
      </w:r>
      <w:r w:rsidR="00150953">
        <w:rPr>
          <w:kern w:val="22"/>
          <w:szCs w:val="22"/>
        </w:rPr>
        <w:t xml:space="preserve">the </w:t>
      </w:r>
      <w:r w:rsidR="004D18A2">
        <w:rPr>
          <w:kern w:val="22"/>
          <w:szCs w:val="22"/>
        </w:rPr>
        <w:t>Strategic Plan for Biodiversity by Parties</w:t>
      </w:r>
      <w:r w:rsidR="00150953">
        <w:rPr>
          <w:kern w:val="22"/>
          <w:szCs w:val="22"/>
        </w:rPr>
        <w:t>,</w:t>
      </w:r>
      <w:r w:rsidR="004D18A2">
        <w:rPr>
          <w:kern w:val="22"/>
          <w:szCs w:val="22"/>
        </w:rPr>
        <w:t xml:space="preserve"> and </w:t>
      </w:r>
      <w:r w:rsidR="00150953">
        <w:rPr>
          <w:kern w:val="22"/>
          <w:szCs w:val="22"/>
        </w:rPr>
        <w:t xml:space="preserve">it </w:t>
      </w:r>
      <w:r w:rsidR="004D18A2">
        <w:rPr>
          <w:kern w:val="22"/>
          <w:szCs w:val="22"/>
        </w:rPr>
        <w:t xml:space="preserve">contributes to achieving other Targets, including the global targets set for the 2030 Sustainable Development Goals. </w:t>
      </w:r>
    </w:p>
    <w:p w:rsidR="00FE11D0" w:rsidRDefault="009475D5" w:rsidP="009475D5">
      <w:pPr>
        <w:pStyle w:val="Para1"/>
        <w:numPr>
          <w:ilvl w:val="0"/>
          <w:numId w:val="6"/>
        </w:numPr>
        <w:ind w:left="0" w:firstLine="0"/>
        <w:rPr>
          <w:kern w:val="22"/>
          <w:szCs w:val="22"/>
        </w:rPr>
      </w:pPr>
      <w:r>
        <w:rPr>
          <w:kern w:val="22"/>
          <w:szCs w:val="22"/>
        </w:rPr>
        <w:t>Ms. Junko Shimura</w:t>
      </w:r>
      <w:r w:rsidR="00B678CD" w:rsidRPr="00FE11D0">
        <w:rPr>
          <w:kern w:val="22"/>
          <w:szCs w:val="22"/>
        </w:rPr>
        <w:t xml:space="preserve"> of the Secretariat </w:t>
      </w:r>
      <w:r>
        <w:rPr>
          <w:kern w:val="22"/>
          <w:szCs w:val="22"/>
        </w:rPr>
        <w:t xml:space="preserve">of the CBD </w:t>
      </w:r>
      <w:r w:rsidR="00B678CD" w:rsidRPr="00FE11D0">
        <w:rPr>
          <w:kern w:val="22"/>
          <w:szCs w:val="22"/>
        </w:rPr>
        <w:t>briefly provided an overview of th</w:t>
      </w:r>
      <w:r w:rsidR="00951C47" w:rsidRPr="00FE11D0">
        <w:rPr>
          <w:kern w:val="22"/>
          <w:szCs w:val="22"/>
        </w:rPr>
        <w:t>e</w:t>
      </w:r>
      <w:r w:rsidR="00B678CD" w:rsidRPr="00FE11D0">
        <w:rPr>
          <w:kern w:val="22"/>
          <w:szCs w:val="22"/>
        </w:rPr>
        <w:t xml:space="preserve"> workshop, </w:t>
      </w:r>
      <w:r w:rsidR="00951C47" w:rsidRPr="00FE11D0">
        <w:rPr>
          <w:kern w:val="22"/>
          <w:szCs w:val="22"/>
        </w:rPr>
        <w:t xml:space="preserve">including the objectives </w:t>
      </w:r>
      <w:r w:rsidR="00B678CD" w:rsidRPr="00FE11D0">
        <w:rPr>
          <w:kern w:val="22"/>
          <w:szCs w:val="22"/>
        </w:rPr>
        <w:t xml:space="preserve">and </w:t>
      </w:r>
      <w:r w:rsidR="00607DD6" w:rsidRPr="00FE11D0">
        <w:rPr>
          <w:kern w:val="22"/>
          <w:szCs w:val="22"/>
        </w:rPr>
        <w:t xml:space="preserve">the </w:t>
      </w:r>
      <w:r w:rsidR="003E693E" w:rsidRPr="00FE11D0">
        <w:rPr>
          <w:kern w:val="22"/>
          <w:szCs w:val="22"/>
        </w:rPr>
        <w:t>background of each agenda item</w:t>
      </w:r>
      <w:r w:rsidR="00951C47" w:rsidRPr="00FE11D0">
        <w:rPr>
          <w:kern w:val="22"/>
          <w:szCs w:val="22"/>
        </w:rPr>
        <w:t>.</w:t>
      </w:r>
      <w:r w:rsidR="00036270" w:rsidRPr="00FE11D0">
        <w:rPr>
          <w:kern w:val="22"/>
          <w:szCs w:val="22"/>
        </w:rPr>
        <w:t xml:space="preserve"> </w:t>
      </w:r>
      <w:r w:rsidR="00FE11D0" w:rsidRPr="00FE11D0">
        <w:rPr>
          <w:kern w:val="22"/>
          <w:szCs w:val="22"/>
        </w:rPr>
        <w:t xml:space="preserve">She explained that the workshop is an informal workshop in accordance with </w:t>
      </w:r>
      <w:r w:rsidR="00FE11D0" w:rsidRPr="0048621B">
        <w:rPr>
          <w:kern w:val="22"/>
          <w:szCs w:val="22"/>
        </w:rPr>
        <w:t>Appendix C of the consolidated modus operandi of the Subsidiary Body on Scientific, Technical and Technological Advice</w:t>
      </w:r>
      <w:r w:rsidRPr="009475D5">
        <w:rPr>
          <w:kern w:val="22"/>
          <w:szCs w:val="22"/>
          <w:vertAlign w:val="superscript"/>
        </w:rPr>
        <w:t>5</w:t>
      </w:r>
      <w:r w:rsidR="00FE11D0" w:rsidRPr="009475D5" w:rsidDel="004D18A2">
        <w:rPr>
          <w:kern w:val="22"/>
          <w:szCs w:val="22"/>
          <w:vertAlign w:val="superscript"/>
        </w:rPr>
        <w:t xml:space="preserve"> </w:t>
      </w:r>
      <w:r w:rsidR="00FE11D0">
        <w:rPr>
          <w:kern w:val="22"/>
          <w:szCs w:val="22"/>
        </w:rPr>
        <w:t>and all participants are equal in the workshop to discuss on scientific, technical and technological aspects of each agenda item. She briefly introduced on the working documents prepared by the Secretariat in consultation with the Liaison Group</w:t>
      </w:r>
      <w:r w:rsidR="00D1093D">
        <w:rPr>
          <w:kern w:val="22"/>
          <w:szCs w:val="22"/>
        </w:rPr>
        <w:t xml:space="preserve">. </w:t>
      </w:r>
      <w:r w:rsidR="00150953">
        <w:rPr>
          <w:kern w:val="22"/>
          <w:szCs w:val="22"/>
        </w:rPr>
        <w:t xml:space="preserve">She also </w:t>
      </w:r>
      <w:r w:rsidR="00BB5183">
        <w:rPr>
          <w:kern w:val="22"/>
          <w:szCs w:val="22"/>
        </w:rPr>
        <w:t xml:space="preserve">informed the Expert Workshop </w:t>
      </w:r>
      <w:r w:rsidR="00150953">
        <w:rPr>
          <w:kern w:val="22"/>
          <w:szCs w:val="22"/>
        </w:rPr>
        <w:t>that the</w:t>
      </w:r>
      <w:r w:rsidR="00D1093D">
        <w:rPr>
          <w:kern w:val="22"/>
          <w:szCs w:val="22"/>
        </w:rPr>
        <w:t xml:space="preserve"> working documents </w:t>
      </w:r>
      <w:r w:rsidR="0029214A">
        <w:rPr>
          <w:kern w:val="22"/>
          <w:szCs w:val="22"/>
        </w:rPr>
        <w:t xml:space="preserve">were </w:t>
      </w:r>
      <w:r w:rsidR="00D1093D">
        <w:rPr>
          <w:kern w:val="22"/>
          <w:szCs w:val="22"/>
        </w:rPr>
        <w:t xml:space="preserve">not draft pre-session documents but rather to be considered by the Expert Workshop to provide </w:t>
      </w:r>
      <w:r>
        <w:rPr>
          <w:kern w:val="22"/>
          <w:szCs w:val="22"/>
        </w:rPr>
        <w:t>advice</w:t>
      </w:r>
      <w:r w:rsidR="0029214A">
        <w:rPr>
          <w:kern w:val="22"/>
          <w:szCs w:val="22"/>
        </w:rPr>
        <w:t xml:space="preserve"> </w:t>
      </w:r>
      <w:r>
        <w:rPr>
          <w:kern w:val="22"/>
          <w:szCs w:val="22"/>
        </w:rPr>
        <w:t xml:space="preserve">technical </w:t>
      </w:r>
      <w:r w:rsidR="00D1093D">
        <w:rPr>
          <w:kern w:val="22"/>
          <w:szCs w:val="22"/>
        </w:rPr>
        <w:t xml:space="preserve">information </w:t>
      </w:r>
      <w:r w:rsidR="00150953">
        <w:rPr>
          <w:kern w:val="22"/>
          <w:szCs w:val="22"/>
        </w:rPr>
        <w:t>as</w:t>
      </w:r>
      <w:r w:rsidR="00D1093D">
        <w:rPr>
          <w:kern w:val="22"/>
          <w:szCs w:val="22"/>
        </w:rPr>
        <w:t xml:space="preserve"> </w:t>
      </w:r>
      <w:r w:rsidR="00150953">
        <w:rPr>
          <w:kern w:val="22"/>
          <w:szCs w:val="22"/>
        </w:rPr>
        <w:t>a</w:t>
      </w:r>
      <w:r w:rsidR="00D1093D">
        <w:rPr>
          <w:kern w:val="22"/>
          <w:szCs w:val="22"/>
        </w:rPr>
        <w:t xml:space="preserve"> preparatory process of the pre</w:t>
      </w:r>
      <w:r>
        <w:rPr>
          <w:kern w:val="22"/>
          <w:szCs w:val="22"/>
        </w:rPr>
        <w:t>-</w:t>
      </w:r>
      <w:r w:rsidR="00D1093D">
        <w:rPr>
          <w:kern w:val="22"/>
          <w:szCs w:val="22"/>
        </w:rPr>
        <w:t xml:space="preserve">session and information documents </w:t>
      </w:r>
      <w:r w:rsidR="00150953">
        <w:rPr>
          <w:kern w:val="22"/>
          <w:szCs w:val="22"/>
        </w:rPr>
        <w:t>to be presented to</w:t>
      </w:r>
      <w:r w:rsidR="00D1093D">
        <w:rPr>
          <w:kern w:val="22"/>
          <w:szCs w:val="22"/>
        </w:rPr>
        <w:t xml:space="preserve"> the </w:t>
      </w:r>
      <w:r w:rsidR="00150953">
        <w:rPr>
          <w:kern w:val="22"/>
          <w:szCs w:val="22"/>
        </w:rPr>
        <w:t xml:space="preserve">twenty-second meeting of </w:t>
      </w:r>
      <w:r w:rsidR="00D1093D" w:rsidRPr="0048621B">
        <w:rPr>
          <w:kern w:val="22"/>
          <w:szCs w:val="22"/>
        </w:rPr>
        <w:t>Subsidiary Body on Scientific, Technical and Technological Advice</w:t>
      </w:r>
      <w:r w:rsidR="00D1093D">
        <w:rPr>
          <w:kern w:val="22"/>
          <w:szCs w:val="22"/>
        </w:rPr>
        <w:t xml:space="preserve">. </w:t>
      </w:r>
    </w:p>
    <w:p w:rsidR="0021478A" w:rsidRPr="00FE11D0" w:rsidRDefault="0086173B" w:rsidP="0021478A">
      <w:pPr>
        <w:pStyle w:val="Para1"/>
        <w:numPr>
          <w:ilvl w:val="0"/>
          <w:numId w:val="6"/>
        </w:numPr>
        <w:ind w:left="0" w:firstLine="0"/>
        <w:rPr>
          <w:kern w:val="22"/>
          <w:szCs w:val="22"/>
        </w:rPr>
      </w:pPr>
      <w:r w:rsidRPr="00FE11D0">
        <w:rPr>
          <w:kern w:val="22"/>
          <w:szCs w:val="22"/>
        </w:rPr>
        <w:t>Participants were invited to elect a Chair and a Rapporteur for the workshop. Accordingly, participants elected Mr. Piero Genovesi as Chair and Ms. Ana Isabel González Martínez as Rapporteur.</w:t>
      </w:r>
    </w:p>
    <w:p w:rsidR="0086173B" w:rsidRPr="0021478A" w:rsidRDefault="0086173B" w:rsidP="0021478A">
      <w:pPr>
        <w:pStyle w:val="Para1"/>
        <w:numPr>
          <w:ilvl w:val="0"/>
          <w:numId w:val="6"/>
        </w:numPr>
        <w:ind w:left="0" w:firstLine="0"/>
        <w:rPr>
          <w:kern w:val="22"/>
          <w:szCs w:val="22"/>
        </w:rPr>
      </w:pPr>
      <w:r w:rsidRPr="0021478A">
        <w:rPr>
          <w:kern w:val="22"/>
          <w:szCs w:val="22"/>
        </w:rPr>
        <w:t>Participants adopted t</w:t>
      </w:r>
      <w:r w:rsidR="00951C47" w:rsidRPr="0021478A">
        <w:rPr>
          <w:kern w:val="22"/>
          <w:szCs w:val="22"/>
        </w:rPr>
        <w:t xml:space="preserve">he provisional agenda for the </w:t>
      </w:r>
      <w:r w:rsidRPr="0021478A">
        <w:rPr>
          <w:kern w:val="22"/>
          <w:szCs w:val="22"/>
        </w:rPr>
        <w:t>workshop</w:t>
      </w:r>
      <w:r w:rsidR="00951C47" w:rsidRPr="0021478A">
        <w:rPr>
          <w:kern w:val="22"/>
          <w:szCs w:val="22"/>
        </w:rPr>
        <w:t xml:space="preserve"> (</w:t>
      </w:r>
      <w:hyperlink r:id="rId11" w:history="1">
        <w:r w:rsidR="00951C47" w:rsidRPr="0021478A">
          <w:rPr>
            <w:rStyle w:val="Hyperlink"/>
            <w:kern w:val="22"/>
            <w:szCs w:val="22"/>
          </w:rPr>
          <w:t>CBD/IAS/EM/2017/1/1</w:t>
        </w:r>
      </w:hyperlink>
      <w:r w:rsidR="00951C47" w:rsidRPr="0021478A">
        <w:rPr>
          <w:kern w:val="22"/>
          <w:szCs w:val="22"/>
        </w:rPr>
        <w:t>).</w:t>
      </w:r>
      <w:r w:rsidR="009475D5">
        <w:rPr>
          <w:kern w:val="22"/>
          <w:szCs w:val="22"/>
        </w:rPr>
        <w:t xml:space="preserve"> In </w:t>
      </w:r>
      <w:r w:rsidR="0021478A" w:rsidRPr="0021478A">
        <w:rPr>
          <w:kern w:val="22"/>
          <w:szCs w:val="22"/>
        </w:rPr>
        <w:t xml:space="preserve">agenda item </w:t>
      </w:r>
      <w:r w:rsidR="00F51B84">
        <w:rPr>
          <w:kern w:val="22"/>
          <w:szCs w:val="22"/>
        </w:rPr>
        <w:t>4,</w:t>
      </w:r>
      <w:r w:rsidR="0021478A" w:rsidRPr="0021478A">
        <w:rPr>
          <w:kern w:val="22"/>
          <w:szCs w:val="22"/>
        </w:rPr>
        <w:t xml:space="preserve"> “other matters”, participants suggested </w:t>
      </w:r>
      <w:r w:rsidR="0029214A">
        <w:rPr>
          <w:kern w:val="22"/>
          <w:szCs w:val="22"/>
        </w:rPr>
        <w:t xml:space="preserve">the </w:t>
      </w:r>
      <w:r w:rsidR="0021478A" w:rsidRPr="0021478A">
        <w:rPr>
          <w:kern w:val="22"/>
          <w:szCs w:val="22"/>
        </w:rPr>
        <w:t>discuss</w:t>
      </w:r>
      <w:r w:rsidR="0029214A">
        <w:rPr>
          <w:kern w:val="22"/>
          <w:szCs w:val="22"/>
        </w:rPr>
        <w:t>ion of</w:t>
      </w:r>
      <w:r w:rsidR="0021478A" w:rsidRPr="0021478A">
        <w:rPr>
          <w:kern w:val="22"/>
          <w:szCs w:val="22"/>
        </w:rPr>
        <w:t xml:space="preserve"> the risks of invasive alien species moving with sea containers, and the outcomes of the Meeting of the Ad Hoc Technical Expert Group (AHTEG) on Synthetic Biology</w:t>
      </w:r>
      <w:r w:rsidR="0021478A">
        <w:rPr>
          <w:kern w:val="22"/>
          <w:szCs w:val="22"/>
        </w:rPr>
        <w:t xml:space="preserve">, </w:t>
      </w:r>
      <w:r w:rsidR="00977353">
        <w:rPr>
          <w:kern w:val="22"/>
          <w:szCs w:val="22"/>
        </w:rPr>
        <w:t>which took</w:t>
      </w:r>
      <w:r w:rsidR="0021478A">
        <w:rPr>
          <w:kern w:val="22"/>
          <w:szCs w:val="22"/>
        </w:rPr>
        <w:t xml:space="preserve"> place simultaneously t</w:t>
      </w:r>
      <w:r w:rsidR="00977353">
        <w:rPr>
          <w:kern w:val="22"/>
          <w:szCs w:val="22"/>
        </w:rPr>
        <w:t>o this</w:t>
      </w:r>
      <w:r w:rsidR="0021478A">
        <w:rPr>
          <w:kern w:val="22"/>
          <w:szCs w:val="22"/>
        </w:rPr>
        <w:t xml:space="preserve"> workshop.</w:t>
      </w:r>
      <w:r w:rsidR="009475D5">
        <w:rPr>
          <w:kern w:val="22"/>
          <w:szCs w:val="22"/>
        </w:rPr>
        <w:t xml:space="preserve"> </w:t>
      </w:r>
    </w:p>
    <w:p w:rsidR="00951C47" w:rsidRPr="0086173B" w:rsidRDefault="0086173B" w:rsidP="0086173B">
      <w:pPr>
        <w:pStyle w:val="Para1"/>
        <w:numPr>
          <w:ilvl w:val="0"/>
          <w:numId w:val="6"/>
        </w:numPr>
        <w:ind w:left="0" w:firstLine="0"/>
        <w:rPr>
          <w:kern w:val="22"/>
          <w:szCs w:val="22"/>
        </w:rPr>
      </w:pPr>
      <w:r>
        <w:rPr>
          <w:kern w:val="22"/>
          <w:szCs w:val="22"/>
        </w:rPr>
        <w:t xml:space="preserve">Participants </w:t>
      </w:r>
      <w:r w:rsidRPr="0086173B">
        <w:rPr>
          <w:kern w:val="22"/>
          <w:szCs w:val="22"/>
        </w:rPr>
        <w:t xml:space="preserve">agreed on the organization of </w:t>
      </w:r>
      <w:r>
        <w:rPr>
          <w:kern w:val="22"/>
          <w:szCs w:val="22"/>
        </w:rPr>
        <w:t>the</w:t>
      </w:r>
      <w:r w:rsidRPr="0086173B">
        <w:rPr>
          <w:kern w:val="22"/>
          <w:szCs w:val="22"/>
        </w:rPr>
        <w:t xml:space="preserve"> work proposed by the Secretariat, as specified in </w:t>
      </w:r>
      <w:r w:rsidR="0029214A">
        <w:rPr>
          <w:kern w:val="22"/>
          <w:szCs w:val="22"/>
        </w:rPr>
        <w:t>A</w:t>
      </w:r>
      <w:r w:rsidR="0029214A" w:rsidRPr="0086173B">
        <w:rPr>
          <w:kern w:val="22"/>
          <w:szCs w:val="22"/>
        </w:rPr>
        <w:t xml:space="preserve">nnex </w:t>
      </w:r>
      <w:r w:rsidRPr="0086173B">
        <w:rPr>
          <w:kern w:val="22"/>
          <w:szCs w:val="22"/>
        </w:rPr>
        <w:t xml:space="preserve">I to the annotations to the provisional agenda </w:t>
      </w:r>
      <w:r w:rsidR="00951C47" w:rsidRPr="0086173B">
        <w:rPr>
          <w:kern w:val="22"/>
          <w:szCs w:val="22"/>
        </w:rPr>
        <w:t>(</w:t>
      </w:r>
      <w:hyperlink r:id="rId12" w:history="1">
        <w:r w:rsidRPr="0086173B">
          <w:rPr>
            <w:rStyle w:val="Hyperlink"/>
            <w:kern w:val="22"/>
            <w:szCs w:val="22"/>
          </w:rPr>
          <w:t>CBD/IAS/EM/2017/1/1/Add.1</w:t>
        </w:r>
      </w:hyperlink>
      <w:r w:rsidR="00951C47" w:rsidRPr="0086173B">
        <w:rPr>
          <w:kern w:val="22"/>
          <w:szCs w:val="22"/>
        </w:rPr>
        <w:t>).</w:t>
      </w:r>
    </w:p>
    <w:p w:rsidR="004D43D5" w:rsidRPr="00353BF8" w:rsidRDefault="004D43D5" w:rsidP="00353BF8">
      <w:pPr>
        <w:pStyle w:val="Heading1"/>
        <w:tabs>
          <w:tab w:val="clear" w:pos="720"/>
        </w:tabs>
        <w:ind w:left="1988" w:right="144" w:hanging="1138"/>
        <w:jc w:val="left"/>
        <w:rPr>
          <w:snapToGrid w:val="0"/>
          <w:kern w:val="22"/>
          <w:szCs w:val="22"/>
        </w:rPr>
      </w:pPr>
      <w:r w:rsidRPr="00353BF8">
        <w:rPr>
          <w:snapToGrid w:val="0"/>
          <w:kern w:val="22"/>
          <w:szCs w:val="22"/>
        </w:rPr>
        <w:lastRenderedPageBreak/>
        <w:t>ITEM 2.</w:t>
      </w:r>
      <w:r w:rsidRPr="00353BF8">
        <w:rPr>
          <w:snapToGrid w:val="0"/>
          <w:kern w:val="22"/>
          <w:szCs w:val="22"/>
        </w:rPr>
        <w:tab/>
        <w:t>PROGRESS ON THE DEVELOPMENT OF GUIDANCE AND TOOLS ON INVASIVE ALIEN SPECIES MANAGEMENT</w:t>
      </w:r>
    </w:p>
    <w:p w:rsidR="00607DD6" w:rsidRPr="00C82B2B" w:rsidRDefault="00607DD6" w:rsidP="004D43D5">
      <w:pPr>
        <w:pStyle w:val="Heading2"/>
        <w:rPr>
          <w:i w:val="0"/>
        </w:rPr>
      </w:pPr>
      <w:r w:rsidRPr="00C82B2B">
        <w:t>Item 2.1</w:t>
      </w:r>
      <w:r w:rsidR="00353BF8">
        <w:t>.</w:t>
      </w:r>
      <w:r w:rsidRPr="00C82B2B">
        <w:t xml:space="preserve"> Draft supplementa</w:t>
      </w:r>
      <w:r w:rsidR="00834771">
        <w:t>l</w:t>
      </w:r>
      <w:r w:rsidRPr="00C82B2B">
        <w:t xml:space="preserve"> guidance on the trade in live alien species as pets, aquarium and terrarium species, and as live bait and live food</w:t>
      </w:r>
    </w:p>
    <w:p w:rsidR="006B5B45" w:rsidRPr="006B5B45" w:rsidRDefault="00F45FD7" w:rsidP="006B5B45">
      <w:pPr>
        <w:pStyle w:val="Para1"/>
        <w:numPr>
          <w:ilvl w:val="0"/>
          <w:numId w:val="6"/>
        </w:numPr>
        <w:ind w:left="0" w:firstLine="0"/>
        <w:rPr>
          <w:kern w:val="22"/>
          <w:szCs w:val="22"/>
        </w:rPr>
      </w:pPr>
      <w:r w:rsidRPr="006B5B45">
        <w:rPr>
          <w:kern w:val="22"/>
          <w:szCs w:val="22"/>
        </w:rPr>
        <w:t xml:space="preserve">The Chair </w:t>
      </w:r>
      <w:r w:rsidR="00BC7AE6" w:rsidRPr="006B5B45">
        <w:rPr>
          <w:kern w:val="22"/>
          <w:szCs w:val="22"/>
        </w:rPr>
        <w:t>invite</w:t>
      </w:r>
      <w:r w:rsidRPr="006B5B45">
        <w:rPr>
          <w:kern w:val="22"/>
          <w:szCs w:val="22"/>
        </w:rPr>
        <w:t>d</w:t>
      </w:r>
      <w:r w:rsidR="00BC7AE6" w:rsidRPr="006B5B45">
        <w:rPr>
          <w:kern w:val="22"/>
          <w:szCs w:val="22"/>
        </w:rPr>
        <w:t xml:space="preserve"> a representative of the Secretariat to </w:t>
      </w:r>
      <w:r w:rsidRPr="006B5B45">
        <w:rPr>
          <w:kern w:val="22"/>
          <w:szCs w:val="22"/>
        </w:rPr>
        <w:t>introduce the document relevant to this agenda item.</w:t>
      </w:r>
      <w:r w:rsidR="00977353" w:rsidRPr="006B5B45">
        <w:rPr>
          <w:kern w:val="22"/>
          <w:szCs w:val="22"/>
        </w:rPr>
        <w:t xml:space="preserve"> </w:t>
      </w:r>
      <w:r w:rsidRPr="006B5B45">
        <w:rPr>
          <w:kern w:val="22"/>
          <w:szCs w:val="22"/>
        </w:rPr>
        <w:t xml:space="preserve">Accordingly, </w:t>
      </w:r>
      <w:r w:rsidR="00F51B84">
        <w:rPr>
          <w:kern w:val="22"/>
          <w:szCs w:val="22"/>
        </w:rPr>
        <w:t>she</w:t>
      </w:r>
      <w:r w:rsidRPr="006B5B45">
        <w:rPr>
          <w:kern w:val="22"/>
          <w:szCs w:val="22"/>
        </w:rPr>
        <w:t xml:space="preserve"> </w:t>
      </w:r>
      <w:r w:rsidR="006B5B45">
        <w:rPr>
          <w:kern w:val="22"/>
          <w:szCs w:val="22"/>
        </w:rPr>
        <w:t>highlighted that the document “Draft</w:t>
      </w:r>
      <w:r w:rsidR="006B5B45" w:rsidRPr="006B5B45">
        <w:rPr>
          <w:kern w:val="22"/>
          <w:szCs w:val="22"/>
        </w:rPr>
        <w:t xml:space="preserve"> Supplemental Guidance to the </w:t>
      </w:r>
      <w:r w:rsidR="006B5B45">
        <w:rPr>
          <w:kern w:val="22"/>
          <w:szCs w:val="22"/>
        </w:rPr>
        <w:t>E</w:t>
      </w:r>
      <w:r w:rsidR="006B5B45" w:rsidRPr="006B5B45">
        <w:rPr>
          <w:kern w:val="22"/>
          <w:szCs w:val="22"/>
        </w:rPr>
        <w:t>xisting Guidance on Devising and Implementing Measures to Address the Risks Associated with the Introduction of Alien Species as Pets, Aquarium and Terrarium Species, and as Live Bait and Live Food</w:t>
      </w:r>
      <w:r w:rsidR="00124477">
        <w:rPr>
          <w:kern w:val="22"/>
          <w:szCs w:val="22"/>
        </w:rPr>
        <w:t xml:space="preserve"> (hereafter Draft Supplemental Guidance)</w:t>
      </w:r>
      <w:r w:rsidR="006B5B45">
        <w:rPr>
          <w:kern w:val="22"/>
          <w:szCs w:val="22"/>
        </w:rPr>
        <w:t>” was reviewed by the Inter-</w:t>
      </w:r>
      <w:proofErr w:type="gramStart"/>
      <w:r w:rsidR="006B5B45">
        <w:rPr>
          <w:kern w:val="22"/>
          <w:szCs w:val="22"/>
        </w:rPr>
        <w:t>agency</w:t>
      </w:r>
      <w:proofErr w:type="gramEnd"/>
      <w:r w:rsidR="006B5B45">
        <w:rPr>
          <w:kern w:val="22"/>
          <w:szCs w:val="22"/>
        </w:rPr>
        <w:t xml:space="preserve"> Liaison Group on Invasive Alien Species at its eighth meeting held </w:t>
      </w:r>
      <w:r w:rsidR="006B5B45" w:rsidRPr="006B5B45">
        <w:rPr>
          <w:kern w:val="22"/>
          <w:szCs w:val="22"/>
        </w:rPr>
        <w:t xml:space="preserve">from 22 </w:t>
      </w:r>
      <w:r w:rsidR="006B5B45">
        <w:rPr>
          <w:kern w:val="22"/>
          <w:szCs w:val="22"/>
        </w:rPr>
        <w:t>to</w:t>
      </w:r>
      <w:r w:rsidR="006B5B45" w:rsidRPr="006B5B45">
        <w:rPr>
          <w:kern w:val="22"/>
          <w:szCs w:val="22"/>
        </w:rPr>
        <w:t xml:space="preserve"> 23 November 2017 </w:t>
      </w:r>
      <w:r w:rsidR="006B5B45">
        <w:rPr>
          <w:kern w:val="22"/>
          <w:szCs w:val="22"/>
        </w:rPr>
        <w:t xml:space="preserve">in </w:t>
      </w:r>
      <w:r w:rsidR="006B5B45" w:rsidRPr="006B5B45">
        <w:rPr>
          <w:kern w:val="22"/>
          <w:szCs w:val="22"/>
        </w:rPr>
        <w:t>Brussels, Belgium</w:t>
      </w:r>
      <w:r w:rsidR="006B5B45">
        <w:rPr>
          <w:kern w:val="22"/>
          <w:szCs w:val="22"/>
        </w:rPr>
        <w:t>.</w:t>
      </w:r>
      <w:r w:rsidR="00D1093D">
        <w:rPr>
          <w:kern w:val="22"/>
          <w:szCs w:val="22"/>
        </w:rPr>
        <w:t xml:space="preserve"> Comments arrived from the International Plant Protection Convention (IPPC) and World Organisation for Animal Health (OIE) were shared with the Expert Workshop via email.</w:t>
      </w:r>
    </w:p>
    <w:p w:rsidR="00124477" w:rsidRDefault="00124477" w:rsidP="00124477">
      <w:pPr>
        <w:pStyle w:val="Para1"/>
        <w:numPr>
          <w:ilvl w:val="0"/>
          <w:numId w:val="6"/>
        </w:numPr>
        <w:ind w:left="0" w:firstLine="0"/>
        <w:rPr>
          <w:kern w:val="22"/>
          <w:szCs w:val="22"/>
        </w:rPr>
      </w:pPr>
      <w:r>
        <w:rPr>
          <w:kern w:val="22"/>
          <w:szCs w:val="22"/>
        </w:rPr>
        <w:t>Participants were then invited to review the Draft Supplemental Guidance. As a result, participants considered the following:</w:t>
      </w:r>
    </w:p>
    <w:p w:rsidR="00605407" w:rsidRDefault="00605407" w:rsidP="00413295">
      <w:pPr>
        <w:pStyle w:val="Para1"/>
        <w:numPr>
          <w:ilvl w:val="0"/>
          <w:numId w:val="7"/>
        </w:numPr>
        <w:ind w:left="0" w:firstLine="840"/>
        <w:rPr>
          <w:kern w:val="22"/>
          <w:szCs w:val="22"/>
        </w:rPr>
      </w:pPr>
      <w:r w:rsidRPr="00605407">
        <w:rPr>
          <w:kern w:val="22"/>
          <w:szCs w:val="22"/>
        </w:rPr>
        <w:t>Participants welcomed the guidance and expressed appreciation for the work that has been done</w:t>
      </w:r>
      <w:r>
        <w:rPr>
          <w:kern w:val="22"/>
          <w:szCs w:val="22"/>
        </w:rPr>
        <w:t>, and</w:t>
      </w:r>
      <w:r w:rsidRPr="00605407">
        <w:rPr>
          <w:kern w:val="22"/>
          <w:szCs w:val="22"/>
        </w:rPr>
        <w:t xml:space="preserve"> proposed that the organizations in the Inter-agency liaison group, experts and participants of the meeting be given add</w:t>
      </w:r>
      <w:r>
        <w:rPr>
          <w:kern w:val="22"/>
          <w:szCs w:val="22"/>
        </w:rPr>
        <w:t xml:space="preserve">itional time to comment on the </w:t>
      </w:r>
      <w:r w:rsidRPr="00605407">
        <w:rPr>
          <w:kern w:val="22"/>
          <w:szCs w:val="22"/>
        </w:rPr>
        <w:t>draft guidance before finalizing the document</w:t>
      </w:r>
      <w:r>
        <w:rPr>
          <w:kern w:val="22"/>
          <w:szCs w:val="22"/>
        </w:rPr>
        <w:t>.</w:t>
      </w:r>
    </w:p>
    <w:p w:rsidR="00050AAB" w:rsidRDefault="00AD6A4C" w:rsidP="00413295">
      <w:pPr>
        <w:pStyle w:val="Para1"/>
        <w:numPr>
          <w:ilvl w:val="0"/>
          <w:numId w:val="7"/>
        </w:numPr>
        <w:ind w:left="0" w:firstLine="840"/>
        <w:rPr>
          <w:kern w:val="22"/>
          <w:szCs w:val="22"/>
        </w:rPr>
      </w:pPr>
      <w:r>
        <w:rPr>
          <w:kern w:val="22"/>
          <w:szCs w:val="22"/>
        </w:rPr>
        <w:t>The best way to move forward</w:t>
      </w:r>
      <w:r w:rsidR="0029214A">
        <w:rPr>
          <w:kern w:val="22"/>
          <w:szCs w:val="22"/>
        </w:rPr>
        <w:t xml:space="preserve"> was</w:t>
      </w:r>
      <w:r>
        <w:rPr>
          <w:kern w:val="22"/>
          <w:szCs w:val="22"/>
        </w:rPr>
        <w:t xml:space="preserve"> by either</w:t>
      </w:r>
      <w:r w:rsidRPr="00AD6A4C">
        <w:rPr>
          <w:kern w:val="22"/>
          <w:szCs w:val="22"/>
        </w:rPr>
        <w:t xml:space="preserve"> </w:t>
      </w:r>
      <w:r>
        <w:rPr>
          <w:kern w:val="22"/>
          <w:szCs w:val="22"/>
        </w:rPr>
        <w:t>identifying</w:t>
      </w:r>
      <w:r w:rsidRPr="00AD6A4C">
        <w:rPr>
          <w:kern w:val="22"/>
          <w:szCs w:val="22"/>
        </w:rPr>
        <w:t xml:space="preserve"> gap</w:t>
      </w:r>
      <w:r>
        <w:rPr>
          <w:kern w:val="22"/>
          <w:szCs w:val="22"/>
        </w:rPr>
        <w:t>s</w:t>
      </w:r>
      <w:r w:rsidRPr="00AD6A4C">
        <w:rPr>
          <w:kern w:val="22"/>
          <w:szCs w:val="22"/>
        </w:rPr>
        <w:t>, fill</w:t>
      </w:r>
      <w:r>
        <w:rPr>
          <w:kern w:val="22"/>
          <w:szCs w:val="22"/>
        </w:rPr>
        <w:t xml:space="preserve">ing them, </w:t>
      </w:r>
      <w:r w:rsidRPr="00AD6A4C">
        <w:rPr>
          <w:kern w:val="22"/>
          <w:szCs w:val="22"/>
        </w:rPr>
        <w:t>develop</w:t>
      </w:r>
      <w:r>
        <w:rPr>
          <w:kern w:val="22"/>
          <w:szCs w:val="22"/>
        </w:rPr>
        <w:t>ing</w:t>
      </w:r>
      <w:r w:rsidRPr="00AD6A4C">
        <w:rPr>
          <w:kern w:val="22"/>
          <w:szCs w:val="22"/>
        </w:rPr>
        <w:t xml:space="preserve"> specific guidance, or </w:t>
      </w:r>
      <w:r>
        <w:rPr>
          <w:kern w:val="22"/>
          <w:szCs w:val="22"/>
        </w:rPr>
        <w:t xml:space="preserve">mapping </w:t>
      </w:r>
      <w:r w:rsidRPr="00AD6A4C">
        <w:rPr>
          <w:kern w:val="22"/>
          <w:szCs w:val="22"/>
        </w:rPr>
        <w:t>existing international standard</w:t>
      </w:r>
      <w:r>
        <w:rPr>
          <w:kern w:val="22"/>
          <w:szCs w:val="22"/>
        </w:rPr>
        <w:t>s that can be applied to the issue</w:t>
      </w:r>
      <w:r w:rsidR="00050AAB">
        <w:rPr>
          <w:kern w:val="22"/>
          <w:szCs w:val="22"/>
        </w:rPr>
        <w:t>;</w:t>
      </w:r>
    </w:p>
    <w:p w:rsidR="009475E2" w:rsidRPr="009475E2" w:rsidRDefault="009475E2" w:rsidP="00413295">
      <w:pPr>
        <w:pStyle w:val="ListParagraph"/>
        <w:numPr>
          <w:ilvl w:val="0"/>
          <w:numId w:val="7"/>
        </w:numPr>
        <w:ind w:left="0" w:firstLine="840"/>
        <w:rPr>
          <w:snapToGrid w:val="0"/>
          <w:kern w:val="22"/>
          <w:szCs w:val="22"/>
        </w:rPr>
      </w:pPr>
      <w:r w:rsidRPr="009475E2">
        <w:rPr>
          <w:snapToGrid w:val="0"/>
          <w:kern w:val="22"/>
          <w:szCs w:val="22"/>
        </w:rPr>
        <w:t xml:space="preserve">Mr </w:t>
      </w:r>
      <w:proofErr w:type="spellStart"/>
      <w:r w:rsidRPr="009475E2">
        <w:rPr>
          <w:snapToGrid w:val="0"/>
          <w:kern w:val="22"/>
          <w:szCs w:val="22"/>
        </w:rPr>
        <w:t>Therriault</w:t>
      </w:r>
      <w:proofErr w:type="spellEnd"/>
      <w:r w:rsidRPr="009475E2">
        <w:rPr>
          <w:snapToGrid w:val="0"/>
          <w:kern w:val="22"/>
          <w:szCs w:val="22"/>
        </w:rPr>
        <w:t xml:space="preserve">, Canada stressed that wording in the preamble should include proactive measures if we are to successfully manage the risks of invasive alien species. Capacity building is important and would also benefit developing countries if all countries would implement proactive measures </w:t>
      </w:r>
      <w:r w:rsidR="00BB5183">
        <w:rPr>
          <w:snapToGrid w:val="0"/>
          <w:kern w:val="22"/>
          <w:szCs w:val="22"/>
        </w:rPr>
        <w:t xml:space="preserve">to prevent introductions of </w:t>
      </w:r>
      <w:r w:rsidR="00F51B84">
        <w:rPr>
          <w:snapToGrid w:val="0"/>
          <w:kern w:val="22"/>
          <w:szCs w:val="22"/>
        </w:rPr>
        <w:t>invasive alien species</w:t>
      </w:r>
      <w:r w:rsidR="00BB5183">
        <w:rPr>
          <w:snapToGrid w:val="0"/>
          <w:kern w:val="22"/>
          <w:szCs w:val="22"/>
        </w:rPr>
        <w:t>;</w:t>
      </w:r>
    </w:p>
    <w:p w:rsidR="00050AAB" w:rsidRDefault="001D19F8" w:rsidP="00413295">
      <w:pPr>
        <w:pStyle w:val="ListParagraph"/>
        <w:numPr>
          <w:ilvl w:val="0"/>
          <w:numId w:val="7"/>
        </w:numPr>
        <w:ind w:left="0" w:firstLine="840"/>
        <w:rPr>
          <w:kern w:val="22"/>
          <w:szCs w:val="22"/>
        </w:rPr>
      </w:pPr>
      <w:r w:rsidRPr="004C4C7C">
        <w:rPr>
          <w:snapToGrid w:val="0"/>
          <w:kern w:val="22"/>
          <w:szCs w:val="22"/>
        </w:rPr>
        <w:t>The</w:t>
      </w:r>
      <w:r w:rsidRPr="00050AAB">
        <w:rPr>
          <w:kern w:val="22"/>
          <w:szCs w:val="22"/>
        </w:rPr>
        <w:t xml:space="preserve"> Chair stressed that despite the differences in unintentional introductions on invasive alien species, countries have adopted strict</w:t>
      </w:r>
      <w:r w:rsidR="00543AD0" w:rsidRPr="00050AAB">
        <w:rPr>
          <w:kern w:val="22"/>
          <w:szCs w:val="22"/>
        </w:rPr>
        <w:t xml:space="preserve"> approaches</w:t>
      </w:r>
      <w:r w:rsidR="0029214A">
        <w:rPr>
          <w:kern w:val="22"/>
          <w:szCs w:val="22"/>
        </w:rPr>
        <w:t xml:space="preserve"> towards the issue</w:t>
      </w:r>
      <w:r w:rsidR="00543AD0" w:rsidRPr="00050AAB">
        <w:rPr>
          <w:kern w:val="22"/>
          <w:szCs w:val="22"/>
        </w:rPr>
        <w:t xml:space="preserve">. One example is </w:t>
      </w:r>
      <w:r w:rsidRPr="00050AAB">
        <w:rPr>
          <w:kern w:val="22"/>
          <w:szCs w:val="22"/>
        </w:rPr>
        <w:t xml:space="preserve">quarantine systems </w:t>
      </w:r>
      <w:r w:rsidR="00543AD0" w:rsidRPr="00050AAB">
        <w:rPr>
          <w:kern w:val="22"/>
          <w:szCs w:val="22"/>
        </w:rPr>
        <w:t xml:space="preserve">that follow </w:t>
      </w:r>
      <w:r w:rsidR="00F51B84">
        <w:rPr>
          <w:kern w:val="22"/>
          <w:szCs w:val="22"/>
        </w:rPr>
        <w:t xml:space="preserve">the </w:t>
      </w:r>
      <w:r w:rsidR="00543AD0" w:rsidRPr="00050AAB">
        <w:rPr>
          <w:kern w:val="22"/>
          <w:szCs w:val="22"/>
        </w:rPr>
        <w:t>IPPC</w:t>
      </w:r>
      <w:r w:rsidR="0029214A">
        <w:rPr>
          <w:kern w:val="22"/>
          <w:szCs w:val="22"/>
        </w:rPr>
        <w:t xml:space="preserve"> and its phytosanitary measures</w:t>
      </w:r>
      <w:r w:rsidR="00543AD0" w:rsidRPr="00050AAB">
        <w:rPr>
          <w:kern w:val="22"/>
          <w:szCs w:val="22"/>
        </w:rPr>
        <w:t xml:space="preserve">. Examples like this </w:t>
      </w:r>
      <w:r w:rsidRPr="00050AAB">
        <w:rPr>
          <w:kern w:val="22"/>
          <w:szCs w:val="22"/>
        </w:rPr>
        <w:t xml:space="preserve">can encourage countries to </w:t>
      </w:r>
      <w:r w:rsidR="00050AAB" w:rsidRPr="00050AAB">
        <w:rPr>
          <w:kern w:val="22"/>
          <w:szCs w:val="22"/>
        </w:rPr>
        <w:t>adopt stricter measures to address unintentional introductions of invasive alien species</w:t>
      </w:r>
      <w:r w:rsidRPr="00050AAB">
        <w:rPr>
          <w:kern w:val="22"/>
          <w:szCs w:val="22"/>
        </w:rPr>
        <w:t xml:space="preserve">. </w:t>
      </w:r>
      <w:r w:rsidR="00050AAB" w:rsidRPr="00050AAB">
        <w:rPr>
          <w:kern w:val="22"/>
          <w:szCs w:val="22"/>
        </w:rPr>
        <w:t xml:space="preserve">Taking this into account, the Chair </w:t>
      </w:r>
      <w:r w:rsidR="00050AAB">
        <w:rPr>
          <w:kern w:val="22"/>
          <w:szCs w:val="22"/>
        </w:rPr>
        <w:t xml:space="preserve">suggested that countries use existing </w:t>
      </w:r>
      <w:r w:rsidR="00050AAB" w:rsidRPr="00050AAB">
        <w:rPr>
          <w:kern w:val="22"/>
          <w:szCs w:val="22"/>
        </w:rPr>
        <w:t xml:space="preserve">national </w:t>
      </w:r>
      <w:r w:rsidR="00050AAB">
        <w:rPr>
          <w:kern w:val="22"/>
          <w:szCs w:val="22"/>
        </w:rPr>
        <w:t>and</w:t>
      </w:r>
      <w:r w:rsidR="00050AAB" w:rsidRPr="00050AAB">
        <w:rPr>
          <w:kern w:val="22"/>
          <w:szCs w:val="22"/>
        </w:rPr>
        <w:t xml:space="preserve"> international l</w:t>
      </w:r>
      <w:r w:rsidR="00CB4537">
        <w:rPr>
          <w:kern w:val="22"/>
          <w:szCs w:val="22"/>
        </w:rPr>
        <w:t>aws</w:t>
      </w:r>
      <w:r w:rsidR="00050AAB">
        <w:rPr>
          <w:kern w:val="22"/>
          <w:szCs w:val="22"/>
        </w:rPr>
        <w:t xml:space="preserve">, without </w:t>
      </w:r>
      <w:r w:rsidR="004517D9">
        <w:rPr>
          <w:kern w:val="22"/>
          <w:szCs w:val="22"/>
        </w:rPr>
        <w:t xml:space="preserve">the need </w:t>
      </w:r>
      <w:r w:rsidR="00050AAB">
        <w:rPr>
          <w:kern w:val="22"/>
          <w:szCs w:val="22"/>
        </w:rPr>
        <w:t>to</w:t>
      </w:r>
      <w:r w:rsidR="00050AAB" w:rsidRPr="00050AAB">
        <w:rPr>
          <w:kern w:val="22"/>
          <w:szCs w:val="22"/>
        </w:rPr>
        <w:t xml:space="preserve"> develop </w:t>
      </w:r>
      <w:r w:rsidRPr="00050AAB">
        <w:rPr>
          <w:kern w:val="22"/>
          <w:szCs w:val="22"/>
        </w:rPr>
        <w:t>new legal tool</w:t>
      </w:r>
      <w:r w:rsidR="00050AAB" w:rsidRPr="00050AAB">
        <w:rPr>
          <w:kern w:val="22"/>
          <w:szCs w:val="22"/>
        </w:rPr>
        <w:t>s</w:t>
      </w:r>
      <w:r w:rsidR="00B76ED0">
        <w:rPr>
          <w:kern w:val="22"/>
          <w:szCs w:val="22"/>
        </w:rPr>
        <w:t>;</w:t>
      </w:r>
    </w:p>
    <w:p w:rsidR="00B76ED0" w:rsidRPr="004C4C7C" w:rsidRDefault="009475E2" w:rsidP="00413295">
      <w:pPr>
        <w:pStyle w:val="ListParagraph"/>
        <w:numPr>
          <w:ilvl w:val="0"/>
          <w:numId w:val="7"/>
        </w:numPr>
        <w:ind w:left="0" w:firstLine="840"/>
        <w:rPr>
          <w:snapToGrid w:val="0"/>
          <w:kern w:val="22"/>
          <w:szCs w:val="22"/>
        </w:rPr>
      </w:pPr>
      <w:r w:rsidRPr="009475E2">
        <w:rPr>
          <w:snapToGrid w:val="0"/>
          <w:kern w:val="22"/>
          <w:szCs w:val="22"/>
        </w:rPr>
        <w:t>Ms. Josefsson, Sweden, stressed the importance of the Secretariat in acting as a bridge between the environmental and other international organizations dealing in some aspect relating to invasive alien species. This is due to the lack of familiarity of the CBD community, mostly in environmental sector, with the IPPC, OIE, WTO and other international regulatory frameworks relevant to invasive alien species. She highlighted examples from Australia, New Zealand, Norway</w:t>
      </w:r>
      <w:r w:rsidR="004517D9">
        <w:rPr>
          <w:snapToGrid w:val="0"/>
          <w:kern w:val="22"/>
          <w:szCs w:val="22"/>
        </w:rPr>
        <w:t xml:space="preserve"> and North American Plant Protection Organization (NAPPO)</w:t>
      </w:r>
      <w:r w:rsidRPr="009475E2">
        <w:rPr>
          <w:snapToGrid w:val="0"/>
          <w:kern w:val="22"/>
          <w:szCs w:val="22"/>
        </w:rPr>
        <w:t xml:space="preserve"> as a way forward;</w:t>
      </w:r>
    </w:p>
    <w:p w:rsidR="009475E2" w:rsidRPr="009475E2" w:rsidRDefault="009475E2" w:rsidP="00413295">
      <w:pPr>
        <w:pStyle w:val="ListParagraph"/>
        <w:numPr>
          <w:ilvl w:val="0"/>
          <w:numId w:val="7"/>
        </w:numPr>
        <w:ind w:left="0" w:firstLine="840"/>
        <w:rPr>
          <w:snapToGrid w:val="0"/>
          <w:kern w:val="22"/>
          <w:szCs w:val="22"/>
        </w:rPr>
      </w:pPr>
      <w:r w:rsidRPr="009475E2">
        <w:rPr>
          <w:snapToGrid w:val="0"/>
          <w:kern w:val="22"/>
          <w:szCs w:val="22"/>
        </w:rPr>
        <w:t xml:space="preserve">Participants realized that there is a grey area when discussing vectors of unintentional introduction of invasive alien species. They suggested that the </w:t>
      </w:r>
      <w:r w:rsidR="00F51B84">
        <w:rPr>
          <w:snapToGrid w:val="0"/>
          <w:kern w:val="22"/>
          <w:szCs w:val="22"/>
        </w:rPr>
        <w:t>d</w:t>
      </w:r>
      <w:r w:rsidRPr="009475E2">
        <w:rPr>
          <w:snapToGrid w:val="0"/>
          <w:kern w:val="22"/>
          <w:szCs w:val="22"/>
        </w:rPr>
        <w:t xml:space="preserve">raft </w:t>
      </w:r>
      <w:r w:rsidR="00F51B84">
        <w:rPr>
          <w:snapToGrid w:val="0"/>
          <w:kern w:val="22"/>
          <w:szCs w:val="22"/>
        </w:rPr>
        <w:t>s</w:t>
      </w:r>
      <w:r w:rsidRPr="009475E2">
        <w:rPr>
          <w:snapToGrid w:val="0"/>
          <w:kern w:val="22"/>
          <w:szCs w:val="22"/>
        </w:rPr>
        <w:t xml:space="preserve">upplemental </w:t>
      </w:r>
      <w:r w:rsidR="00F51B84">
        <w:rPr>
          <w:snapToGrid w:val="0"/>
          <w:kern w:val="22"/>
          <w:szCs w:val="22"/>
        </w:rPr>
        <w:t>g</w:t>
      </w:r>
      <w:r w:rsidRPr="009475E2">
        <w:rPr>
          <w:snapToGrid w:val="0"/>
          <w:kern w:val="22"/>
          <w:szCs w:val="22"/>
        </w:rPr>
        <w:t xml:space="preserve">uidance includes a session detailing such vectors. </w:t>
      </w:r>
      <w:r w:rsidR="004517D9">
        <w:rPr>
          <w:snapToGrid w:val="0"/>
          <w:kern w:val="22"/>
          <w:szCs w:val="22"/>
        </w:rPr>
        <w:t>Examples</w:t>
      </w:r>
      <w:r w:rsidRPr="009475E2">
        <w:rPr>
          <w:snapToGrid w:val="0"/>
          <w:kern w:val="22"/>
          <w:szCs w:val="22"/>
        </w:rPr>
        <w:t xml:space="preserve"> provided by participants included conveyances including Commodity Transport Units (shipping containers) (e.g. ships’ biofouling, organisms attached to transport vehicles) and bedding materials, packaging materials including cage or boxes, seeds as</w:t>
      </w:r>
      <w:r w:rsidR="002A49AA">
        <w:rPr>
          <w:snapToGrid w:val="0"/>
          <w:kern w:val="22"/>
          <w:szCs w:val="22"/>
        </w:rPr>
        <w:t xml:space="preserve"> well as other living organisms</w:t>
      </w:r>
      <w:r w:rsidRPr="009475E2">
        <w:rPr>
          <w:snapToGrid w:val="0"/>
          <w:kern w:val="22"/>
          <w:szCs w:val="22"/>
        </w:rPr>
        <w:t xml:space="preserve"> used to feed live animals. Usually, the sender does not indicate animal feed on the label of the consignment, as the import requirement applies only on the commodity;</w:t>
      </w:r>
    </w:p>
    <w:p w:rsidR="00BD40B8" w:rsidRDefault="00B76ED0" w:rsidP="00413295">
      <w:pPr>
        <w:pStyle w:val="ListParagraph"/>
        <w:numPr>
          <w:ilvl w:val="0"/>
          <w:numId w:val="7"/>
        </w:numPr>
        <w:ind w:left="0" w:firstLine="840"/>
        <w:rPr>
          <w:kern w:val="22"/>
          <w:szCs w:val="22"/>
        </w:rPr>
      </w:pPr>
      <w:r w:rsidRPr="004C4C7C">
        <w:rPr>
          <w:snapToGrid w:val="0"/>
          <w:kern w:val="22"/>
          <w:szCs w:val="22"/>
        </w:rPr>
        <w:t>Participants</w:t>
      </w:r>
      <w:r w:rsidRPr="00B76ED0">
        <w:rPr>
          <w:kern w:val="22"/>
          <w:szCs w:val="22"/>
        </w:rPr>
        <w:t xml:space="preserve"> </w:t>
      </w:r>
      <w:r w:rsidR="00C61137">
        <w:rPr>
          <w:kern w:val="22"/>
          <w:szCs w:val="22"/>
        </w:rPr>
        <w:t>suggested</w:t>
      </w:r>
      <w:r w:rsidRPr="00B76ED0">
        <w:rPr>
          <w:kern w:val="22"/>
          <w:szCs w:val="22"/>
        </w:rPr>
        <w:t xml:space="preserve"> to </w:t>
      </w:r>
      <w:r>
        <w:rPr>
          <w:kern w:val="22"/>
          <w:szCs w:val="22"/>
        </w:rPr>
        <w:t xml:space="preserve">further </w:t>
      </w:r>
      <w:r w:rsidRPr="00B76ED0">
        <w:rPr>
          <w:kern w:val="22"/>
          <w:szCs w:val="22"/>
        </w:rPr>
        <w:t>define the term “hitchhiker”</w:t>
      </w:r>
      <w:r>
        <w:rPr>
          <w:kern w:val="22"/>
          <w:szCs w:val="22"/>
        </w:rPr>
        <w:t xml:space="preserve"> and </w:t>
      </w:r>
      <w:r w:rsidR="00F51B84">
        <w:rPr>
          <w:kern w:val="22"/>
          <w:szCs w:val="22"/>
        </w:rPr>
        <w:t xml:space="preserve">suggested to </w:t>
      </w:r>
      <w:r>
        <w:rPr>
          <w:kern w:val="22"/>
          <w:szCs w:val="22"/>
        </w:rPr>
        <w:t xml:space="preserve">add references </w:t>
      </w:r>
      <w:r w:rsidR="004C50BA">
        <w:rPr>
          <w:kern w:val="22"/>
          <w:szCs w:val="22"/>
        </w:rPr>
        <w:t>to the CBD</w:t>
      </w:r>
      <w:r w:rsidR="00EE4214">
        <w:rPr>
          <w:kern w:val="22"/>
          <w:szCs w:val="22"/>
        </w:rPr>
        <w:t xml:space="preserve">, </w:t>
      </w:r>
      <w:r w:rsidR="004C50BA">
        <w:rPr>
          <w:kern w:val="22"/>
          <w:szCs w:val="22"/>
        </w:rPr>
        <w:t>IPPC</w:t>
      </w:r>
      <w:r w:rsidR="00EE4214">
        <w:rPr>
          <w:kern w:val="22"/>
          <w:szCs w:val="22"/>
        </w:rPr>
        <w:t xml:space="preserve"> and OIE</w:t>
      </w:r>
      <w:r w:rsidR="004C50BA">
        <w:rPr>
          <w:kern w:val="22"/>
          <w:szCs w:val="22"/>
        </w:rPr>
        <w:t>;</w:t>
      </w:r>
      <w:r w:rsidR="00BD40B8" w:rsidRPr="00BD40B8">
        <w:rPr>
          <w:kern w:val="22"/>
          <w:szCs w:val="22"/>
        </w:rPr>
        <w:t xml:space="preserve"> </w:t>
      </w:r>
    </w:p>
    <w:p w:rsidR="002D2FA4" w:rsidRDefault="00BD40B8" w:rsidP="00413295">
      <w:pPr>
        <w:pStyle w:val="ListParagraph"/>
        <w:numPr>
          <w:ilvl w:val="0"/>
          <w:numId w:val="7"/>
        </w:numPr>
        <w:ind w:left="0" w:firstLine="840"/>
        <w:rPr>
          <w:kern w:val="22"/>
          <w:szCs w:val="22"/>
        </w:rPr>
      </w:pPr>
      <w:r w:rsidRPr="002D2FA4">
        <w:rPr>
          <w:kern w:val="22"/>
          <w:szCs w:val="22"/>
        </w:rPr>
        <w:t xml:space="preserve">Participants </w:t>
      </w:r>
      <w:r w:rsidR="00F51B84">
        <w:rPr>
          <w:kern w:val="22"/>
          <w:szCs w:val="22"/>
        </w:rPr>
        <w:t xml:space="preserve">also </w:t>
      </w:r>
      <w:r w:rsidRPr="002D2FA4">
        <w:rPr>
          <w:kern w:val="22"/>
          <w:szCs w:val="22"/>
        </w:rPr>
        <w:t>suggested</w:t>
      </w:r>
      <w:r>
        <w:rPr>
          <w:kern w:val="22"/>
          <w:szCs w:val="22"/>
        </w:rPr>
        <w:t xml:space="preserve">, where appropriate, the relevant standards to prevent unintentional introductions of invasive alien species recognized by </w:t>
      </w:r>
      <w:r w:rsidRPr="002D2FA4">
        <w:rPr>
          <w:kern w:val="22"/>
          <w:szCs w:val="22"/>
        </w:rPr>
        <w:t>the Agreement on the Application of Sanitary and Phytosanitary Measures (SPS Agreement) established by the World Trade Organization</w:t>
      </w:r>
      <w:r>
        <w:rPr>
          <w:kern w:val="22"/>
          <w:szCs w:val="22"/>
        </w:rPr>
        <w:t xml:space="preserve"> (WTO) and other international organizations, should be considered in drafting the </w:t>
      </w:r>
      <w:proofErr w:type="gramStart"/>
      <w:r>
        <w:rPr>
          <w:kern w:val="22"/>
          <w:szCs w:val="22"/>
        </w:rPr>
        <w:t>guidance,;</w:t>
      </w:r>
      <w:proofErr w:type="gramEnd"/>
    </w:p>
    <w:p w:rsidR="00272CC9" w:rsidRDefault="009475E2" w:rsidP="00413295">
      <w:pPr>
        <w:pStyle w:val="Para1"/>
        <w:numPr>
          <w:ilvl w:val="0"/>
          <w:numId w:val="7"/>
        </w:numPr>
        <w:ind w:left="0" w:firstLine="840"/>
        <w:rPr>
          <w:kern w:val="22"/>
          <w:szCs w:val="22"/>
        </w:rPr>
      </w:pPr>
      <w:r w:rsidRPr="009475E2">
        <w:rPr>
          <w:kern w:val="22"/>
          <w:szCs w:val="22"/>
        </w:rPr>
        <w:lastRenderedPageBreak/>
        <w:t>Ms Kim Downes Agard, Barbados referred to a workshop recently held in the Caribbean (</w:t>
      </w:r>
      <w:r w:rsidR="00F0533D" w:rsidRPr="00F0533D">
        <w:rPr>
          <w:kern w:val="22"/>
          <w:szCs w:val="22"/>
        </w:rPr>
        <w:t>Capacity-building workshop for Caribbean small island developing States towards achieving Aichi Biodiversity Target 9</w:t>
      </w:r>
      <w:r w:rsidR="00F0533D">
        <w:rPr>
          <w:kern w:val="22"/>
          <w:szCs w:val="22"/>
        </w:rPr>
        <w:t xml:space="preserve">, held in Kingston, Jamaica, 18-22 September 2017) </w:t>
      </w:r>
      <w:r w:rsidRPr="009475E2">
        <w:rPr>
          <w:kern w:val="22"/>
          <w:szCs w:val="22"/>
        </w:rPr>
        <w:t xml:space="preserve">and highlighted that even though much has already been done, there remain large capacity constraints in small island developing </w:t>
      </w:r>
      <w:r w:rsidR="00F0533D">
        <w:rPr>
          <w:kern w:val="22"/>
          <w:szCs w:val="22"/>
        </w:rPr>
        <w:t>S</w:t>
      </w:r>
      <w:r w:rsidRPr="009475E2">
        <w:rPr>
          <w:kern w:val="22"/>
          <w:szCs w:val="22"/>
        </w:rPr>
        <w:t xml:space="preserve">tates (SIDS) to prevent introduction of </w:t>
      </w:r>
      <w:r w:rsidR="00F0533D">
        <w:rPr>
          <w:kern w:val="22"/>
          <w:szCs w:val="22"/>
        </w:rPr>
        <w:t>invasive alien species</w:t>
      </w:r>
      <w:r w:rsidRPr="009475E2">
        <w:rPr>
          <w:kern w:val="22"/>
          <w:szCs w:val="22"/>
        </w:rPr>
        <w:t xml:space="preserve">. National regulations are not the only effective measures to prevent introduction of </w:t>
      </w:r>
      <w:r w:rsidR="00F0533D">
        <w:rPr>
          <w:kern w:val="22"/>
          <w:szCs w:val="22"/>
        </w:rPr>
        <w:t>invasive alien species</w:t>
      </w:r>
      <w:r w:rsidRPr="009475E2">
        <w:rPr>
          <w:kern w:val="22"/>
          <w:szCs w:val="22"/>
        </w:rPr>
        <w:t xml:space="preserve">, and administrative policy procedures should also be mentioned in the guidance. </w:t>
      </w:r>
    </w:p>
    <w:p w:rsidR="000F7C15" w:rsidRDefault="00C61137" w:rsidP="00413295">
      <w:pPr>
        <w:pStyle w:val="ListParagraph"/>
        <w:numPr>
          <w:ilvl w:val="0"/>
          <w:numId w:val="7"/>
        </w:numPr>
        <w:ind w:left="0" w:firstLine="840"/>
        <w:rPr>
          <w:kern w:val="22"/>
          <w:szCs w:val="22"/>
        </w:rPr>
      </w:pPr>
      <w:r w:rsidRPr="00272CC9">
        <w:rPr>
          <w:kern w:val="22"/>
          <w:szCs w:val="22"/>
        </w:rPr>
        <w:t xml:space="preserve">Participants suggested that the </w:t>
      </w:r>
      <w:r w:rsidR="00F0533D">
        <w:rPr>
          <w:kern w:val="22"/>
          <w:szCs w:val="22"/>
        </w:rPr>
        <w:t>d</w:t>
      </w:r>
      <w:r w:rsidR="00F0533D" w:rsidRPr="00272CC9">
        <w:rPr>
          <w:kern w:val="22"/>
          <w:szCs w:val="22"/>
        </w:rPr>
        <w:t xml:space="preserve">raft </w:t>
      </w:r>
      <w:r w:rsidR="00F0533D">
        <w:rPr>
          <w:kern w:val="22"/>
          <w:szCs w:val="22"/>
        </w:rPr>
        <w:t>s</w:t>
      </w:r>
      <w:r w:rsidR="00F0533D" w:rsidRPr="00272CC9">
        <w:rPr>
          <w:kern w:val="22"/>
          <w:szCs w:val="22"/>
        </w:rPr>
        <w:t xml:space="preserve">upplemental </w:t>
      </w:r>
      <w:r w:rsidR="00F0533D">
        <w:rPr>
          <w:kern w:val="22"/>
          <w:szCs w:val="22"/>
        </w:rPr>
        <w:t>g</w:t>
      </w:r>
      <w:r w:rsidR="00F0533D" w:rsidRPr="00272CC9">
        <w:rPr>
          <w:kern w:val="22"/>
          <w:szCs w:val="22"/>
        </w:rPr>
        <w:t xml:space="preserve">uidance </w:t>
      </w:r>
      <w:r w:rsidR="00F51B84">
        <w:rPr>
          <w:kern w:val="22"/>
          <w:szCs w:val="22"/>
        </w:rPr>
        <w:t xml:space="preserve">should </w:t>
      </w:r>
      <w:r w:rsidRPr="00272CC9">
        <w:rPr>
          <w:kern w:val="22"/>
          <w:szCs w:val="22"/>
        </w:rPr>
        <w:t xml:space="preserve">reflect the diversity of </w:t>
      </w:r>
      <w:r w:rsidR="00272CC9" w:rsidRPr="00272CC9">
        <w:rPr>
          <w:kern w:val="22"/>
          <w:szCs w:val="22"/>
        </w:rPr>
        <w:t xml:space="preserve">legislative, administrative and policy measures used by countries to address </w:t>
      </w:r>
      <w:r w:rsidR="00272CC9">
        <w:rPr>
          <w:kern w:val="22"/>
          <w:szCs w:val="22"/>
        </w:rPr>
        <w:t>the r</w:t>
      </w:r>
      <w:r w:rsidR="00272CC9" w:rsidRPr="00272CC9">
        <w:rPr>
          <w:kern w:val="22"/>
          <w:szCs w:val="22"/>
        </w:rPr>
        <w:t>isks associated with the introduction of alien species as pets, aquarium and terrarium species, and as live bait and live food</w:t>
      </w:r>
      <w:r w:rsidR="00272CC9">
        <w:rPr>
          <w:kern w:val="22"/>
          <w:szCs w:val="22"/>
        </w:rPr>
        <w:t>;</w:t>
      </w:r>
    </w:p>
    <w:p w:rsidR="004C50BA" w:rsidRDefault="004C50BA" w:rsidP="00413295">
      <w:pPr>
        <w:pStyle w:val="ListParagraph"/>
        <w:numPr>
          <w:ilvl w:val="0"/>
          <w:numId w:val="7"/>
        </w:numPr>
        <w:ind w:left="0" w:firstLine="840"/>
        <w:rPr>
          <w:kern w:val="22"/>
          <w:szCs w:val="22"/>
        </w:rPr>
      </w:pPr>
      <w:r>
        <w:rPr>
          <w:kern w:val="22"/>
          <w:szCs w:val="22"/>
        </w:rPr>
        <w:t xml:space="preserve">Participants identified inconsistencies in the </w:t>
      </w:r>
      <w:r w:rsidR="00F0533D">
        <w:rPr>
          <w:kern w:val="22"/>
          <w:szCs w:val="22"/>
        </w:rPr>
        <w:t xml:space="preserve">draft supplemental guidance </w:t>
      </w:r>
      <w:r>
        <w:rPr>
          <w:kern w:val="22"/>
          <w:szCs w:val="22"/>
        </w:rPr>
        <w:t>when it refers to plants, animals and organisms. They suggested that the final document clearly specify what each paragraph refers to;</w:t>
      </w:r>
    </w:p>
    <w:p w:rsidR="009475E2" w:rsidRDefault="00BF3271" w:rsidP="00413295">
      <w:pPr>
        <w:pStyle w:val="ListParagraph"/>
        <w:numPr>
          <w:ilvl w:val="0"/>
          <w:numId w:val="7"/>
        </w:numPr>
        <w:ind w:left="0" w:firstLine="840"/>
        <w:rPr>
          <w:kern w:val="22"/>
          <w:szCs w:val="22"/>
        </w:rPr>
      </w:pPr>
      <w:r w:rsidRPr="00BF3271">
        <w:rPr>
          <w:kern w:val="22"/>
          <w:szCs w:val="22"/>
        </w:rPr>
        <w:t xml:space="preserve">Participants </w:t>
      </w:r>
      <w:r w:rsidR="00B30952">
        <w:rPr>
          <w:kern w:val="22"/>
          <w:szCs w:val="22"/>
        </w:rPr>
        <w:t xml:space="preserve">also </w:t>
      </w:r>
      <w:r w:rsidR="00EE4214">
        <w:rPr>
          <w:kern w:val="22"/>
          <w:szCs w:val="22"/>
        </w:rPr>
        <w:t xml:space="preserve">suggested </w:t>
      </w:r>
      <w:r w:rsidR="00B30952">
        <w:rPr>
          <w:kern w:val="22"/>
          <w:szCs w:val="22"/>
        </w:rPr>
        <w:t xml:space="preserve">some </w:t>
      </w:r>
      <w:r w:rsidR="00EE4214">
        <w:rPr>
          <w:kern w:val="22"/>
          <w:szCs w:val="22"/>
        </w:rPr>
        <w:t xml:space="preserve">text </w:t>
      </w:r>
      <w:r w:rsidR="00B30952">
        <w:rPr>
          <w:kern w:val="22"/>
          <w:szCs w:val="22"/>
        </w:rPr>
        <w:t xml:space="preserve">to specify </w:t>
      </w:r>
      <w:r w:rsidR="009475E2">
        <w:rPr>
          <w:kern w:val="22"/>
          <w:szCs w:val="22"/>
        </w:rPr>
        <w:t xml:space="preserve">the </w:t>
      </w:r>
      <w:r w:rsidR="00BD40B8">
        <w:rPr>
          <w:kern w:val="22"/>
          <w:szCs w:val="22"/>
        </w:rPr>
        <w:t xml:space="preserve">overall </w:t>
      </w:r>
      <w:r w:rsidR="00EE4214">
        <w:rPr>
          <w:kern w:val="22"/>
          <w:szCs w:val="22"/>
        </w:rPr>
        <w:t xml:space="preserve">scope of the </w:t>
      </w:r>
      <w:r w:rsidR="00BB5183">
        <w:rPr>
          <w:kern w:val="22"/>
          <w:szCs w:val="22"/>
        </w:rPr>
        <w:t>draft supplemental guidance</w:t>
      </w:r>
      <w:r w:rsidR="009475E2">
        <w:rPr>
          <w:kern w:val="22"/>
          <w:szCs w:val="22"/>
        </w:rPr>
        <w:t>;</w:t>
      </w:r>
    </w:p>
    <w:p w:rsidR="003C7FC6" w:rsidRPr="00BF3271" w:rsidRDefault="009475E2" w:rsidP="00413295">
      <w:pPr>
        <w:pStyle w:val="ListParagraph"/>
        <w:numPr>
          <w:ilvl w:val="0"/>
          <w:numId w:val="7"/>
        </w:numPr>
        <w:ind w:left="0" w:firstLine="840"/>
        <w:rPr>
          <w:kern w:val="22"/>
          <w:szCs w:val="22"/>
        </w:rPr>
      </w:pPr>
      <w:r>
        <w:rPr>
          <w:kern w:val="22"/>
          <w:szCs w:val="22"/>
        </w:rPr>
        <w:t xml:space="preserve">Participants further suggested that changing the title and language of the </w:t>
      </w:r>
      <w:r w:rsidR="00BB5183">
        <w:rPr>
          <w:kern w:val="22"/>
          <w:szCs w:val="22"/>
        </w:rPr>
        <w:t>d</w:t>
      </w:r>
      <w:r>
        <w:rPr>
          <w:kern w:val="22"/>
          <w:szCs w:val="22"/>
        </w:rPr>
        <w:t xml:space="preserve">raft </w:t>
      </w:r>
      <w:r w:rsidR="00BB5183">
        <w:rPr>
          <w:kern w:val="22"/>
          <w:szCs w:val="22"/>
        </w:rPr>
        <w:t>s</w:t>
      </w:r>
      <w:r>
        <w:rPr>
          <w:kern w:val="22"/>
          <w:szCs w:val="22"/>
        </w:rPr>
        <w:t>upplementa</w:t>
      </w:r>
      <w:r w:rsidR="00BB5183">
        <w:rPr>
          <w:kern w:val="22"/>
          <w:szCs w:val="22"/>
        </w:rPr>
        <w:t>l</w:t>
      </w:r>
      <w:r>
        <w:rPr>
          <w:kern w:val="22"/>
          <w:szCs w:val="22"/>
        </w:rPr>
        <w:t xml:space="preserve"> </w:t>
      </w:r>
      <w:r w:rsidR="00BB5183">
        <w:rPr>
          <w:kern w:val="22"/>
          <w:szCs w:val="22"/>
        </w:rPr>
        <w:t>g</w:t>
      </w:r>
      <w:r>
        <w:rPr>
          <w:kern w:val="22"/>
          <w:szCs w:val="22"/>
        </w:rPr>
        <w:t>uidance to a softer, less mandatory language</w:t>
      </w:r>
      <w:r w:rsidR="00BB5183">
        <w:rPr>
          <w:kern w:val="22"/>
          <w:szCs w:val="22"/>
        </w:rPr>
        <w:t>.</w:t>
      </w:r>
    </w:p>
    <w:p w:rsidR="000A0F6F" w:rsidRDefault="00B21915" w:rsidP="00124477">
      <w:pPr>
        <w:pStyle w:val="Para1"/>
        <w:numPr>
          <w:ilvl w:val="0"/>
          <w:numId w:val="6"/>
        </w:numPr>
        <w:ind w:left="0" w:firstLine="0"/>
        <w:rPr>
          <w:kern w:val="22"/>
          <w:szCs w:val="22"/>
        </w:rPr>
      </w:pPr>
      <w:r>
        <w:rPr>
          <w:kern w:val="22"/>
          <w:szCs w:val="22"/>
        </w:rPr>
        <w:t xml:space="preserve">Given the need to deepen the discussion on certain topics of the </w:t>
      </w:r>
      <w:r w:rsidR="00BB5183">
        <w:rPr>
          <w:kern w:val="22"/>
          <w:szCs w:val="22"/>
        </w:rPr>
        <w:t xml:space="preserve">draft supplemental guidance </w:t>
      </w:r>
      <w:r>
        <w:rPr>
          <w:kern w:val="22"/>
          <w:szCs w:val="22"/>
        </w:rPr>
        <w:t xml:space="preserve">and the </w:t>
      </w:r>
      <w:r w:rsidR="000A0F6F">
        <w:rPr>
          <w:kern w:val="22"/>
          <w:szCs w:val="22"/>
        </w:rPr>
        <w:t xml:space="preserve">tight schedule of the workshop, participants agreed to further review the </w:t>
      </w:r>
      <w:r>
        <w:rPr>
          <w:kern w:val="22"/>
          <w:szCs w:val="22"/>
        </w:rPr>
        <w:t>document</w:t>
      </w:r>
      <w:r w:rsidR="000A0F6F">
        <w:rPr>
          <w:kern w:val="22"/>
          <w:szCs w:val="22"/>
        </w:rPr>
        <w:t xml:space="preserve"> remotely, after the workshop is concluded. A timeline for review is</w:t>
      </w:r>
      <w:r w:rsidR="00EE4214">
        <w:rPr>
          <w:kern w:val="22"/>
          <w:szCs w:val="22"/>
        </w:rPr>
        <w:t xml:space="preserve"> shown in Section II of this document</w:t>
      </w:r>
      <w:r w:rsidR="000A0F6F">
        <w:rPr>
          <w:kern w:val="22"/>
          <w:szCs w:val="22"/>
        </w:rPr>
        <w:t>.</w:t>
      </w:r>
    </w:p>
    <w:p w:rsidR="00124477" w:rsidRPr="00124477" w:rsidRDefault="00124477" w:rsidP="00124477">
      <w:pPr>
        <w:pStyle w:val="Para1"/>
        <w:numPr>
          <w:ilvl w:val="0"/>
          <w:numId w:val="6"/>
        </w:numPr>
        <w:ind w:left="0" w:firstLine="0"/>
        <w:rPr>
          <w:kern w:val="22"/>
          <w:szCs w:val="22"/>
        </w:rPr>
      </w:pPr>
      <w:r>
        <w:rPr>
          <w:kern w:val="22"/>
          <w:szCs w:val="22"/>
        </w:rPr>
        <w:t xml:space="preserve">The Chair suggested </w:t>
      </w:r>
      <w:r w:rsidR="003C24D9">
        <w:rPr>
          <w:kern w:val="22"/>
          <w:szCs w:val="22"/>
        </w:rPr>
        <w:t>involving</w:t>
      </w:r>
      <w:r w:rsidR="00B21915">
        <w:rPr>
          <w:kern w:val="22"/>
          <w:szCs w:val="22"/>
        </w:rPr>
        <w:t xml:space="preserve"> experts who were </w:t>
      </w:r>
      <w:r w:rsidR="003C24D9">
        <w:rPr>
          <w:kern w:val="22"/>
          <w:szCs w:val="22"/>
        </w:rPr>
        <w:t>not able to attend the workshop in the review process</w:t>
      </w:r>
      <w:r w:rsidR="00F0533D">
        <w:rPr>
          <w:kern w:val="22"/>
          <w:szCs w:val="22"/>
        </w:rPr>
        <w:t>, above mentioned in paragraph 41</w:t>
      </w:r>
      <w:r w:rsidR="003C24D9">
        <w:rPr>
          <w:kern w:val="22"/>
          <w:szCs w:val="22"/>
        </w:rPr>
        <w:t>. Accordingly, participants agreed to compile</w:t>
      </w:r>
      <w:r w:rsidRPr="00124477">
        <w:rPr>
          <w:kern w:val="22"/>
          <w:szCs w:val="22"/>
        </w:rPr>
        <w:t xml:space="preserve"> a list of experts </w:t>
      </w:r>
      <w:r>
        <w:rPr>
          <w:kern w:val="22"/>
          <w:szCs w:val="22"/>
        </w:rPr>
        <w:t>to be invited to further review</w:t>
      </w:r>
      <w:r w:rsidRPr="00124477">
        <w:rPr>
          <w:kern w:val="22"/>
          <w:szCs w:val="22"/>
        </w:rPr>
        <w:t xml:space="preserve"> </w:t>
      </w:r>
      <w:r>
        <w:rPr>
          <w:kern w:val="22"/>
          <w:szCs w:val="22"/>
        </w:rPr>
        <w:t xml:space="preserve">the </w:t>
      </w:r>
      <w:r w:rsidR="00F0533D">
        <w:rPr>
          <w:kern w:val="22"/>
          <w:szCs w:val="22"/>
        </w:rPr>
        <w:t>draft supplemental guidance</w:t>
      </w:r>
      <w:r w:rsidRPr="00124477">
        <w:rPr>
          <w:kern w:val="22"/>
          <w:szCs w:val="22"/>
        </w:rPr>
        <w:t>.</w:t>
      </w:r>
    </w:p>
    <w:p w:rsidR="00C82B2B" w:rsidRPr="00353BF8" w:rsidRDefault="00C82B2B" w:rsidP="00353BF8">
      <w:pPr>
        <w:pStyle w:val="Heading2"/>
      </w:pPr>
      <w:r w:rsidRPr="00353BF8">
        <w:t>Item 2.2</w:t>
      </w:r>
      <w:r w:rsidR="00353BF8">
        <w:t>.</w:t>
      </w:r>
      <w:r w:rsidRPr="00353BF8">
        <w:t xml:space="preserve"> Tools for facilitating the necessary control of live alien species sold via e-commerce</w:t>
      </w:r>
    </w:p>
    <w:p w:rsidR="005B7DB2" w:rsidRPr="00771963" w:rsidRDefault="00036270" w:rsidP="00771963">
      <w:pPr>
        <w:pStyle w:val="Para1"/>
        <w:numPr>
          <w:ilvl w:val="0"/>
          <w:numId w:val="6"/>
        </w:numPr>
        <w:ind w:left="0" w:firstLine="0"/>
        <w:rPr>
          <w:kern w:val="22"/>
          <w:szCs w:val="22"/>
        </w:rPr>
      </w:pPr>
      <w:r w:rsidRPr="006B5B45">
        <w:rPr>
          <w:kern w:val="22"/>
          <w:szCs w:val="22"/>
        </w:rPr>
        <w:t>The Chair invited a representative of the Secretariat to introduce the document relevant to this agenda item.</w:t>
      </w:r>
      <w:r>
        <w:rPr>
          <w:kern w:val="22"/>
          <w:szCs w:val="22"/>
        </w:rPr>
        <w:t xml:space="preserve"> </w:t>
      </w:r>
      <w:r w:rsidRPr="006B5B45">
        <w:rPr>
          <w:kern w:val="22"/>
          <w:szCs w:val="22"/>
        </w:rPr>
        <w:t xml:space="preserve">Accordingly, </w:t>
      </w:r>
      <w:r w:rsidR="00F51B84">
        <w:rPr>
          <w:kern w:val="22"/>
          <w:szCs w:val="22"/>
        </w:rPr>
        <w:t>she</w:t>
      </w:r>
      <w:r w:rsidRPr="006B5B45">
        <w:rPr>
          <w:kern w:val="22"/>
          <w:szCs w:val="22"/>
        </w:rPr>
        <w:t xml:space="preserve"> </w:t>
      </w:r>
      <w:r w:rsidR="00CA3FC1">
        <w:rPr>
          <w:kern w:val="22"/>
          <w:szCs w:val="22"/>
        </w:rPr>
        <w:t>summarized</w:t>
      </w:r>
      <w:r w:rsidR="00607DD6">
        <w:rPr>
          <w:kern w:val="22"/>
          <w:szCs w:val="22"/>
        </w:rPr>
        <w:t xml:space="preserve"> the </w:t>
      </w:r>
      <w:r w:rsidR="00CA3FC1">
        <w:rPr>
          <w:kern w:val="22"/>
          <w:szCs w:val="22"/>
        </w:rPr>
        <w:t>document “</w:t>
      </w:r>
      <w:r w:rsidR="00CA3FC1" w:rsidRPr="00CA3FC1">
        <w:rPr>
          <w:kern w:val="22"/>
          <w:szCs w:val="22"/>
        </w:rPr>
        <w:t>Progress on the development of tools or guidance for Parties that may assist national customs authorities in facilitating the necessary control of live alien species via e-commerce”</w:t>
      </w:r>
      <w:r w:rsidR="00CA3FC1">
        <w:rPr>
          <w:kern w:val="22"/>
          <w:szCs w:val="22"/>
        </w:rPr>
        <w:t xml:space="preserve">. She highlighted that the document was </w:t>
      </w:r>
      <w:r w:rsidR="005F3C0A">
        <w:rPr>
          <w:kern w:val="22"/>
          <w:szCs w:val="22"/>
        </w:rPr>
        <w:t>presented to</w:t>
      </w:r>
      <w:r w:rsidR="00CA3FC1">
        <w:rPr>
          <w:kern w:val="22"/>
          <w:szCs w:val="22"/>
        </w:rPr>
        <w:t xml:space="preserve"> the</w:t>
      </w:r>
      <w:r w:rsidR="000C7C6A" w:rsidRPr="00CA3FC1">
        <w:rPr>
          <w:kern w:val="22"/>
          <w:szCs w:val="22"/>
        </w:rPr>
        <w:t xml:space="preserve"> I</w:t>
      </w:r>
      <w:r w:rsidR="00834771" w:rsidRPr="00CA3FC1">
        <w:rPr>
          <w:kern w:val="22"/>
          <w:szCs w:val="22"/>
        </w:rPr>
        <w:t>nter-</w:t>
      </w:r>
      <w:proofErr w:type="gramStart"/>
      <w:r w:rsidR="00834771" w:rsidRPr="00CA3FC1">
        <w:rPr>
          <w:kern w:val="22"/>
          <w:szCs w:val="22"/>
        </w:rPr>
        <w:t>agency</w:t>
      </w:r>
      <w:proofErr w:type="gramEnd"/>
      <w:r w:rsidR="00834771" w:rsidRPr="00CA3FC1">
        <w:rPr>
          <w:kern w:val="22"/>
          <w:szCs w:val="22"/>
        </w:rPr>
        <w:t xml:space="preserve"> Liaison G</w:t>
      </w:r>
      <w:r w:rsidR="00CA3FC1">
        <w:rPr>
          <w:kern w:val="22"/>
          <w:szCs w:val="22"/>
        </w:rPr>
        <w:t>roup on Invasive Alien Species</w:t>
      </w:r>
      <w:r w:rsidR="00F0533D">
        <w:rPr>
          <w:kern w:val="22"/>
          <w:szCs w:val="22"/>
        </w:rPr>
        <w:t>,</w:t>
      </w:r>
      <w:r w:rsidR="00CA3FC1">
        <w:rPr>
          <w:kern w:val="22"/>
          <w:szCs w:val="22"/>
        </w:rPr>
        <w:t xml:space="preserve"> </w:t>
      </w:r>
      <w:r w:rsidR="00771963">
        <w:rPr>
          <w:kern w:val="22"/>
          <w:szCs w:val="22"/>
        </w:rPr>
        <w:t xml:space="preserve">taking </w:t>
      </w:r>
      <w:r w:rsidR="00797509" w:rsidRPr="00CA3FC1">
        <w:rPr>
          <w:kern w:val="22"/>
          <w:szCs w:val="22"/>
        </w:rPr>
        <w:t>into account</w:t>
      </w:r>
      <w:r w:rsidR="00834771" w:rsidRPr="00CA3FC1">
        <w:rPr>
          <w:kern w:val="22"/>
          <w:szCs w:val="22"/>
        </w:rPr>
        <w:t xml:space="preserve"> the </w:t>
      </w:r>
      <w:r w:rsidR="00797509" w:rsidRPr="00CA3FC1">
        <w:rPr>
          <w:kern w:val="22"/>
          <w:szCs w:val="22"/>
        </w:rPr>
        <w:t>ongoing efforts of</w:t>
      </w:r>
      <w:r w:rsidR="00834771" w:rsidRPr="00CA3FC1">
        <w:rPr>
          <w:kern w:val="22"/>
          <w:szCs w:val="22"/>
        </w:rPr>
        <w:t xml:space="preserve"> the World Customs Organization</w:t>
      </w:r>
      <w:r w:rsidR="00771963">
        <w:rPr>
          <w:kern w:val="22"/>
          <w:szCs w:val="22"/>
        </w:rPr>
        <w:t xml:space="preserve">, </w:t>
      </w:r>
      <w:r w:rsidR="00771963" w:rsidRPr="00771963">
        <w:rPr>
          <w:kern w:val="22"/>
          <w:szCs w:val="22"/>
        </w:rPr>
        <w:t xml:space="preserve">the Convention on International Trade in Endangered Species </w:t>
      </w:r>
      <w:r w:rsidR="00771963">
        <w:rPr>
          <w:kern w:val="22"/>
          <w:szCs w:val="22"/>
        </w:rPr>
        <w:t xml:space="preserve">(CITES), and </w:t>
      </w:r>
      <w:r w:rsidR="005F3C0A">
        <w:rPr>
          <w:kern w:val="22"/>
          <w:szCs w:val="22"/>
        </w:rPr>
        <w:t xml:space="preserve">the </w:t>
      </w:r>
      <w:r w:rsidR="00771963" w:rsidRPr="00771963">
        <w:rPr>
          <w:kern w:val="22"/>
          <w:szCs w:val="22"/>
        </w:rPr>
        <w:t>I</w:t>
      </w:r>
      <w:r w:rsidR="00771963">
        <w:rPr>
          <w:kern w:val="22"/>
          <w:szCs w:val="22"/>
        </w:rPr>
        <w:t>PPC</w:t>
      </w:r>
      <w:r w:rsidR="007B2F14" w:rsidRPr="00771963">
        <w:rPr>
          <w:kern w:val="22"/>
          <w:szCs w:val="22"/>
        </w:rPr>
        <w:t>.</w:t>
      </w:r>
      <w:r w:rsidR="005F3C0A">
        <w:rPr>
          <w:kern w:val="22"/>
          <w:szCs w:val="22"/>
        </w:rPr>
        <w:t xml:space="preserve"> She also mentioned that the World Customs Organization</w:t>
      </w:r>
      <w:r w:rsidR="00F51B84">
        <w:rPr>
          <w:kern w:val="22"/>
          <w:szCs w:val="22"/>
        </w:rPr>
        <w:t xml:space="preserve"> (WCO)</w:t>
      </w:r>
      <w:r w:rsidR="005F3C0A">
        <w:rPr>
          <w:kern w:val="22"/>
          <w:szCs w:val="22"/>
        </w:rPr>
        <w:t xml:space="preserve"> invited the Secretariat to the E-Commerce Working Group</w:t>
      </w:r>
      <w:r w:rsidR="00F51B84">
        <w:rPr>
          <w:kern w:val="22"/>
          <w:szCs w:val="22"/>
        </w:rPr>
        <w:t xml:space="preserve"> meeting</w:t>
      </w:r>
      <w:r w:rsidR="005F3C0A">
        <w:rPr>
          <w:kern w:val="22"/>
          <w:szCs w:val="22"/>
        </w:rPr>
        <w:t xml:space="preserve"> </w:t>
      </w:r>
      <w:r w:rsidR="00F84124">
        <w:rPr>
          <w:kern w:val="22"/>
          <w:szCs w:val="22"/>
        </w:rPr>
        <w:t xml:space="preserve">to be held at the </w:t>
      </w:r>
      <w:r w:rsidR="00F51B84">
        <w:rPr>
          <w:kern w:val="22"/>
          <w:szCs w:val="22"/>
        </w:rPr>
        <w:t>WCO</w:t>
      </w:r>
      <w:r w:rsidR="00F84124">
        <w:rPr>
          <w:kern w:val="22"/>
          <w:szCs w:val="22"/>
        </w:rPr>
        <w:t xml:space="preserve"> in Brussels, Belgium in January 2018, </w:t>
      </w:r>
      <w:r w:rsidR="005F3C0A">
        <w:rPr>
          <w:kern w:val="22"/>
          <w:szCs w:val="22"/>
        </w:rPr>
        <w:t>and the Global Conference on E-Commerce to be held in Beijing, China in February 2018 to further exchange the views of relevant organization</w:t>
      </w:r>
      <w:r w:rsidR="00F84124">
        <w:rPr>
          <w:kern w:val="22"/>
          <w:szCs w:val="22"/>
        </w:rPr>
        <w:t>s and to address the</w:t>
      </w:r>
      <w:r w:rsidR="005F3C0A">
        <w:rPr>
          <w:kern w:val="22"/>
          <w:szCs w:val="22"/>
        </w:rPr>
        <w:t xml:space="preserve"> risk of biological invasion.</w:t>
      </w:r>
    </w:p>
    <w:p w:rsidR="00036270" w:rsidRPr="00036270" w:rsidRDefault="00A769C5" w:rsidP="00036270">
      <w:pPr>
        <w:pStyle w:val="Para1"/>
        <w:numPr>
          <w:ilvl w:val="0"/>
          <w:numId w:val="6"/>
        </w:numPr>
        <w:ind w:left="0" w:firstLine="0"/>
        <w:rPr>
          <w:kern w:val="22"/>
          <w:szCs w:val="22"/>
        </w:rPr>
      </w:pPr>
      <w:r>
        <w:rPr>
          <w:kern w:val="22"/>
          <w:szCs w:val="22"/>
        </w:rPr>
        <w:t xml:space="preserve">Participants </w:t>
      </w:r>
      <w:r w:rsidR="00036270">
        <w:rPr>
          <w:kern w:val="22"/>
          <w:szCs w:val="22"/>
        </w:rPr>
        <w:t>were then</w:t>
      </w:r>
      <w:r>
        <w:rPr>
          <w:kern w:val="22"/>
          <w:szCs w:val="22"/>
        </w:rPr>
        <w:t xml:space="preserve"> invited to discuss approach</w:t>
      </w:r>
      <w:r w:rsidR="00797509">
        <w:rPr>
          <w:kern w:val="22"/>
          <w:szCs w:val="22"/>
        </w:rPr>
        <w:t>es</w:t>
      </w:r>
      <w:r>
        <w:rPr>
          <w:kern w:val="22"/>
          <w:szCs w:val="22"/>
        </w:rPr>
        <w:t xml:space="preserve"> to address </w:t>
      </w:r>
      <w:r w:rsidR="00607DD6">
        <w:rPr>
          <w:kern w:val="22"/>
          <w:szCs w:val="22"/>
        </w:rPr>
        <w:t xml:space="preserve">the risk of </w:t>
      </w:r>
      <w:r>
        <w:rPr>
          <w:kern w:val="22"/>
          <w:szCs w:val="22"/>
        </w:rPr>
        <w:t>biological invasion associated with live species sold via e-commerce</w:t>
      </w:r>
      <w:r w:rsidR="008F3A18">
        <w:rPr>
          <w:kern w:val="22"/>
          <w:szCs w:val="22"/>
        </w:rPr>
        <w:t>.</w:t>
      </w:r>
      <w:r w:rsidR="00036270">
        <w:rPr>
          <w:kern w:val="22"/>
          <w:szCs w:val="22"/>
        </w:rPr>
        <w:t xml:space="preserve"> As </w:t>
      </w:r>
      <w:r w:rsidR="00036270" w:rsidRPr="00036270">
        <w:rPr>
          <w:kern w:val="22"/>
          <w:szCs w:val="22"/>
        </w:rPr>
        <w:t xml:space="preserve">a result, </w:t>
      </w:r>
      <w:r w:rsidR="00F51B84">
        <w:rPr>
          <w:kern w:val="22"/>
          <w:szCs w:val="22"/>
        </w:rPr>
        <w:t>the Expert Workshop</w:t>
      </w:r>
      <w:r w:rsidR="00F51B84" w:rsidRPr="00036270">
        <w:rPr>
          <w:kern w:val="22"/>
          <w:szCs w:val="22"/>
        </w:rPr>
        <w:t xml:space="preserve"> </w:t>
      </w:r>
      <w:r w:rsidR="00F0533D">
        <w:rPr>
          <w:kern w:val="22"/>
          <w:szCs w:val="22"/>
        </w:rPr>
        <w:t>highlighted</w:t>
      </w:r>
      <w:r w:rsidR="00F0533D" w:rsidRPr="00036270">
        <w:rPr>
          <w:kern w:val="22"/>
          <w:szCs w:val="22"/>
        </w:rPr>
        <w:t xml:space="preserve"> </w:t>
      </w:r>
      <w:r w:rsidR="00036270" w:rsidRPr="00036270">
        <w:rPr>
          <w:kern w:val="22"/>
          <w:szCs w:val="22"/>
        </w:rPr>
        <w:t>the following:</w:t>
      </w:r>
    </w:p>
    <w:p w:rsidR="003E5503" w:rsidRDefault="00CA3FC1" w:rsidP="00D53305">
      <w:pPr>
        <w:pStyle w:val="Para1"/>
        <w:numPr>
          <w:ilvl w:val="0"/>
          <w:numId w:val="8"/>
        </w:numPr>
        <w:ind w:left="0" w:firstLine="720"/>
        <w:rPr>
          <w:kern w:val="22"/>
          <w:szCs w:val="22"/>
        </w:rPr>
      </w:pPr>
      <w:r>
        <w:rPr>
          <w:kern w:val="22"/>
          <w:szCs w:val="22"/>
        </w:rPr>
        <w:t>The Secretariat highlighted the lack of awareness of</w:t>
      </w:r>
      <w:r w:rsidRPr="00CA3FC1">
        <w:rPr>
          <w:kern w:val="22"/>
          <w:szCs w:val="22"/>
        </w:rPr>
        <w:t xml:space="preserve"> the biological invasion</w:t>
      </w:r>
      <w:r>
        <w:rPr>
          <w:kern w:val="22"/>
          <w:szCs w:val="22"/>
        </w:rPr>
        <w:t xml:space="preserve"> risks among e</w:t>
      </w:r>
      <w:r w:rsidRPr="00CA3FC1">
        <w:rPr>
          <w:kern w:val="22"/>
          <w:szCs w:val="22"/>
        </w:rPr>
        <w:t xml:space="preserve">-commerce </w:t>
      </w:r>
      <w:r>
        <w:rPr>
          <w:kern w:val="22"/>
          <w:szCs w:val="22"/>
        </w:rPr>
        <w:t>sellers and buyers</w:t>
      </w:r>
      <w:r w:rsidR="00771963">
        <w:rPr>
          <w:kern w:val="22"/>
          <w:szCs w:val="22"/>
        </w:rPr>
        <w:t xml:space="preserve">. Participants endorsed this and </w:t>
      </w:r>
      <w:r w:rsidR="0048529D">
        <w:rPr>
          <w:kern w:val="22"/>
          <w:szCs w:val="22"/>
        </w:rPr>
        <w:t xml:space="preserve">the Chair further </w:t>
      </w:r>
      <w:r w:rsidR="00771963">
        <w:rPr>
          <w:kern w:val="22"/>
          <w:szCs w:val="22"/>
        </w:rPr>
        <w:t>illustrated it with an</w:t>
      </w:r>
      <w:r w:rsidR="0048529D">
        <w:rPr>
          <w:kern w:val="22"/>
          <w:szCs w:val="22"/>
        </w:rPr>
        <w:t xml:space="preserve"> example that</w:t>
      </w:r>
      <w:r w:rsidR="00771963">
        <w:rPr>
          <w:kern w:val="22"/>
          <w:szCs w:val="22"/>
        </w:rPr>
        <w:t xml:space="preserve"> </w:t>
      </w:r>
      <w:r w:rsidR="003E5503">
        <w:rPr>
          <w:kern w:val="22"/>
          <w:szCs w:val="22"/>
        </w:rPr>
        <w:t xml:space="preserve">the </w:t>
      </w:r>
      <w:r w:rsidR="00771963">
        <w:rPr>
          <w:kern w:val="22"/>
          <w:szCs w:val="22"/>
        </w:rPr>
        <w:t xml:space="preserve">market </w:t>
      </w:r>
      <w:r w:rsidR="003E5503">
        <w:rPr>
          <w:kern w:val="22"/>
          <w:szCs w:val="22"/>
        </w:rPr>
        <w:t xml:space="preserve">Ali Baba </w:t>
      </w:r>
      <w:r w:rsidR="00771963">
        <w:rPr>
          <w:kern w:val="22"/>
          <w:szCs w:val="22"/>
        </w:rPr>
        <w:t xml:space="preserve">sold </w:t>
      </w:r>
      <w:r w:rsidR="00771963" w:rsidRPr="00771963">
        <w:rPr>
          <w:kern w:val="22"/>
          <w:szCs w:val="22"/>
        </w:rPr>
        <w:t>90,000 live lobsters</w:t>
      </w:r>
      <w:r w:rsidR="00771963">
        <w:rPr>
          <w:kern w:val="22"/>
          <w:szCs w:val="22"/>
        </w:rPr>
        <w:t xml:space="preserve"> </w:t>
      </w:r>
      <w:r w:rsidR="003E5503">
        <w:rPr>
          <w:kern w:val="22"/>
          <w:szCs w:val="22"/>
        </w:rPr>
        <w:t>in one day;</w:t>
      </w:r>
    </w:p>
    <w:p w:rsidR="003E5503" w:rsidRDefault="003E5503" w:rsidP="00D53305">
      <w:pPr>
        <w:pStyle w:val="Para1"/>
        <w:numPr>
          <w:ilvl w:val="0"/>
          <w:numId w:val="8"/>
        </w:numPr>
        <w:ind w:left="0" w:firstLine="720"/>
        <w:rPr>
          <w:kern w:val="22"/>
          <w:szCs w:val="22"/>
        </w:rPr>
      </w:pPr>
      <w:r>
        <w:rPr>
          <w:kern w:val="22"/>
          <w:szCs w:val="22"/>
        </w:rPr>
        <w:t xml:space="preserve">Participants stressed the importance of involving </w:t>
      </w:r>
      <w:r w:rsidR="00BD40B8">
        <w:rPr>
          <w:kern w:val="22"/>
          <w:szCs w:val="22"/>
        </w:rPr>
        <w:t xml:space="preserve">the </w:t>
      </w:r>
      <w:r w:rsidRPr="003E5503">
        <w:rPr>
          <w:kern w:val="22"/>
          <w:szCs w:val="22"/>
        </w:rPr>
        <w:t xml:space="preserve">CBD </w:t>
      </w:r>
      <w:r>
        <w:rPr>
          <w:kern w:val="22"/>
          <w:szCs w:val="22"/>
        </w:rPr>
        <w:t xml:space="preserve">in </w:t>
      </w:r>
      <w:r w:rsidR="009475E2">
        <w:rPr>
          <w:kern w:val="22"/>
          <w:szCs w:val="22"/>
        </w:rPr>
        <w:t xml:space="preserve">the process of discussion on </w:t>
      </w:r>
      <w:r>
        <w:rPr>
          <w:kern w:val="22"/>
          <w:szCs w:val="22"/>
        </w:rPr>
        <w:t xml:space="preserve">e-commerce </w:t>
      </w:r>
      <w:r w:rsidR="0048529D">
        <w:rPr>
          <w:kern w:val="22"/>
          <w:szCs w:val="22"/>
        </w:rPr>
        <w:t>under the WCO</w:t>
      </w:r>
      <w:r w:rsidR="00BD40B8">
        <w:rPr>
          <w:kern w:val="22"/>
          <w:szCs w:val="22"/>
        </w:rPr>
        <w:t xml:space="preserve"> </w:t>
      </w:r>
      <w:r w:rsidR="0048529D">
        <w:rPr>
          <w:kern w:val="22"/>
          <w:szCs w:val="22"/>
        </w:rPr>
        <w:t xml:space="preserve">and other </w:t>
      </w:r>
      <w:r>
        <w:rPr>
          <w:kern w:val="22"/>
          <w:szCs w:val="22"/>
        </w:rPr>
        <w:t>processes</w:t>
      </w:r>
      <w:r w:rsidR="009475E2">
        <w:rPr>
          <w:kern w:val="22"/>
          <w:szCs w:val="22"/>
        </w:rPr>
        <w:t xml:space="preserve">.  </w:t>
      </w:r>
      <w:r w:rsidR="00F0533D">
        <w:rPr>
          <w:kern w:val="22"/>
          <w:szCs w:val="22"/>
        </w:rPr>
        <w:t>Customs</w:t>
      </w:r>
      <w:r w:rsidRPr="003E5503">
        <w:rPr>
          <w:kern w:val="22"/>
          <w:szCs w:val="22"/>
        </w:rPr>
        <w:t xml:space="preserve"> </w:t>
      </w:r>
      <w:r w:rsidR="00F51B84">
        <w:rPr>
          <w:kern w:val="22"/>
          <w:szCs w:val="22"/>
        </w:rPr>
        <w:t xml:space="preserve">currently </w:t>
      </w:r>
      <w:r w:rsidRPr="003E5503">
        <w:rPr>
          <w:kern w:val="22"/>
          <w:szCs w:val="22"/>
        </w:rPr>
        <w:t xml:space="preserve">do no treat </w:t>
      </w:r>
      <w:r>
        <w:rPr>
          <w:kern w:val="22"/>
          <w:szCs w:val="22"/>
        </w:rPr>
        <w:t>invasive alien species</w:t>
      </w:r>
      <w:r w:rsidRPr="003E5503">
        <w:rPr>
          <w:kern w:val="22"/>
          <w:szCs w:val="22"/>
        </w:rPr>
        <w:t xml:space="preserve"> as harmful goods, and there is no screening process considering the risk of biological invasions</w:t>
      </w:r>
      <w:r w:rsidR="00BD40B8">
        <w:rPr>
          <w:kern w:val="22"/>
          <w:szCs w:val="22"/>
        </w:rPr>
        <w:t>,</w:t>
      </w:r>
      <w:r w:rsidR="00BD40B8" w:rsidRPr="00BD40B8">
        <w:rPr>
          <w:kern w:val="22"/>
          <w:szCs w:val="22"/>
        </w:rPr>
        <w:t xml:space="preserve"> </w:t>
      </w:r>
      <w:r w:rsidR="00BD40B8">
        <w:rPr>
          <w:kern w:val="22"/>
          <w:szCs w:val="22"/>
        </w:rPr>
        <w:t>unless national regulations clearly require import measures on alien sp</w:t>
      </w:r>
      <w:r w:rsidR="00C973DC">
        <w:rPr>
          <w:kern w:val="22"/>
          <w:szCs w:val="22"/>
        </w:rPr>
        <w:t>ecies of the country’s concern,</w:t>
      </w:r>
      <w:r w:rsidR="00BD40B8">
        <w:rPr>
          <w:kern w:val="22"/>
          <w:szCs w:val="22"/>
        </w:rPr>
        <w:t xml:space="preserve"> </w:t>
      </w:r>
      <w:r w:rsidR="009475E2">
        <w:rPr>
          <w:kern w:val="22"/>
          <w:szCs w:val="22"/>
        </w:rPr>
        <w:t xml:space="preserve">Participants also stressed that the CBD process </w:t>
      </w:r>
      <w:proofErr w:type="gramStart"/>
      <w:r w:rsidR="009475E2">
        <w:rPr>
          <w:kern w:val="22"/>
          <w:szCs w:val="22"/>
        </w:rPr>
        <w:t>has to</w:t>
      </w:r>
      <w:proofErr w:type="gramEnd"/>
      <w:r w:rsidR="009475E2">
        <w:rPr>
          <w:kern w:val="22"/>
          <w:szCs w:val="22"/>
        </w:rPr>
        <w:t xml:space="preserve"> continue to consider the risk posed by increasing e-commerce transactions and related transport</w:t>
      </w:r>
      <w:r>
        <w:rPr>
          <w:kern w:val="22"/>
          <w:szCs w:val="22"/>
        </w:rPr>
        <w:t>;</w:t>
      </w:r>
    </w:p>
    <w:p w:rsidR="00413BFE" w:rsidRDefault="003E5503" w:rsidP="00413295">
      <w:pPr>
        <w:pStyle w:val="Para1"/>
        <w:numPr>
          <w:ilvl w:val="0"/>
          <w:numId w:val="8"/>
        </w:numPr>
        <w:ind w:left="0" w:firstLine="709"/>
        <w:rPr>
          <w:kern w:val="22"/>
          <w:szCs w:val="22"/>
        </w:rPr>
      </w:pPr>
      <w:r w:rsidRPr="000F7C15">
        <w:rPr>
          <w:kern w:val="22"/>
          <w:szCs w:val="22"/>
        </w:rPr>
        <w:t xml:space="preserve">Participants also mentioned the importance of indicating </w:t>
      </w:r>
      <w:r w:rsidR="00F51B84">
        <w:rPr>
          <w:kern w:val="22"/>
          <w:szCs w:val="22"/>
        </w:rPr>
        <w:t>‘</w:t>
      </w:r>
      <w:r w:rsidRPr="000F7C15">
        <w:rPr>
          <w:kern w:val="22"/>
          <w:szCs w:val="22"/>
        </w:rPr>
        <w:t>hazards to biodiversity</w:t>
      </w:r>
      <w:r w:rsidR="00F51B84">
        <w:rPr>
          <w:kern w:val="22"/>
          <w:szCs w:val="22"/>
        </w:rPr>
        <w:t>’</w:t>
      </w:r>
      <w:r w:rsidRPr="000F7C15">
        <w:rPr>
          <w:kern w:val="22"/>
          <w:szCs w:val="22"/>
        </w:rPr>
        <w:t xml:space="preserve"> in the label</w:t>
      </w:r>
      <w:r w:rsidR="009430C5">
        <w:rPr>
          <w:kern w:val="22"/>
          <w:szCs w:val="22"/>
        </w:rPr>
        <w:t xml:space="preserve"> on the consignment of live species</w:t>
      </w:r>
      <w:r w:rsidRPr="000F7C15">
        <w:rPr>
          <w:kern w:val="22"/>
          <w:szCs w:val="22"/>
        </w:rPr>
        <w:t>. This is because the filtering proces</w:t>
      </w:r>
      <w:r w:rsidR="008B550F" w:rsidRPr="000F7C15">
        <w:rPr>
          <w:kern w:val="22"/>
          <w:szCs w:val="22"/>
        </w:rPr>
        <w:t xml:space="preserve">s in customs is based on labels. </w:t>
      </w:r>
      <w:proofErr w:type="gramStart"/>
      <w:r w:rsidR="005F3C0A">
        <w:rPr>
          <w:kern w:val="22"/>
          <w:szCs w:val="22"/>
        </w:rPr>
        <w:lastRenderedPageBreak/>
        <w:t>With regard to</w:t>
      </w:r>
      <w:proofErr w:type="gramEnd"/>
      <w:r w:rsidR="005F3C0A">
        <w:rPr>
          <w:kern w:val="22"/>
          <w:szCs w:val="22"/>
        </w:rPr>
        <w:t xml:space="preserve"> consignment labelling, </w:t>
      </w:r>
      <w:r w:rsidR="00F51B84">
        <w:rPr>
          <w:kern w:val="22"/>
          <w:szCs w:val="22"/>
        </w:rPr>
        <w:t>t</w:t>
      </w:r>
      <w:r w:rsidR="00F51B84" w:rsidRPr="00F51B84">
        <w:rPr>
          <w:kern w:val="22"/>
          <w:szCs w:val="22"/>
        </w:rPr>
        <w:t>he Harmonized Commodity Description and Coding System</w:t>
      </w:r>
      <w:r w:rsidR="00F51B84" w:rsidRPr="00F51B84" w:rsidDel="00F51B84">
        <w:rPr>
          <w:kern w:val="22"/>
          <w:szCs w:val="22"/>
        </w:rPr>
        <w:t xml:space="preserve"> </w:t>
      </w:r>
      <w:r w:rsidRPr="000F7C15">
        <w:rPr>
          <w:kern w:val="22"/>
          <w:szCs w:val="22"/>
        </w:rPr>
        <w:t>(HS</w:t>
      </w:r>
      <w:r w:rsidR="005F3C0A" w:rsidRPr="000F7C15">
        <w:rPr>
          <w:kern w:val="22"/>
          <w:szCs w:val="22"/>
        </w:rPr>
        <w:t>)</w:t>
      </w:r>
      <w:r w:rsidR="005F3C0A">
        <w:rPr>
          <w:kern w:val="22"/>
          <w:szCs w:val="22"/>
        </w:rPr>
        <w:t xml:space="preserve"> established under the </w:t>
      </w:r>
      <w:r w:rsidR="0048529D">
        <w:rPr>
          <w:kern w:val="22"/>
          <w:szCs w:val="22"/>
        </w:rPr>
        <w:t>WCO</w:t>
      </w:r>
      <w:r w:rsidR="005F3C0A" w:rsidRPr="000F7C15">
        <w:rPr>
          <w:kern w:val="22"/>
          <w:szCs w:val="22"/>
        </w:rPr>
        <w:t xml:space="preserve"> </w:t>
      </w:r>
      <w:r w:rsidR="005F3C0A">
        <w:rPr>
          <w:kern w:val="22"/>
          <w:szCs w:val="22"/>
        </w:rPr>
        <w:t>was discussed. Participants pointed that HS Code</w:t>
      </w:r>
      <w:r w:rsidRPr="000F7C15">
        <w:rPr>
          <w:kern w:val="22"/>
          <w:szCs w:val="22"/>
        </w:rPr>
        <w:t xml:space="preserve"> </w:t>
      </w:r>
      <w:r w:rsidR="005F3C0A">
        <w:rPr>
          <w:kern w:val="22"/>
          <w:szCs w:val="22"/>
        </w:rPr>
        <w:t xml:space="preserve">indicates </w:t>
      </w:r>
      <w:r w:rsidR="0048529D">
        <w:rPr>
          <w:kern w:val="22"/>
          <w:szCs w:val="22"/>
        </w:rPr>
        <w:t xml:space="preserve">a </w:t>
      </w:r>
      <w:r w:rsidR="00F84124">
        <w:rPr>
          <w:kern w:val="22"/>
          <w:szCs w:val="22"/>
        </w:rPr>
        <w:t xml:space="preserve">taxon </w:t>
      </w:r>
      <w:r w:rsidR="008B550F" w:rsidRPr="000F7C15">
        <w:rPr>
          <w:kern w:val="22"/>
          <w:szCs w:val="22"/>
        </w:rPr>
        <w:t xml:space="preserve">only </w:t>
      </w:r>
      <w:r w:rsidRPr="000F7C15">
        <w:rPr>
          <w:kern w:val="22"/>
          <w:szCs w:val="22"/>
        </w:rPr>
        <w:t>at family level</w:t>
      </w:r>
      <w:r w:rsidR="005F3C0A">
        <w:rPr>
          <w:kern w:val="22"/>
          <w:szCs w:val="22"/>
        </w:rPr>
        <w:t xml:space="preserve"> unless national customs apply further detailed code systems</w:t>
      </w:r>
      <w:r w:rsidRPr="000F7C15">
        <w:rPr>
          <w:kern w:val="22"/>
          <w:szCs w:val="22"/>
        </w:rPr>
        <w:t xml:space="preserve">. </w:t>
      </w:r>
      <w:r w:rsidR="00A24C9C" w:rsidRPr="00A24C9C">
        <w:rPr>
          <w:kern w:val="22"/>
          <w:szCs w:val="22"/>
        </w:rPr>
        <w:t xml:space="preserve">A coding system </w:t>
      </w:r>
      <w:r w:rsidR="00A24C9C">
        <w:rPr>
          <w:kern w:val="22"/>
          <w:szCs w:val="22"/>
        </w:rPr>
        <w:t xml:space="preserve">also </w:t>
      </w:r>
      <w:r w:rsidR="00A24C9C" w:rsidRPr="00A24C9C">
        <w:rPr>
          <w:kern w:val="22"/>
          <w:szCs w:val="22"/>
        </w:rPr>
        <w:t>needs to be enforced by both the</w:t>
      </w:r>
      <w:r w:rsidR="00A24C9C">
        <w:rPr>
          <w:kern w:val="22"/>
          <w:szCs w:val="22"/>
        </w:rPr>
        <w:t xml:space="preserve"> importing and exporting countries.</w:t>
      </w:r>
      <w:r w:rsidR="00A24C9C" w:rsidRPr="00A24C9C">
        <w:rPr>
          <w:kern w:val="22"/>
          <w:szCs w:val="22"/>
        </w:rPr>
        <w:t xml:space="preserve"> </w:t>
      </w:r>
      <w:r w:rsidR="008B550F" w:rsidRPr="000F7C15">
        <w:rPr>
          <w:kern w:val="22"/>
          <w:szCs w:val="22"/>
        </w:rPr>
        <w:t xml:space="preserve">Participants then </w:t>
      </w:r>
      <w:r w:rsidR="00F84124">
        <w:rPr>
          <w:kern w:val="22"/>
          <w:szCs w:val="22"/>
        </w:rPr>
        <w:t>stressed that</w:t>
      </w:r>
      <w:r w:rsidR="008B550F" w:rsidRPr="000F7C15">
        <w:rPr>
          <w:kern w:val="22"/>
          <w:szCs w:val="22"/>
        </w:rPr>
        <w:t xml:space="preserve"> it would be useful for custom authorities to have information on invasive alien species that threaten biodiversity on the label</w:t>
      </w:r>
      <w:r w:rsidR="000F7C15" w:rsidRPr="000F7C15">
        <w:rPr>
          <w:kern w:val="22"/>
          <w:szCs w:val="22"/>
        </w:rPr>
        <w:t>. Th</w:t>
      </w:r>
      <w:r w:rsidR="000F7C15">
        <w:rPr>
          <w:kern w:val="22"/>
          <w:szCs w:val="22"/>
        </w:rPr>
        <w:t xml:space="preserve">ey agreed that </w:t>
      </w:r>
      <w:r w:rsidR="00F84124">
        <w:rPr>
          <w:kern w:val="22"/>
          <w:szCs w:val="22"/>
        </w:rPr>
        <w:t xml:space="preserve">national </w:t>
      </w:r>
      <w:r w:rsidR="000F7C15" w:rsidRPr="000F7C15">
        <w:rPr>
          <w:kern w:val="22"/>
          <w:szCs w:val="22"/>
        </w:rPr>
        <w:t>customs</w:t>
      </w:r>
      <w:r w:rsidR="00F84124">
        <w:rPr>
          <w:kern w:val="22"/>
          <w:szCs w:val="22"/>
        </w:rPr>
        <w:t xml:space="preserve"> offices</w:t>
      </w:r>
      <w:r w:rsidR="000F7C15" w:rsidRPr="000F7C15">
        <w:rPr>
          <w:kern w:val="22"/>
          <w:szCs w:val="22"/>
        </w:rPr>
        <w:t xml:space="preserve"> </w:t>
      </w:r>
      <w:r w:rsidR="00A24C9C">
        <w:rPr>
          <w:kern w:val="22"/>
          <w:szCs w:val="22"/>
        </w:rPr>
        <w:t xml:space="preserve">require </w:t>
      </w:r>
      <w:r w:rsidR="000F7C15">
        <w:rPr>
          <w:kern w:val="22"/>
          <w:szCs w:val="22"/>
        </w:rPr>
        <w:t>a</w:t>
      </w:r>
      <w:r w:rsidR="000F7C15" w:rsidRPr="000F7C15">
        <w:rPr>
          <w:kern w:val="22"/>
          <w:szCs w:val="22"/>
        </w:rPr>
        <w:t xml:space="preserve"> list of </w:t>
      </w:r>
      <w:r w:rsidR="000F7C15">
        <w:rPr>
          <w:kern w:val="22"/>
          <w:szCs w:val="22"/>
        </w:rPr>
        <w:t>invasive alien species</w:t>
      </w:r>
      <w:r w:rsidR="00F84124">
        <w:rPr>
          <w:kern w:val="22"/>
          <w:szCs w:val="22"/>
        </w:rPr>
        <w:t xml:space="preserve"> </w:t>
      </w:r>
      <w:r w:rsidR="00A24C9C">
        <w:rPr>
          <w:kern w:val="22"/>
          <w:szCs w:val="22"/>
        </w:rPr>
        <w:t xml:space="preserve">that are of </w:t>
      </w:r>
      <w:r w:rsidR="00F84124">
        <w:rPr>
          <w:kern w:val="22"/>
          <w:szCs w:val="22"/>
        </w:rPr>
        <w:t>concern</w:t>
      </w:r>
      <w:r w:rsidR="00A24C9C">
        <w:rPr>
          <w:kern w:val="22"/>
          <w:szCs w:val="22"/>
        </w:rPr>
        <w:t>. And h</w:t>
      </w:r>
      <w:r w:rsidR="00A24C9C" w:rsidRPr="00A24C9C">
        <w:rPr>
          <w:kern w:val="22"/>
          <w:szCs w:val="22"/>
        </w:rPr>
        <w:t>aving trained customs officers dedicated to plant and animal pest inspections at the border is also important</w:t>
      </w:r>
      <w:r w:rsidR="000F7C15">
        <w:rPr>
          <w:kern w:val="22"/>
          <w:szCs w:val="22"/>
        </w:rPr>
        <w:t>;</w:t>
      </w:r>
    </w:p>
    <w:p w:rsidR="00413BFE" w:rsidRPr="00413BFE" w:rsidRDefault="00413BFE" w:rsidP="00413295">
      <w:pPr>
        <w:pStyle w:val="Para1"/>
        <w:numPr>
          <w:ilvl w:val="0"/>
          <w:numId w:val="8"/>
        </w:numPr>
        <w:ind w:left="0" w:firstLine="709"/>
        <w:rPr>
          <w:kern w:val="22"/>
          <w:szCs w:val="22"/>
        </w:rPr>
      </w:pPr>
      <w:r w:rsidRPr="00413BFE">
        <w:rPr>
          <w:kern w:val="22"/>
          <w:szCs w:val="22"/>
        </w:rPr>
        <w:t xml:space="preserve">The Chair </w:t>
      </w:r>
      <w:r>
        <w:rPr>
          <w:kern w:val="22"/>
          <w:szCs w:val="22"/>
        </w:rPr>
        <w:t>highlighted that</w:t>
      </w:r>
      <w:r w:rsidRPr="00413BFE">
        <w:rPr>
          <w:kern w:val="22"/>
          <w:szCs w:val="22"/>
        </w:rPr>
        <w:t xml:space="preserve"> </w:t>
      </w:r>
      <w:r w:rsidR="005F3C0A">
        <w:rPr>
          <w:kern w:val="22"/>
          <w:szCs w:val="22"/>
        </w:rPr>
        <w:t xml:space="preserve">the </w:t>
      </w:r>
      <w:r w:rsidRPr="00413BFE">
        <w:rPr>
          <w:kern w:val="22"/>
          <w:szCs w:val="22"/>
        </w:rPr>
        <w:t xml:space="preserve">WCO only considers species regulated under </w:t>
      </w:r>
      <w:r w:rsidR="005F3C0A">
        <w:rPr>
          <w:kern w:val="22"/>
          <w:szCs w:val="22"/>
        </w:rPr>
        <w:t xml:space="preserve">the </w:t>
      </w:r>
      <w:r w:rsidRPr="00413BFE">
        <w:rPr>
          <w:kern w:val="22"/>
          <w:szCs w:val="22"/>
        </w:rPr>
        <w:t xml:space="preserve">national legislations. </w:t>
      </w:r>
      <w:r w:rsidR="005F3C0A">
        <w:rPr>
          <w:kern w:val="22"/>
          <w:szCs w:val="22"/>
        </w:rPr>
        <w:t>Also, s</w:t>
      </w:r>
      <w:r w:rsidR="005F3C0A" w:rsidRPr="00413BFE">
        <w:rPr>
          <w:kern w:val="22"/>
          <w:szCs w:val="22"/>
        </w:rPr>
        <w:t xml:space="preserve">ellers </w:t>
      </w:r>
      <w:r w:rsidR="00A24C9C">
        <w:rPr>
          <w:kern w:val="22"/>
          <w:szCs w:val="22"/>
        </w:rPr>
        <w:t>frequently</w:t>
      </w:r>
      <w:r w:rsidR="00A24C9C" w:rsidRPr="00413BFE">
        <w:rPr>
          <w:kern w:val="22"/>
          <w:szCs w:val="22"/>
        </w:rPr>
        <w:t xml:space="preserve"> </w:t>
      </w:r>
      <w:r w:rsidRPr="00413BFE">
        <w:rPr>
          <w:kern w:val="22"/>
          <w:szCs w:val="22"/>
        </w:rPr>
        <w:t xml:space="preserve">do not know the name of the species </w:t>
      </w:r>
      <w:r w:rsidR="005F3C0A">
        <w:rPr>
          <w:kern w:val="22"/>
          <w:szCs w:val="22"/>
        </w:rPr>
        <w:t xml:space="preserve">that </w:t>
      </w:r>
      <w:r w:rsidRPr="00413BFE">
        <w:rPr>
          <w:kern w:val="22"/>
          <w:szCs w:val="22"/>
        </w:rPr>
        <w:t>they are selling</w:t>
      </w:r>
      <w:r w:rsidR="005F3C0A">
        <w:rPr>
          <w:kern w:val="22"/>
          <w:szCs w:val="22"/>
        </w:rPr>
        <w:t xml:space="preserve">. In some </w:t>
      </w:r>
      <w:proofErr w:type="gramStart"/>
      <w:r w:rsidR="005F3C0A">
        <w:rPr>
          <w:kern w:val="22"/>
          <w:szCs w:val="22"/>
        </w:rPr>
        <w:t>cases</w:t>
      </w:r>
      <w:proofErr w:type="gramEnd"/>
      <w:r w:rsidRPr="00413BFE">
        <w:rPr>
          <w:kern w:val="22"/>
          <w:szCs w:val="22"/>
        </w:rPr>
        <w:t xml:space="preserve"> </w:t>
      </w:r>
      <w:r w:rsidR="005F3C0A">
        <w:rPr>
          <w:kern w:val="22"/>
          <w:szCs w:val="22"/>
        </w:rPr>
        <w:t>sellers are not aware if</w:t>
      </w:r>
      <w:r>
        <w:rPr>
          <w:kern w:val="22"/>
          <w:szCs w:val="22"/>
        </w:rPr>
        <w:t xml:space="preserve"> </w:t>
      </w:r>
      <w:r w:rsidR="005F3C0A">
        <w:rPr>
          <w:kern w:val="22"/>
          <w:szCs w:val="22"/>
        </w:rPr>
        <w:t xml:space="preserve">the species sold via e-commerce </w:t>
      </w:r>
      <w:r>
        <w:rPr>
          <w:kern w:val="22"/>
          <w:szCs w:val="22"/>
        </w:rPr>
        <w:t>are regulated</w:t>
      </w:r>
      <w:r w:rsidR="005F3C0A">
        <w:rPr>
          <w:kern w:val="22"/>
          <w:szCs w:val="22"/>
        </w:rPr>
        <w:t xml:space="preserve"> in buyers’ countries</w:t>
      </w:r>
      <w:r>
        <w:rPr>
          <w:kern w:val="22"/>
          <w:szCs w:val="22"/>
        </w:rPr>
        <w:t>;</w:t>
      </w:r>
    </w:p>
    <w:p w:rsidR="002458AD" w:rsidRPr="002458AD" w:rsidRDefault="002458AD" w:rsidP="00413295">
      <w:pPr>
        <w:pStyle w:val="Para1"/>
        <w:numPr>
          <w:ilvl w:val="0"/>
          <w:numId w:val="8"/>
        </w:numPr>
        <w:ind w:left="0" w:firstLine="709"/>
        <w:rPr>
          <w:kern w:val="22"/>
          <w:szCs w:val="22"/>
        </w:rPr>
      </w:pPr>
      <w:r>
        <w:rPr>
          <w:kern w:val="22"/>
          <w:szCs w:val="22"/>
        </w:rPr>
        <w:t xml:space="preserve">Participants </w:t>
      </w:r>
      <w:r w:rsidR="00413BFE">
        <w:rPr>
          <w:kern w:val="22"/>
          <w:szCs w:val="22"/>
        </w:rPr>
        <w:t>indicated</w:t>
      </w:r>
      <w:r>
        <w:rPr>
          <w:kern w:val="22"/>
          <w:szCs w:val="22"/>
        </w:rPr>
        <w:t xml:space="preserve"> the</w:t>
      </w:r>
      <w:r w:rsidR="00413BFE">
        <w:rPr>
          <w:kern w:val="22"/>
          <w:szCs w:val="22"/>
        </w:rPr>
        <w:t>re is an</w:t>
      </w:r>
      <w:r>
        <w:rPr>
          <w:kern w:val="22"/>
          <w:szCs w:val="22"/>
        </w:rPr>
        <w:t xml:space="preserve"> i</w:t>
      </w:r>
      <w:r w:rsidRPr="002458AD">
        <w:rPr>
          <w:kern w:val="22"/>
          <w:szCs w:val="22"/>
        </w:rPr>
        <w:t xml:space="preserve">nterest from </w:t>
      </w:r>
      <w:r>
        <w:rPr>
          <w:kern w:val="22"/>
          <w:szCs w:val="22"/>
        </w:rPr>
        <w:t>e</w:t>
      </w:r>
      <w:r w:rsidR="00F84124">
        <w:rPr>
          <w:kern w:val="22"/>
          <w:szCs w:val="22"/>
        </w:rPr>
        <w:t>-commerce platform providers</w:t>
      </w:r>
      <w:r w:rsidRPr="002458AD">
        <w:rPr>
          <w:kern w:val="22"/>
          <w:szCs w:val="22"/>
        </w:rPr>
        <w:t xml:space="preserve"> to cooperate </w:t>
      </w:r>
      <w:proofErr w:type="gramStart"/>
      <w:r w:rsidRPr="002458AD">
        <w:rPr>
          <w:kern w:val="22"/>
          <w:szCs w:val="22"/>
        </w:rPr>
        <w:t>as long as</w:t>
      </w:r>
      <w:proofErr w:type="gramEnd"/>
      <w:r w:rsidRPr="002458AD">
        <w:rPr>
          <w:kern w:val="22"/>
          <w:szCs w:val="22"/>
        </w:rPr>
        <w:t xml:space="preserve"> </w:t>
      </w:r>
      <w:r>
        <w:rPr>
          <w:kern w:val="22"/>
          <w:szCs w:val="22"/>
        </w:rPr>
        <w:t xml:space="preserve">the </w:t>
      </w:r>
      <w:r w:rsidRPr="002458AD">
        <w:rPr>
          <w:kern w:val="22"/>
          <w:szCs w:val="22"/>
        </w:rPr>
        <w:t xml:space="preserve">process is clear and rapid. </w:t>
      </w:r>
      <w:r>
        <w:rPr>
          <w:kern w:val="22"/>
          <w:szCs w:val="22"/>
        </w:rPr>
        <w:t>They also mentioned that a me</w:t>
      </w:r>
      <w:r w:rsidRPr="002458AD">
        <w:rPr>
          <w:kern w:val="22"/>
          <w:szCs w:val="22"/>
        </w:rPr>
        <w:t xml:space="preserve">morandum of understanding </w:t>
      </w:r>
      <w:r>
        <w:rPr>
          <w:kern w:val="22"/>
          <w:szCs w:val="22"/>
        </w:rPr>
        <w:t xml:space="preserve">is being signed between </w:t>
      </w:r>
      <w:r w:rsidR="00F84124">
        <w:rPr>
          <w:kern w:val="22"/>
          <w:szCs w:val="22"/>
        </w:rPr>
        <w:t xml:space="preserve">the </w:t>
      </w:r>
      <w:r>
        <w:rPr>
          <w:kern w:val="22"/>
          <w:szCs w:val="22"/>
        </w:rPr>
        <w:t xml:space="preserve">WCO </w:t>
      </w:r>
      <w:r w:rsidR="00F84124">
        <w:rPr>
          <w:kern w:val="22"/>
          <w:szCs w:val="22"/>
        </w:rPr>
        <w:t>and e-commerce platform providers</w:t>
      </w:r>
      <w:proofErr w:type="gramStart"/>
      <w:r w:rsidRPr="002458AD">
        <w:rPr>
          <w:kern w:val="22"/>
          <w:szCs w:val="22"/>
        </w:rPr>
        <w:t xml:space="preserve">. </w:t>
      </w:r>
      <w:r w:rsidR="00A24C9C">
        <w:rPr>
          <w:kern w:val="22"/>
          <w:szCs w:val="22"/>
        </w:rPr>
        <w:t>.</w:t>
      </w:r>
      <w:proofErr w:type="gramEnd"/>
      <w:r w:rsidR="00A24C9C">
        <w:rPr>
          <w:kern w:val="22"/>
          <w:szCs w:val="22"/>
        </w:rPr>
        <w:t xml:space="preserve"> It is important that </w:t>
      </w:r>
      <w:r w:rsidR="0019622C">
        <w:rPr>
          <w:kern w:val="22"/>
          <w:szCs w:val="22"/>
        </w:rPr>
        <w:t xml:space="preserve">the </w:t>
      </w:r>
      <w:r w:rsidR="00A24C9C">
        <w:rPr>
          <w:kern w:val="22"/>
          <w:szCs w:val="22"/>
        </w:rPr>
        <w:t xml:space="preserve">awareness </w:t>
      </w:r>
      <w:r w:rsidR="0019622C">
        <w:rPr>
          <w:kern w:val="22"/>
          <w:szCs w:val="22"/>
        </w:rPr>
        <w:t xml:space="preserve">raising </w:t>
      </w:r>
      <w:r w:rsidR="00A24C9C">
        <w:rPr>
          <w:kern w:val="22"/>
          <w:szCs w:val="22"/>
        </w:rPr>
        <w:t>and educ</w:t>
      </w:r>
      <w:r w:rsidR="0019622C">
        <w:rPr>
          <w:kern w:val="22"/>
          <w:szCs w:val="22"/>
        </w:rPr>
        <w:t>ation on invasive alien species</w:t>
      </w:r>
      <w:r w:rsidR="00A24C9C" w:rsidRPr="00A24C9C">
        <w:rPr>
          <w:kern w:val="22"/>
          <w:szCs w:val="22"/>
        </w:rPr>
        <w:t xml:space="preserve"> </w:t>
      </w:r>
      <w:r w:rsidR="0019622C">
        <w:rPr>
          <w:kern w:val="22"/>
          <w:szCs w:val="22"/>
        </w:rPr>
        <w:t xml:space="preserve">should </w:t>
      </w:r>
      <w:r w:rsidR="00A24C9C" w:rsidRPr="00A24C9C">
        <w:rPr>
          <w:kern w:val="22"/>
          <w:szCs w:val="22"/>
        </w:rPr>
        <w:t>use the same media or platform as used by e-commerce traders to ensure the message reaches the right audience</w:t>
      </w:r>
      <w:r w:rsidR="0019622C">
        <w:rPr>
          <w:kern w:val="22"/>
          <w:szCs w:val="22"/>
        </w:rPr>
        <w:t xml:space="preserve">. </w:t>
      </w:r>
      <w:r>
        <w:rPr>
          <w:kern w:val="22"/>
          <w:szCs w:val="22"/>
        </w:rPr>
        <w:t>However, there is a need for</w:t>
      </w:r>
      <w:r w:rsidRPr="002458AD">
        <w:rPr>
          <w:kern w:val="22"/>
          <w:szCs w:val="22"/>
        </w:rPr>
        <w:t xml:space="preserve"> clear lists an</w:t>
      </w:r>
      <w:r>
        <w:rPr>
          <w:kern w:val="22"/>
          <w:szCs w:val="22"/>
        </w:rPr>
        <w:t xml:space="preserve">d criteria for </w:t>
      </w:r>
      <w:r w:rsidR="009430C5">
        <w:rPr>
          <w:kern w:val="22"/>
          <w:szCs w:val="22"/>
        </w:rPr>
        <w:t xml:space="preserve">assessing </w:t>
      </w:r>
      <w:r>
        <w:rPr>
          <w:kern w:val="22"/>
          <w:szCs w:val="22"/>
        </w:rPr>
        <w:t>risks and conducting physical inspections;</w:t>
      </w:r>
    </w:p>
    <w:p w:rsidR="002458AD" w:rsidRDefault="002458AD" w:rsidP="00413295">
      <w:pPr>
        <w:pStyle w:val="Para1"/>
        <w:numPr>
          <w:ilvl w:val="0"/>
          <w:numId w:val="8"/>
        </w:numPr>
        <w:ind w:left="0" w:firstLine="709"/>
        <w:rPr>
          <w:kern w:val="22"/>
          <w:szCs w:val="22"/>
        </w:rPr>
      </w:pPr>
      <w:r>
        <w:rPr>
          <w:kern w:val="22"/>
          <w:szCs w:val="22"/>
        </w:rPr>
        <w:t xml:space="preserve">In terms of </w:t>
      </w:r>
      <w:r w:rsidR="009430C5">
        <w:rPr>
          <w:kern w:val="22"/>
          <w:szCs w:val="22"/>
        </w:rPr>
        <w:t xml:space="preserve">assessing </w:t>
      </w:r>
      <w:r>
        <w:rPr>
          <w:kern w:val="22"/>
          <w:szCs w:val="22"/>
        </w:rPr>
        <w:t>risks</w:t>
      </w:r>
      <w:r w:rsidR="009430C5">
        <w:rPr>
          <w:kern w:val="22"/>
          <w:szCs w:val="22"/>
        </w:rPr>
        <w:t xml:space="preserve"> at the border</w:t>
      </w:r>
      <w:r>
        <w:rPr>
          <w:kern w:val="22"/>
          <w:szCs w:val="22"/>
        </w:rPr>
        <w:t>, participant</w:t>
      </w:r>
      <w:r w:rsidR="00F51B84">
        <w:rPr>
          <w:kern w:val="22"/>
          <w:szCs w:val="22"/>
        </w:rPr>
        <w:t>s</w:t>
      </w:r>
      <w:r>
        <w:rPr>
          <w:kern w:val="22"/>
          <w:szCs w:val="22"/>
        </w:rPr>
        <w:t xml:space="preserve"> highlighted the pilot project conducted in </w:t>
      </w:r>
      <w:r w:rsidRPr="006E7C2D">
        <w:rPr>
          <w:kern w:val="22"/>
          <w:szCs w:val="22"/>
        </w:rPr>
        <w:t>Australia</w:t>
      </w:r>
      <w:r w:rsidR="00F84124">
        <w:rPr>
          <w:kern w:val="22"/>
          <w:szCs w:val="22"/>
        </w:rPr>
        <w:t xml:space="preserve"> </w:t>
      </w:r>
      <w:r>
        <w:rPr>
          <w:kern w:val="22"/>
          <w:szCs w:val="22"/>
        </w:rPr>
        <w:t xml:space="preserve">and </w:t>
      </w:r>
      <w:r w:rsidR="003E5503" w:rsidRPr="006E7C2D">
        <w:rPr>
          <w:kern w:val="22"/>
          <w:szCs w:val="22"/>
        </w:rPr>
        <w:t>New Zealand</w:t>
      </w:r>
      <w:r>
        <w:rPr>
          <w:kern w:val="22"/>
          <w:szCs w:val="22"/>
        </w:rPr>
        <w:t xml:space="preserve">. In these countries, </w:t>
      </w:r>
      <w:r w:rsidR="00F84124">
        <w:rPr>
          <w:kern w:val="22"/>
          <w:szCs w:val="22"/>
        </w:rPr>
        <w:t xml:space="preserve">the </w:t>
      </w:r>
      <w:r w:rsidR="003E5503" w:rsidRPr="006E7C2D">
        <w:rPr>
          <w:kern w:val="22"/>
          <w:szCs w:val="22"/>
        </w:rPr>
        <w:t xml:space="preserve">WCO </w:t>
      </w:r>
      <w:r>
        <w:rPr>
          <w:kern w:val="22"/>
          <w:szCs w:val="22"/>
        </w:rPr>
        <w:t>has tested the inclusion of</w:t>
      </w:r>
      <w:r w:rsidR="003E5503" w:rsidRPr="006E7C2D">
        <w:rPr>
          <w:kern w:val="22"/>
          <w:szCs w:val="22"/>
        </w:rPr>
        <w:t xml:space="preserve"> postal services and using a product identification code or a different technology to </w:t>
      </w:r>
      <w:r>
        <w:rPr>
          <w:kern w:val="22"/>
          <w:szCs w:val="22"/>
        </w:rPr>
        <w:t>track</w:t>
      </w:r>
      <w:r w:rsidR="003E5503" w:rsidRPr="006E7C2D">
        <w:rPr>
          <w:kern w:val="22"/>
          <w:szCs w:val="22"/>
        </w:rPr>
        <w:t xml:space="preserve"> where the commodities are</w:t>
      </w:r>
      <w:r w:rsidR="00F84124">
        <w:rPr>
          <w:kern w:val="22"/>
          <w:szCs w:val="22"/>
        </w:rPr>
        <w:t xml:space="preserve"> on their route to destinations</w:t>
      </w:r>
      <w:r w:rsidR="003E5503" w:rsidRPr="006E7C2D">
        <w:rPr>
          <w:kern w:val="22"/>
          <w:szCs w:val="22"/>
        </w:rPr>
        <w:t xml:space="preserve">. </w:t>
      </w:r>
      <w:r>
        <w:rPr>
          <w:kern w:val="22"/>
          <w:szCs w:val="22"/>
        </w:rPr>
        <w:t>Although the pilot project does not include</w:t>
      </w:r>
      <w:r w:rsidR="003E5503" w:rsidRPr="006E7C2D">
        <w:rPr>
          <w:kern w:val="22"/>
          <w:szCs w:val="22"/>
        </w:rPr>
        <w:t xml:space="preserve"> invasive </w:t>
      </w:r>
      <w:r>
        <w:rPr>
          <w:kern w:val="22"/>
          <w:szCs w:val="22"/>
        </w:rPr>
        <w:t xml:space="preserve">alien </w:t>
      </w:r>
      <w:r w:rsidR="003E5503" w:rsidRPr="006E7C2D">
        <w:rPr>
          <w:kern w:val="22"/>
          <w:szCs w:val="22"/>
        </w:rPr>
        <w:t xml:space="preserve">species, </w:t>
      </w:r>
      <w:r>
        <w:rPr>
          <w:kern w:val="22"/>
          <w:szCs w:val="22"/>
        </w:rPr>
        <w:t>it employs a coding system that</w:t>
      </w:r>
      <w:r w:rsidR="003E5503" w:rsidRPr="006E7C2D">
        <w:rPr>
          <w:kern w:val="22"/>
          <w:szCs w:val="22"/>
        </w:rPr>
        <w:t xml:space="preserve"> allow</w:t>
      </w:r>
      <w:r>
        <w:rPr>
          <w:kern w:val="22"/>
          <w:szCs w:val="22"/>
        </w:rPr>
        <w:t xml:space="preserve">s a </w:t>
      </w:r>
      <w:r w:rsidR="003E5503" w:rsidRPr="006E7C2D">
        <w:rPr>
          <w:kern w:val="22"/>
          <w:szCs w:val="22"/>
        </w:rPr>
        <w:t xml:space="preserve">rapid </w:t>
      </w:r>
      <w:r w:rsidR="006E7C2D" w:rsidRPr="006E7C2D">
        <w:rPr>
          <w:kern w:val="22"/>
          <w:szCs w:val="22"/>
        </w:rPr>
        <w:t>risk assessment</w:t>
      </w:r>
      <w:r w:rsidR="003E5503" w:rsidRPr="006E7C2D">
        <w:rPr>
          <w:kern w:val="22"/>
          <w:szCs w:val="22"/>
        </w:rPr>
        <w:t xml:space="preserve"> of every package based on r</w:t>
      </w:r>
      <w:r>
        <w:rPr>
          <w:kern w:val="22"/>
          <w:szCs w:val="22"/>
        </w:rPr>
        <w:t>apid risk assessment guidelines;</w:t>
      </w:r>
    </w:p>
    <w:p w:rsidR="000F7C15" w:rsidRDefault="002458AD" w:rsidP="00413295">
      <w:pPr>
        <w:pStyle w:val="Para1"/>
        <w:numPr>
          <w:ilvl w:val="0"/>
          <w:numId w:val="8"/>
        </w:numPr>
        <w:ind w:left="0" w:firstLine="709"/>
        <w:rPr>
          <w:kern w:val="22"/>
          <w:szCs w:val="22"/>
        </w:rPr>
      </w:pPr>
      <w:r>
        <w:rPr>
          <w:kern w:val="22"/>
          <w:szCs w:val="22"/>
        </w:rPr>
        <w:t xml:space="preserve">Participants suggested that the Secretariat </w:t>
      </w:r>
      <w:r w:rsidR="00F36A4D" w:rsidRPr="006E7C2D">
        <w:rPr>
          <w:kern w:val="22"/>
          <w:szCs w:val="22"/>
        </w:rPr>
        <w:t>strengthen</w:t>
      </w:r>
      <w:r w:rsidR="00F36A4D">
        <w:rPr>
          <w:kern w:val="22"/>
          <w:szCs w:val="22"/>
        </w:rPr>
        <w:t>s the</w:t>
      </w:r>
      <w:r w:rsidR="00F36A4D" w:rsidRPr="006E7C2D">
        <w:rPr>
          <w:kern w:val="22"/>
          <w:szCs w:val="22"/>
        </w:rPr>
        <w:t xml:space="preserve"> cooperation with the WCO</w:t>
      </w:r>
      <w:r w:rsidR="000F7C15">
        <w:rPr>
          <w:kern w:val="22"/>
          <w:szCs w:val="22"/>
        </w:rPr>
        <w:t xml:space="preserve">, notably in concerns facilitating </w:t>
      </w:r>
      <w:r w:rsidR="0019622C">
        <w:rPr>
          <w:kern w:val="22"/>
          <w:szCs w:val="22"/>
        </w:rPr>
        <w:t xml:space="preserve">its </w:t>
      </w:r>
      <w:r w:rsidR="000F7C15">
        <w:rPr>
          <w:kern w:val="22"/>
          <w:szCs w:val="22"/>
        </w:rPr>
        <w:t xml:space="preserve">connection with national customs </w:t>
      </w:r>
      <w:r w:rsidR="009430C5">
        <w:rPr>
          <w:kern w:val="22"/>
          <w:szCs w:val="22"/>
        </w:rPr>
        <w:t xml:space="preserve">offices, and inform </w:t>
      </w:r>
      <w:r w:rsidR="0019622C">
        <w:rPr>
          <w:kern w:val="22"/>
          <w:szCs w:val="22"/>
        </w:rPr>
        <w:t xml:space="preserve">the WCO and its tool setting bodies on the risks of </w:t>
      </w:r>
      <w:r w:rsidR="000F7C15">
        <w:rPr>
          <w:kern w:val="22"/>
          <w:szCs w:val="22"/>
        </w:rPr>
        <w:t>invasive alien species;</w:t>
      </w:r>
    </w:p>
    <w:p w:rsidR="00CC592A" w:rsidRDefault="00C57ED6" w:rsidP="00413295">
      <w:pPr>
        <w:pStyle w:val="Para1"/>
        <w:numPr>
          <w:ilvl w:val="0"/>
          <w:numId w:val="8"/>
        </w:numPr>
        <w:ind w:left="0" w:firstLine="709"/>
        <w:rPr>
          <w:kern w:val="22"/>
          <w:szCs w:val="22"/>
        </w:rPr>
      </w:pPr>
      <w:r w:rsidRPr="00C57ED6">
        <w:rPr>
          <w:kern w:val="22"/>
          <w:szCs w:val="22"/>
        </w:rPr>
        <w:t xml:space="preserve">Participants also suggested that the Secretariat serve as </w:t>
      </w:r>
      <w:r w:rsidR="000F7C15" w:rsidRPr="00C57ED6">
        <w:rPr>
          <w:kern w:val="22"/>
          <w:szCs w:val="22"/>
        </w:rPr>
        <w:t>a clearing house mechanism for info</w:t>
      </w:r>
      <w:r w:rsidRPr="00C57ED6">
        <w:rPr>
          <w:kern w:val="22"/>
          <w:szCs w:val="22"/>
        </w:rPr>
        <w:t>rmation</w:t>
      </w:r>
      <w:r w:rsidR="000F7C15" w:rsidRPr="00C57ED6">
        <w:rPr>
          <w:kern w:val="22"/>
          <w:szCs w:val="22"/>
        </w:rPr>
        <w:t xml:space="preserve">, tools, </w:t>
      </w:r>
      <w:r w:rsidRPr="00C57ED6">
        <w:rPr>
          <w:kern w:val="22"/>
          <w:szCs w:val="22"/>
        </w:rPr>
        <w:t xml:space="preserve">and </w:t>
      </w:r>
      <w:r w:rsidR="000F7C15" w:rsidRPr="00C57ED6">
        <w:rPr>
          <w:kern w:val="22"/>
          <w:szCs w:val="22"/>
        </w:rPr>
        <w:t xml:space="preserve">best </w:t>
      </w:r>
      <w:r w:rsidRPr="00C57ED6">
        <w:rPr>
          <w:kern w:val="22"/>
          <w:szCs w:val="22"/>
        </w:rPr>
        <w:t>practices related</w:t>
      </w:r>
      <w:r w:rsidR="000F7C15" w:rsidRPr="00C57ED6">
        <w:rPr>
          <w:kern w:val="22"/>
          <w:szCs w:val="22"/>
        </w:rPr>
        <w:t xml:space="preserve"> to e-comm</w:t>
      </w:r>
      <w:r w:rsidRPr="00C57ED6">
        <w:rPr>
          <w:kern w:val="22"/>
          <w:szCs w:val="22"/>
        </w:rPr>
        <w:t xml:space="preserve">erce. This mechanism could include </w:t>
      </w:r>
      <w:r>
        <w:rPr>
          <w:kern w:val="22"/>
          <w:szCs w:val="22"/>
        </w:rPr>
        <w:t xml:space="preserve">the work of </w:t>
      </w:r>
      <w:r w:rsidR="00413BFE" w:rsidRPr="00C57ED6">
        <w:rPr>
          <w:kern w:val="22"/>
          <w:szCs w:val="22"/>
        </w:rPr>
        <w:t>other organizations working with e</w:t>
      </w:r>
      <w:r w:rsidR="00726A7A">
        <w:rPr>
          <w:kern w:val="22"/>
          <w:szCs w:val="22"/>
        </w:rPr>
        <w:t>-</w:t>
      </w:r>
      <w:r w:rsidR="00413BFE" w:rsidRPr="00C57ED6">
        <w:rPr>
          <w:kern w:val="22"/>
          <w:szCs w:val="22"/>
        </w:rPr>
        <w:t>commerce such as</w:t>
      </w:r>
      <w:r w:rsidR="00726A7A">
        <w:rPr>
          <w:kern w:val="22"/>
          <w:szCs w:val="22"/>
        </w:rPr>
        <w:t xml:space="preserve"> the</w:t>
      </w:r>
      <w:r w:rsidR="00413BFE" w:rsidRPr="00C57ED6">
        <w:rPr>
          <w:kern w:val="22"/>
          <w:szCs w:val="22"/>
        </w:rPr>
        <w:t xml:space="preserve"> CITES </w:t>
      </w:r>
      <w:r>
        <w:rPr>
          <w:kern w:val="22"/>
          <w:szCs w:val="22"/>
        </w:rPr>
        <w:t xml:space="preserve">and </w:t>
      </w:r>
      <w:r w:rsidR="00726A7A">
        <w:rPr>
          <w:kern w:val="22"/>
          <w:szCs w:val="22"/>
        </w:rPr>
        <w:t xml:space="preserve">the </w:t>
      </w:r>
      <w:r>
        <w:rPr>
          <w:kern w:val="22"/>
          <w:szCs w:val="22"/>
        </w:rPr>
        <w:t>IPPC.</w:t>
      </w:r>
    </w:p>
    <w:p w:rsidR="00726A7A" w:rsidRDefault="00726A7A" w:rsidP="00413295">
      <w:pPr>
        <w:pStyle w:val="Para1"/>
        <w:numPr>
          <w:ilvl w:val="0"/>
          <w:numId w:val="8"/>
        </w:numPr>
        <w:ind w:left="0" w:firstLine="709"/>
        <w:rPr>
          <w:kern w:val="22"/>
          <w:szCs w:val="22"/>
        </w:rPr>
      </w:pPr>
      <w:r>
        <w:rPr>
          <w:kern w:val="22"/>
          <w:szCs w:val="22"/>
        </w:rPr>
        <w:t>Participants stressed that e-</w:t>
      </w:r>
      <w:r w:rsidR="00F51B84">
        <w:rPr>
          <w:kern w:val="22"/>
          <w:szCs w:val="22"/>
        </w:rPr>
        <w:t xml:space="preserve">commerce </w:t>
      </w:r>
      <w:r>
        <w:rPr>
          <w:kern w:val="22"/>
          <w:szCs w:val="22"/>
        </w:rPr>
        <w:t xml:space="preserve">continues to grow and pose pressure of invasive alien species spread. Therefore, this topic needs to be considered </w:t>
      </w:r>
      <w:r w:rsidR="00733363">
        <w:rPr>
          <w:kern w:val="22"/>
          <w:szCs w:val="22"/>
        </w:rPr>
        <w:t xml:space="preserve">continuously </w:t>
      </w:r>
      <w:r>
        <w:rPr>
          <w:kern w:val="22"/>
          <w:szCs w:val="22"/>
        </w:rPr>
        <w:t>by the Subsidiary Body on Scientific, Technical and Technological Advice.</w:t>
      </w:r>
      <w:r w:rsidR="009475E2" w:rsidRPr="009475E2">
        <w:t xml:space="preserve"> </w:t>
      </w:r>
      <w:r w:rsidR="009475E2" w:rsidRPr="009475E2">
        <w:rPr>
          <w:kern w:val="22"/>
          <w:szCs w:val="22"/>
        </w:rPr>
        <w:t>Participants discussed the advantages and disadvantages of the processes to continue work with e-commerce within the CBD</w:t>
      </w:r>
      <w:r w:rsidR="009F5C7B">
        <w:rPr>
          <w:kern w:val="22"/>
          <w:szCs w:val="22"/>
        </w:rPr>
        <w:t>,</w:t>
      </w:r>
      <w:r w:rsidR="009475E2" w:rsidRPr="009475E2">
        <w:rPr>
          <w:kern w:val="22"/>
          <w:szCs w:val="22"/>
        </w:rPr>
        <w:t xml:space="preserve"> and </w:t>
      </w:r>
      <w:r w:rsidR="009F5C7B">
        <w:rPr>
          <w:kern w:val="22"/>
          <w:szCs w:val="22"/>
        </w:rPr>
        <w:t>suggested</w:t>
      </w:r>
      <w:r w:rsidR="009475E2" w:rsidRPr="009475E2">
        <w:rPr>
          <w:kern w:val="22"/>
          <w:szCs w:val="22"/>
        </w:rPr>
        <w:t xml:space="preserve"> establishing an A</w:t>
      </w:r>
      <w:r w:rsidR="009475E2">
        <w:rPr>
          <w:kern w:val="22"/>
          <w:szCs w:val="22"/>
        </w:rPr>
        <w:t xml:space="preserve">d Hoc Technical Expert Group </w:t>
      </w:r>
      <w:r w:rsidR="009475E2" w:rsidRPr="009475E2">
        <w:rPr>
          <w:kern w:val="22"/>
          <w:szCs w:val="22"/>
        </w:rPr>
        <w:t>on</w:t>
      </w:r>
      <w:r w:rsidR="009475E2">
        <w:rPr>
          <w:kern w:val="22"/>
          <w:szCs w:val="22"/>
        </w:rPr>
        <w:t xml:space="preserve"> invasive alien species</w:t>
      </w:r>
      <w:r w:rsidR="009475E2" w:rsidRPr="009475E2">
        <w:rPr>
          <w:kern w:val="22"/>
          <w:szCs w:val="22"/>
        </w:rPr>
        <w:t xml:space="preserve"> and e-commerce</w:t>
      </w:r>
      <w:r w:rsidR="009F5C7B">
        <w:rPr>
          <w:kern w:val="22"/>
          <w:szCs w:val="22"/>
        </w:rPr>
        <w:t>, as one of options to be considered by SBSTTA</w:t>
      </w:r>
      <w:r w:rsidR="009475E2" w:rsidRPr="009475E2">
        <w:rPr>
          <w:kern w:val="22"/>
          <w:szCs w:val="22"/>
        </w:rPr>
        <w:t>.</w:t>
      </w:r>
    </w:p>
    <w:p w:rsidR="00C82B2B" w:rsidRPr="00353BF8" w:rsidRDefault="00C82B2B" w:rsidP="00353BF8">
      <w:pPr>
        <w:pStyle w:val="Heading2"/>
      </w:pPr>
      <w:r w:rsidRPr="00353BF8">
        <w:t>Item 2.3</w:t>
      </w:r>
      <w:r w:rsidR="00353BF8" w:rsidRPr="00353BF8">
        <w:t>.</w:t>
      </w:r>
      <w:r w:rsidRPr="00353BF8">
        <w:t xml:space="preserve"> Options for supplementing risk assessment and risk management standards for the use of biological control agents against invasive alien species</w:t>
      </w:r>
    </w:p>
    <w:p w:rsidR="008F3A18" w:rsidRPr="00A62DF9" w:rsidRDefault="00C57ED6" w:rsidP="002B1CFE">
      <w:pPr>
        <w:pStyle w:val="Para1"/>
        <w:numPr>
          <w:ilvl w:val="0"/>
          <w:numId w:val="6"/>
        </w:numPr>
        <w:ind w:left="0" w:firstLine="0"/>
        <w:rPr>
          <w:kern w:val="22"/>
          <w:szCs w:val="22"/>
        </w:rPr>
      </w:pPr>
      <w:r w:rsidRPr="00A62DF9">
        <w:rPr>
          <w:kern w:val="22"/>
          <w:szCs w:val="22"/>
        </w:rPr>
        <w:t>The Chair invited a representative of the Secretariat to introduce the document relevant to this agenda item</w:t>
      </w:r>
      <w:r w:rsidR="00F51B84">
        <w:rPr>
          <w:kern w:val="22"/>
          <w:szCs w:val="22"/>
        </w:rPr>
        <w:t>,</w:t>
      </w:r>
      <w:r w:rsidRPr="00A62DF9">
        <w:rPr>
          <w:kern w:val="22"/>
          <w:szCs w:val="22"/>
        </w:rPr>
        <w:t xml:space="preserve"> </w:t>
      </w:r>
      <w:r w:rsidR="00A62DF9" w:rsidRPr="00A62DF9">
        <w:rPr>
          <w:kern w:val="22"/>
          <w:szCs w:val="22"/>
        </w:rPr>
        <w:t>“Options for supplementing risk assessment and risk management standards for the use of biological control agents against invasive alien species” prepared by the Secretariat</w:t>
      </w:r>
      <w:r w:rsidR="0048529D">
        <w:rPr>
          <w:kern w:val="22"/>
          <w:szCs w:val="22"/>
        </w:rPr>
        <w:t xml:space="preserve"> and commented </w:t>
      </w:r>
      <w:r w:rsidR="0019622C">
        <w:rPr>
          <w:kern w:val="22"/>
          <w:szCs w:val="22"/>
        </w:rPr>
        <w:t xml:space="preserve">upon </w:t>
      </w:r>
      <w:r w:rsidR="0048529D">
        <w:rPr>
          <w:kern w:val="22"/>
          <w:szCs w:val="22"/>
        </w:rPr>
        <w:t>by Australia</w:t>
      </w:r>
      <w:r w:rsidR="00A62DF9" w:rsidRPr="00A62DF9">
        <w:rPr>
          <w:kern w:val="22"/>
          <w:szCs w:val="22"/>
        </w:rPr>
        <w:t xml:space="preserve">. </w:t>
      </w:r>
      <w:r w:rsidR="00F51B84">
        <w:rPr>
          <w:kern w:val="22"/>
          <w:szCs w:val="22"/>
        </w:rPr>
        <w:t xml:space="preserve">The Secretariat </w:t>
      </w:r>
      <w:r w:rsidR="00A62DF9" w:rsidRPr="00A62DF9">
        <w:rPr>
          <w:kern w:val="22"/>
          <w:szCs w:val="22"/>
        </w:rPr>
        <w:t xml:space="preserve">highlighted that the document incorporates the discussions that occurred during the </w:t>
      </w:r>
      <w:r w:rsidR="00A62DF9">
        <w:rPr>
          <w:kern w:val="22"/>
          <w:szCs w:val="22"/>
        </w:rPr>
        <w:t>eight</w:t>
      </w:r>
      <w:r w:rsidR="0048529D">
        <w:rPr>
          <w:kern w:val="22"/>
          <w:szCs w:val="22"/>
        </w:rPr>
        <w:t>h</w:t>
      </w:r>
      <w:r w:rsidR="00A62DF9">
        <w:rPr>
          <w:kern w:val="22"/>
          <w:szCs w:val="22"/>
        </w:rPr>
        <w:t xml:space="preserve"> meeting of </w:t>
      </w:r>
      <w:r w:rsidR="008F3A18" w:rsidRPr="00A62DF9">
        <w:rPr>
          <w:kern w:val="22"/>
          <w:szCs w:val="22"/>
        </w:rPr>
        <w:t>the Inter-</w:t>
      </w:r>
      <w:proofErr w:type="gramStart"/>
      <w:r w:rsidR="008F3A18" w:rsidRPr="00A62DF9">
        <w:rPr>
          <w:kern w:val="22"/>
          <w:szCs w:val="22"/>
        </w:rPr>
        <w:t>agency</w:t>
      </w:r>
      <w:proofErr w:type="gramEnd"/>
      <w:r w:rsidR="008F3A18" w:rsidRPr="00A62DF9">
        <w:rPr>
          <w:kern w:val="22"/>
          <w:szCs w:val="22"/>
        </w:rPr>
        <w:t xml:space="preserve"> Liaison Group on Invasive Alien Species</w:t>
      </w:r>
      <w:r w:rsidR="0048529D">
        <w:rPr>
          <w:kern w:val="22"/>
          <w:szCs w:val="22"/>
        </w:rPr>
        <w:t xml:space="preserve"> on Import Risk Analysis </w:t>
      </w:r>
      <w:r w:rsidR="0006588F">
        <w:rPr>
          <w:kern w:val="22"/>
          <w:szCs w:val="22"/>
        </w:rPr>
        <w:t xml:space="preserve">standards </w:t>
      </w:r>
      <w:r w:rsidR="0048529D">
        <w:rPr>
          <w:kern w:val="22"/>
          <w:szCs w:val="22"/>
        </w:rPr>
        <w:t>established by the OIE on pathogenic agents against animals</w:t>
      </w:r>
      <w:r w:rsidR="008F3A18" w:rsidRPr="00A62DF9">
        <w:rPr>
          <w:kern w:val="22"/>
          <w:szCs w:val="22"/>
        </w:rPr>
        <w:t>.</w:t>
      </w:r>
    </w:p>
    <w:p w:rsidR="008F3A18" w:rsidRDefault="008F3A18" w:rsidP="002B1CFE">
      <w:pPr>
        <w:pStyle w:val="Para1"/>
        <w:numPr>
          <w:ilvl w:val="0"/>
          <w:numId w:val="6"/>
        </w:numPr>
        <w:ind w:left="0" w:firstLine="0"/>
        <w:rPr>
          <w:kern w:val="22"/>
          <w:szCs w:val="22"/>
        </w:rPr>
      </w:pPr>
      <w:r>
        <w:rPr>
          <w:kern w:val="22"/>
          <w:szCs w:val="22"/>
        </w:rPr>
        <w:t xml:space="preserve">Participants </w:t>
      </w:r>
      <w:r w:rsidR="00A62DF9">
        <w:rPr>
          <w:kern w:val="22"/>
          <w:szCs w:val="22"/>
        </w:rPr>
        <w:t>were then</w:t>
      </w:r>
      <w:r>
        <w:rPr>
          <w:kern w:val="22"/>
          <w:szCs w:val="22"/>
        </w:rPr>
        <w:t xml:space="preserve"> invited to </w:t>
      </w:r>
      <w:r w:rsidR="00C82B2B">
        <w:rPr>
          <w:kern w:val="22"/>
          <w:szCs w:val="22"/>
        </w:rPr>
        <w:t>provide</w:t>
      </w:r>
      <w:r>
        <w:rPr>
          <w:kern w:val="22"/>
          <w:szCs w:val="22"/>
        </w:rPr>
        <w:t xml:space="preserve"> additional information </w:t>
      </w:r>
      <w:r w:rsidR="008D01D2">
        <w:rPr>
          <w:kern w:val="22"/>
          <w:szCs w:val="22"/>
        </w:rPr>
        <w:t xml:space="preserve">relevant </w:t>
      </w:r>
      <w:r>
        <w:rPr>
          <w:kern w:val="22"/>
          <w:szCs w:val="22"/>
        </w:rPr>
        <w:t xml:space="preserve">to risk assessment and risk </w:t>
      </w:r>
      <w:r w:rsidRPr="00543D41">
        <w:rPr>
          <w:kern w:val="22"/>
          <w:szCs w:val="22"/>
        </w:rPr>
        <w:t>management</w:t>
      </w:r>
      <w:r w:rsidR="008D01D2" w:rsidRPr="00543D41">
        <w:rPr>
          <w:kern w:val="22"/>
          <w:szCs w:val="22"/>
        </w:rPr>
        <w:t xml:space="preserve"> </w:t>
      </w:r>
      <w:r w:rsidRPr="00543D41">
        <w:rPr>
          <w:kern w:val="22"/>
          <w:szCs w:val="22"/>
        </w:rPr>
        <w:t>of biological</w:t>
      </w:r>
      <w:r>
        <w:rPr>
          <w:kern w:val="22"/>
          <w:szCs w:val="22"/>
        </w:rPr>
        <w:t xml:space="preserve"> control </w:t>
      </w:r>
      <w:r w:rsidR="008D01D2">
        <w:rPr>
          <w:kern w:val="22"/>
          <w:szCs w:val="22"/>
        </w:rPr>
        <w:t>agents</w:t>
      </w:r>
      <w:r>
        <w:rPr>
          <w:kern w:val="22"/>
          <w:szCs w:val="22"/>
        </w:rPr>
        <w:t>.</w:t>
      </w:r>
      <w:r w:rsidR="00A62DF9">
        <w:rPr>
          <w:kern w:val="22"/>
          <w:szCs w:val="22"/>
        </w:rPr>
        <w:t xml:space="preserve"> As a result, participants considered</w:t>
      </w:r>
      <w:r w:rsidR="00726A7A">
        <w:rPr>
          <w:kern w:val="22"/>
          <w:szCs w:val="22"/>
        </w:rPr>
        <w:t>, as follows</w:t>
      </w:r>
      <w:r w:rsidR="00A62DF9">
        <w:rPr>
          <w:kern w:val="22"/>
          <w:szCs w:val="22"/>
        </w:rPr>
        <w:t>:</w:t>
      </w:r>
    </w:p>
    <w:p w:rsidR="00994AB3" w:rsidRDefault="00A62DF9" w:rsidP="00413295">
      <w:pPr>
        <w:pStyle w:val="Para1"/>
        <w:numPr>
          <w:ilvl w:val="0"/>
          <w:numId w:val="46"/>
        </w:numPr>
        <w:ind w:left="0" w:firstLine="709"/>
        <w:rPr>
          <w:kern w:val="22"/>
          <w:szCs w:val="22"/>
        </w:rPr>
      </w:pPr>
      <w:r w:rsidRPr="00A62DF9">
        <w:rPr>
          <w:kern w:val="22"/>
          <w:szCs w:val="22"/>
        </w:rPr>
        <w:lastRenderedPageBreak/>
        <w:t xml:space="preserve">Representatives of Canada suggested </w:t>
      </w:r>
      <w:r w:rsidR="0019622C">
        <w:rPr>
          <w:kern w:val="22"/>
          <w:szCs w:val="22"/>
        </w:rPr>
        <w:t xml:space="preserve">that the </w:t>
      </w:r>
      <w:r w:rsidRPr="00A62DF9">
        <w:rPr>
          <w:kern w:val="22"/>
          <w:szCs w:val="22"/>
        </w:rPr>
        <w:t xml:space="preserve">Secretariat </w:t>
      </w:r>
      <w:r>
        <w:rPr>
          <w:kern w:val="22"/>
          <w:szCs w:val="22"/>
        </w:rPr>
        <w:t>include</w:t>
      </w:r>
      <w:r w:rsidRPr="00A62DF9">
        <w:rPr>
          <w:kern w:val="22"/>
          <w:szCs w:val="22"/>
        </w:rPr>
        <w:t xml:space="preserve"> the risk assessment methods developed by the North American Plant Protection Organization</w:t>
      </w:r>
      <w:r w:rsidR="00994AB3" w:rsidRPr="008B1253">
        <w:rPr>
          <w:rStyle w:val="FootnoteReference"/>
          <w:kern w:val="22"/>
          <w:szCs w:val="22"/>
          <w:u w:val="none"/>
          <w:vertAlign w:val="superscript"/>
        </w:rPr>
        <w:footnoteReference w:id="10"/>
      </w:r>
      <w:r w:rsidRPr="008B1253">
        <w:rPr>
          <w:kern w:val="22"/>
          <w:szCs w:val="22"/>
        </w:rPr>
        <w:t>,</w:t>
      </w:r>
      <w:r w:rsidRPr="00A62DF9">
        <w:rPr>
          <w:kern w:val="22"/>
          <w:szCs w:val="22"/>
        </w:rPr>
        <w:t xml:space="preserve"> a regional initiative that includes Canada, Mexico and US</w:t>
      </w:r>
      <w:r w:rsidR="00726A7A">
        <w:rPr>
          <w:kern w:val="22"/>
          <w:szCs w:val="22"/>
        </w:rPr>
        <w:t>A</w:t>
      </w:r>
      <w:r w:rsidR="00994AB3">
        <w:rPr>
          <w:kern w:val="22"/>
          <w:szCs w:val="22"/>
        </w:rPr>
        <w:t>, to the document;</w:t>
      </w:r>
    </w:p>
    <w:p w:rsidR="00994AB3" w:rsidRDefault="00994AB3" w:rsidP="00413295">
      <w:pPr>
        <w:pStyle w:val="Para1"/>
        <w:numPr>
          <w:ilvl w:val="0"/>
          <w:numId w:val="46"/>
        </w:numPr>
        <w:ind w:left="0" w:firstLine="709"/>
        <w:rPr>
          <w:kern w:val="22"/>
          <w:szCs w:val="22"/>
        </w:rPr>
      </w:pPr>
      <w:r w:rsidRPr="00994AB3">
        <w:rPr>
          <w:kern w:val="22"/>
          <w:szCs w:val="22"/>
        </w:rPr>
        <w:t xml:space="preserve">Mr. van </w:t>
      </w:r>
      <w:proofErr w:type="spellStart"/>
      <w:r w:rsidRPr="00994AB3">
        <w:rPr>
          <w:kern w:val="22"/>
          <w:szCs w:val="22"/>
        </w:rPr>
        <w:t>Opzeeland</w:t>
      </w:r>
      <w:proofErr w:type="spellEnd"/>
      <w:r w:rsidRPr="00994AB3">
        <w:rPr>
          <w:kern w:val="22"/>
          <w:szCs w:val="22"/>
        </w:rPr>
        <w:t xml:space="preserve">, New Zealand, </w:t>
      </w:r>
      <w:r w:rsidR="00F36AEA">
        <w:rPr>
          <w:kern w:val="22"/>
          <w:szCs w:val="22"/>
        </w:rPr>
        <w:t>noted that New Zealand</w:t>
      </w:r>
      <w:r>
        <w:rPr>
          <w:kern w:val="22"/>
          <w:szCs w:val="22"/>
        </w:rPr>
        <w:t xml:space="preserve"> incorporates </w:t>
      </w:r>
      <w:r w:rsidR="00F36AEA">
        <w:rPr>
          <w:kern w:val="22"/>
          <w:szCs w:val="22"/>
        </w:rPr>
        <w:t xml:space="preserve">a </w:t>
      </w:r>
      <w:r w:rsidR="0005041F">
        <w:rPr>
          <w:kern w:val="22"/>
          <w:szCs w:val="22"/>
        </w:rPr>
        <w:t xml:space="preserve">qualitative risk assessment </w:t>
      </w:r>
      <w:r>
        <w:rPr>
          <w:kern w:val="22"/>
          <w:szCs w:val="22"/>
        </w:rPr>
        <w:t xml:space="preserve">approach </w:t>
      </w:r>
      <w:r w:rsidR="00F36AEA">
        <w:rPr>
          <w:kern w:val="22"/>
          <w:szCs w:val="22"/>
        </w:rPr>
        <w:t xml:space="preserve">which </w:t>
      </w:r>
      <w:r w:rsidR="00A62DF9" w:rsidRPr="00994AB3">
        <w:rPr>
          <w:kern w:val="22"/>
          <w:szCs w:val="22"/>
        </w:rPr>
        <w:t>assess</w:t>
      </w:r>
      <w:r w:rsidR="00F36AEA">
        <w:rPr>
          <w:kern w:val="22"/>
          <w:szCs w:val="22"/>
        </w:rPr>
        <w:t>es the</w:t>
      </w:r>
      <w:r w:rsidR="00A62DF9" w:rsidRPr="00994AB3">
        <w:rPr>
          <w:kern w:val="22"/>
          <w:szCs w:val="22"/>
        </w:rPr>
        <w:t xml:space="preserve"> risks, costs and benefits of classica</w:t>
      </w:r>
      <w:r>
        <w:rPr>
          <w:kern w:val="22"/>
          <w:szCs w:val="22"/>
        </w:rPr>
        <w:t>l biological control programmes</w:t>
      </w:r>
      <w:r w:rsidR="004971BD">
        <w:rPr>
          <w:rStyle w:val="FootnoteReference"/>
          <w:kern w:val="22"/>
          <w:szCs w:val="22"/>
        </w:rPr>
        <w:footnoteReference w:id="11"/>
      </w:r>
      <w:r w:rsidR="00F36AEA">
        <w:rPr>
          <w:kern w:val="22"/>
          <w:szCs w:val="22"/>
        </w:rPr>
        <w:t>.</w:t>
      </w:r>
      <w:r>
        <w:rPr>
          <w:kern w:val="22"/>
          <w:szCs w:val="22"/>
        </w:rPr>
        <w:t xml:space="preserve"> </w:t>
      </w:r>
    </w:p>
    <w:p w:rsidR="00042B7B" w:rsidRDefault="00994AB3" w:rsidP="00413295">
      <w:pPr>
        <w:pStyle w:val="Para1"/>
        <w:numPr>
          <w:ilvl w:val="0"/>
          <w:numId w:val="46"/>
        </w:numPr>
        <w:ind w:left="0" w:firstLine="709"/>
        <w:rPr>
          <w:kern w:val="22"/>
          <w:szCs w:val="22"/>
        </w:rPr>
      </w:pPr>
      <w:r>
        <w:rPr>
          <w:kern w:val="22"/>
          <w:szCs w:val="22"/>
        </w:rPr>
        <w:t>Participants highlighted the importance of building the c</w:t>
      </w:r>
      <w:r w:rsidR="00A62DF9" w:rsidRPr="00994AB3">
        <w:rPr>
          <w:kern w:val="22"/>
          <w:szCs w:val="22"/>
        </w:rPr>
        <w:t xml:space="preserve">apacity to conduct non-target risk </w:t>
      </w:r>
      <w:r w:rsidR="0019622C">
        <w:rPr>
          <w:kern w:val="22"/>
          <w:szCs w:val="22"/>
        </w:rPr>
        <w:t xml:space="preserve">assessments </w:t>
      </w:r>
      <w:r>
        <w:rPr>
          <w:kern w:val="22"/>
          <w:szCs w:val="22"/>
        </w:rPr>
        <w:t>in developing countries;</w:t>
      </w:r>
    </w:p>
    <w:p w:rsidR="00042B7B" w:rsidRDefault="00042B7B" w:rsidP="00413295">
      <w:pPr>
        <w:pStyle w:val="Para1"/>
        <w:numPr>
          <w:ilvl w:val="0"/>
          <w:numId w:val="46"/>
        </w:numPr>
        <w:ind w:left="0" w:firstLine="709"/>
        <w:rPr>
          <w:kern w:val="22"/>
          <w:szCs w:val="22"/>
        </w:rPr>
      </w:pPr>
      <w:r>
        <w:rPr>
          <w:kern w:val="22"/>
          <w:szCs w:val="22"/>
        </w:rPr>
        <w:t xml:space="preserve">Participants </w:t>
      </w:r>
      <w:r w:rsidRPr="00042B7B">
        <w:rPr>
          <w:kern w:val="22"/>
          <w:szCs w:val="22"/>
        </w:rPr>
        <w:t xml:space="preserve">suggested that </w:t>
      </w:r>
      <w:r>
        <w:rPr>
          <w:kern w:val="22"/>
          <w:szCs w:val="22"/>
        </w:rPr>
        <w:t>the document</w:t>
      </w:r>
      <w:r w:rsidRPr="00042B7B">
        <w:rPr>
          <w:kern w:val="22"/>
          <w:szCs w:val="22"/>
        </w:rPr>
        <w:t xml:space="preserve"> includes examples and best practices worldwide</w:t>
      </w:r>
      <w:r>
        <w:rPr>
          <w:kern w:val="22"/>
          <w:szCs w:val="22"/>
        </w:rPr>
        <w:t>;</w:t>
      </w:r>
    </w:p>
    <w:p w:rsidR="00A62DF9" w:rsidRPr="00042B7B" w:rsidRDefault="00042B7B" w:rsidP="00042B7B">
      <w:pPr>
        <w:pStyle w:val="Para1"/>
        <w:numPr>
          <w:ilvl w:val="0"/>
          <w:numId w:val="6"/>
        </w:numPr>
        <w:ind w:left="0" w:firstLine="0"/>
        <w:rPr>
          <w:kern w:val="22"/>
          <w:szCs w:val="22"/>
        </w:rPr>
      </w:pPr>
      <w:r>
        <w:rPr>
          <w:kern w:val="22"/>
          <w:szCs w:val="22"/>
        </w:rPr>
        <w:t xml:space="preserve">Participants </w:t>
      </w:r>
      <w:r w:rsidR="00A62DF9" w:rsidRPr="00042B7B">
        <w:rPr>
          <w:kern w:val="22"/>
          <w:szCs w:val="22"/>
        </w:rPr>
        <w:t xml:space="preserve">suggested </w:t>
      </w:r>
      <w:r w:rsidR="00A943AD" w:rsidRPr="00042B7B">
        <w:rPr>
          <w:kern w:val="22"/>
          <w:szCs w:val="22"/>
        </w:rPr>
        <w:t>reporting</w:t>
      </w:r>
      <w:r w:rsidR="00A62DF9" w:rsidRPr="00042B7B">
        <w:rPr>
          <w:kern w:val="22"/>
          <w:szCs w:val="22"/>
        </w:rPr>
        <w:t xml:space="preserve"> </w:t>
      </w:r>
      <w:r>
        <w:rPr>
          <w:kern w:val="22"/>
          <w:szCs w:val="22"/>
        </w:rPr>
        <w:t xml:space="preserve">this item </w:t>
      </w:r>
      <w:r w:rsidR="00A62DF9" w:rsidRPr="00042B7B">
        <w:rPr>
          <w:kern w:val="22"/>
          <w:szCs w:val="22"/>
        </w:rPr>
        <w:t xml:space="preserve">to SBSTTA as progress on </w:t>
      </w:r>
      <w:r w:rsidR="00726A7A">
        <w:rPr>
          <w:kern w:val="22"/>
          <w:szCs w:val="22"/>
        </w:rPr>
        <w:t xml:space="preserve">the </w:t>
      </w:r>
      <w:r w:rsidR="00A62DF9" w:rsidRPr="00042B7B">
        <w:rPr>
          <w:kern w:val="22"/>
          <w:szCs w:val="22"/>
        </w:rPr>
        <w:t>summary of concerns annexed to decision XIII/13</w:t>
      </w:r>
      <w:r>
        <w:rPr>
          <w:kern w:val="22"/>
          <w:szCs w:val="22"/>
        </w:rPr>
        <w:t>.</w:t>
      </w:r>
    </w:p>
    <w:p w:rsidR="00C82B2B" w:rsidRPr="00353BF8" w:rsidRDefault="00C82B2B" w:rsidP="00353BF8">
      <w:pPr>
        <w:pStyle w:val="Heading2"/>
      </w:pPr>
      <w:r w:rsidRPr="00353BF8">
        <w:t>Item 2.4</w:t>
      </w:r>
      <w:r w:rsidR="00353BF8">
        <w:t>.</w:t>
      </w:r>
      <w:r w:rsidRPr="00353BF8">
        <w:t xml:space="preserve"> Technical guidance for conducting cost-benefit and cost-effectiveness analyses</w:t>
      </w:r>
    </w:p>
    <w:p w:rsidR="009B6809" w:rsidRPr="00726A7A" w:rsidRDefault="00A943AD" w:rsidP="00726A7A">
      <w:pPr>
        <w:pStyle w:val="Para1"/>
        <w:numPr>
          <w:ilvl w:val="0"/>
          <w:numId w:val="6"/>
        </w:numPr>
        <w:ind w:left="0" w:firstLine="0"/>
        <w:rPr>
          <w:kern w:val="22"/>
          <w:szCs w:val="22"/>
        </w:rPr>
      </w:pPr>
      <w:r w:rsidRPr="00A943AD">
        <w:rPr>
          <w:kern w:val="22"/>
          <w:szCs w:val="22"/>
        </w:rPr>
        <w:t xml:space="preserve">The Chair invited a representative of the Secretariat </w:t>
      </w:r>
      <w:r>
        <w:rPr>
          <w:kern w:val="22"/>
          <w:szCs w:val="22"/>
        </w:rPr>
        <w:t xml:space="preserve">initiate the discussion on this agenda item and </w:t>
      </w:r>
      <w:r w:rsidRPr="00726A7A">
        <w:rPr>
          <w:kern w:val="22"/>
          <w:szCs w:val="22"/>
        </w:rPr>
        <w:t xml:space="preserve">invited Mr. Smith, IUCN, to present a proposed framework to describe the costs and benefits of </w:t>
      </w:r>
      <w:r w:rsidR="0006588F" w:rsidRPr="00726A7A">
        <w:rPr>
          <w:kern w:val="22"/>
          <w:szCs w:val="22"/>
        </w:rPr>
        <w:t xml:space="preserve">invasive alien species </w:t>
      </w:r>
      <w:r w:rsidRPr="00726A7A">
        <w:rPr>
          <w:kern w:val="22"/>
          <w:szCs w:val="22"/>
        </w:rPr>
        <w:t xml:space="preserve">management </w:t>
      </w:r>
      <w:r w:rsidR="0005041F" w:rsidRPr="00726A7A">
        <w:rPr>
          <w:kern w:val="22"/>
          <w:szCs w:val="22"/>
        </w:rPr>
        <w:t xml:space="preserve">that was contributed from IUCN </w:t>
      </w:r>
      <w:r w:rsidR="00931847">
        <w:rPr>
          <w:kern w:val="22"/>
          <w:szCs w:val="22"/>
        </w:rPr>
        <w:t xml:space="preserve">ISSG </w:t>
      </w:r>
      <w:r w:rsidR="0005041F" w:rsidRPr="00726A7A">
        <w:rPr>
          <w:kern w:val="22"/>
          <w:szCs w:val="22"/>
        </w:rPr>
        <w:t>members</w:t>
      </w:r>
      <w:r w:rsidRPr="00726A7A">
        <w:rPr>
          <w:kern w:val="22"/>
          <w:szCs w:val="22"/>
        </w:rPr>
        <w:t>.</w:t>
      </w:r>
      <w:r w:rsidR="00823E46" w:rsidRPr="00726A7A">
        <w:rPr>
          <w:kern w:val="22"/>
          <w:szCs w:val="22"/>
        </w:rPr>
        <w:t xml:space="preserve"> </w:t>
      </w:r>
      <w:r w:rsidR="0006588F">
        <w:rPr>
          <w:kern w:val="22"/>
          <w:szCs w:val="22"/>
        </w:rPr>
        <w:t>H</w:t>
      </w:r>
      <w:r w:rsidR="00733363">
        <w:rPr>
          <w:kern w:val="22"/>
          <w:szCs w:val="22"/>
        </w:rPr>
        <w:t>e</w:t>
      </w:r>
      <w:r w:rsidR="00823E46" w:rsidRPr="00726A7A">
        <w:rPr>
          <w:kern w:val="22"/>
          <w:szCs w:val="22"/>
        </w:rPr>
        <w:t xml:space="preserve"> stressed that the proposed framework is quite comprehensive and was based on many studies and reports on costs and benefits of managing invasive alien species. A chart illustrating the framework </w:t>
      </w:r>
      <w:r w:rsidR="00CA2913" w:rsidRPr="00726A7A">
        <w:rPr>
          <w:kern w:val="22"/>
          <w:szCs w:val="22"/>
        </w:rPr>
        <w:t>i</w:t>
      </w:r>
      <w:r w:rsidR="00CA2913">
        <w:rPr>
          <w:kern w:val="22"/>
          <w:szCs w:val="22"/>
        </w:rPr>
        <w:t>s</w:t>
      </w:r>
      <w:r w:rsidR="00CA2913" w:rsidRPr="00726A7A">
        <w:rPr>
          <w:kern w:val="22"/>
          <w:szCs w:val="22"/>
        </w:rPr>
        <w:t xml:space="preserve"> </w:t>
      </w:r>
      <w:r w:rsidR="00823E46" w:rsidRPr="00726A7A">
        <w:rPr>
          <w:kern w:val="22"/>
          <w:szCs w:val="22"/>
        </w:rPr>
        <w:t>included in annex I</w:t>
      </w:r>
      <w:r w:rsidR="00726A7A">
        <w:rPr>
          <w:kern w:val="22"/>
          <w:szCs w:val="22"/>
        </w:rPr>
        <w:t>II.</w:t>
      </w:r>
    </w:p>
    <w:p w:rsidR="00E84AB2" w:rsidRPr="00E84AB2" w:rsidRDefault="00E84AB2" w:rsidP="004C4C7C">
      <w:pPr>
        <w:pStyle w:val="Para1"/>
        <w:numPr>
          <w:ilvl w:val="0"/>
          <w:numId w:val="6"/>
        </w:numPr>
        <w:ind w:left="0" w:firstLine="0"/>
        <w:rPr>
          <w:kern w:val="22"/>
          <w:szCs w:val="22"/>
        </w:rPr>
      </w:pPr>
      <w:r w:rsidRPr="00E84AB2">
        <w:rPr>
          <w:kern w:val="22"/>
          <w:szCs w:val="22"/>
        </w:rPr>
        <w:t>Participants were then invited to comment on the framework and discuss the proposal developed by IUCN to elaborate an information document on “progress of developing technical guidance on the application of cost-benefit analysis for invasive alien species management”. Accordingly, participants noted the usefulness of the framework for different needs of the Parties such as the prioritization of pathways and the analysis of Aichi Target 9 achievement, as well as assessing the effectiveness of national legislation and policies.; To be able to write technical guidance on cost-benefit and cost-effectiveness analyses, participants felt that a continuation of the work is needed, as well as additional expert technical workshops to be convened.</w:t>
      </w:r>
    </w:p>
    <w:p w:rsidR="00C82B2B" w:rsidRPr="00353BF8" w:rsidRDefault="00C82B2B" w:rsidP="00353BF8">
      <w:pPr>
        <w:pStyle w:val="Heading2"/>
      </w:pPr>
      <w:r w:rsidRPr="00353BF8">
        <w:t>Item 2.5</w:t>
      </w:r>
      <w:r w:rsidR="00353BF8" w:rsidRPr="00353BF8">
        <w:t>.</w:t>
      </w:r>
      <w:r w:rsidRPr="00353BF8">
        <w:t xml:space="preserve"> Consideration of</w:t>
      </w:r>
      <w:r w:rsidR="00553595" w:rsidRPr="00353BF8">
        <w:t xml:space="preserve"> </w:t>
      </w:r>
      <w:r w:rsidRPr="00353BF8">
        <w:t>the impacts of climate change, natural disasters and land-use change</w:t>
      </w:r>
      <w:r w:rsidR="0057552F" w:rsidRPr="00353BF8">
        <w:rPr>
          <w:rFonts w:hint="eastAsia"/>
        </w:rPr>
        <w:t xml:space="preserve"> </w:t>
      </w:r>
      <w:r w:rsidRPr="00353BF8">
        <w:t>on the management of biological invasions</w:t>
      </w:r>
    </w:p>
    <w:p w:rsidR="009B6809" w:rsidRDefault="009B6809" w:rsidP="009B6809">
      <w:pPr>
        <w:pStyle w:val="Para1"/>
        <w:numPr>
          <w:ilvl w:val="0"/>
          <w:numId w:val="6"/>
        </w:numPr>
        <w:ind w:left="0" w:firstLine="0"/>
        <w:rPr>
          <w:kern w:val="22"/>
          <w:szCs w:val="22"/>
        </w:rPr>
      </w:pPr>
      <w:r>
        <w:rPr>
          <w:kern w:val="22"/>
          <w:szCs w:val="22"/>
        </w:rPr>
        <w:t>The Chair invited r</w:t>
      </w:r>
      <w:r w:rsidRPr="009B6809">
        <w:rPr>
          <w:kern w:val="22"/>
          <w:szCs w:val="22"/>
        </w:rPr>
        <w:t xml:space="preserve">epresentatives </w:t>
      </w:r>
      <w:r>
        <w:rPr>
          <w:kern w:val="22"/>
          <w:szCs w:val="22"/>
        </w:rPr>
        <w:t xml:space="preserve">of IUCN </w:t>
      </w:r>
      <w:r w:rsidRPr="009B6809">
        <w:rPr>
          <w:kern w:val="22"/>
          <w:szCs w:val="22"/>
        </w:rPr>
        <w:t xml:space="preserve">and the Global Biodiversity Information Facility </w:t>
      </w:r>
      <w:r>
        <w:rPr>
          <w:kern w:val="22"/>
          <w:szCs w:val="22"/>
        </w:rPr>
        <w:t>to present</w:t>
      </w:r>
      <w:r w:rsidRPr="009B6809">
        <w:rPr>
          <w:kern w:val="22"/>
          <w:szCs w:val="22"/>
        </w:rPr>
        <w:t xml:space="preserve"> their work on the impacts of climate change, natural disasters and land-use change, on the management of biological invasions in collaboration with the Secretariat and other organizations.</w:t>
      </w:r>
      <w:r>
        <w:rPr>
          <w:kern w:val="22"/>
          <w:szCs w:val="22"/>
        </w:rPr>
        <w:t xml:space="preserve"> Both presentations focused on the progress of data on invasive alien species and climate change.</w:t>
      </w:r>
    </w:p>
    <w:p w:rsidR="00785F66" w:rsidRDefault="009B6809" w:rsidP="00785F66">
      <w:pPr>
        <w:pStyle w:val="Para1"/>
        <w:numPr>
          <w:ilvl w:val="0"/>
          <w:numId w:val="6"/>
        </w:numPr>
        <w:ind w:left="0" w:firstLine="0"/>
        <w:rPr>
          <w:kern w:val="22"/>
          <w:szCs w:val="22"/>
        </w:rPr>
      </w:pPr>
      <w:r>
        <w:rPr>
          <w:kern w:val="22"/>
          <w:szCs w:val="22"/>
        </w:rPr>
        <w:t xml:space="preserve">Specifically, </w:t>
      </w:r>
      <w:r w:rsidR="00726A7A">
        <w:rPr>
          <w:kern w:val="22"/>
          <w:szCs w:val="22"/>
        </w:rPr>
        <w:t>a representative of</w:t>
      </w:r>
      <w:r>
        <w:rPr>
          <w:kern w:val="22"/>
          <w:szCs w:val="22"/>
        </w:rPr>
        <w:t xml:space="preserve"> IUCN, provided an overview of the Global Register of Introduced and Invasive Alien Species</w:t>
      </w:r>
      <w:r w:rsidR="00785F66">
        <w:rPr>
          <w:kern w:val="22"/>
          <w:szCs w:val="22"/>
        </w:rPr>
        <w:t xml:space="preserve"> (GRIIS)</w:t>
      </w:r>
      <w:r>
        <w:rPr>
          <w:kern w:val="22"/>
          <w:szCs w:val="22"/>
        </w:rPr>
        <w:t xml:space="preserve">, the Global Invasive Species Database, </w:t>
      </w:r>
      <w:r w:rsidR="00785F66">
        <w:rPr>
          <w:kern w:val="22"/>
          <w:szCs w:val="22"/>
        </w:rPr>
        <w:t xml:space="preserve">and </w:t>
      </w:r>
      <w:r>
        <w:rPr>
          <w:kern w:val="22"/>
          <w:szCs w:val="22"/>
        </w:rPr>
        <w:t>the Environmental Impact Classification of Alien Taxa</w:t>
      </w:r>
      <w:r w:rsidR="000D468B">
        <w:rPr>
          <w:kern w:val="22"/>
          <w:szCs w:val="22"/>
        </w:rPr>
        <w:t xml:space="preserve">, also </w:t>
      </w:r>
      <w:r w:rsidR="00CA2913">
        <w:rPr>
          <w:kern w:val="22"/>
          <w:szCs w:val="22"/>
        </w:rPr>
        <w:t>illustrating</w:t>
      </w:r>
      <w:r w:rsidR="000D468B">
        <w:rPr>
          <w:kern w:val="22"/>
          <w:szCs w:val="22"/>
        </w:rPr>
        <w:t xml:space="preserve"> how all these products are interlinked, and </w:t>
      </w:r>
      <w:r w:rsidR="00CA2913">
        <w:rPr>
          <w:kern w:val="22"/>
          <w:szCs w:val="22"/>
        </w:rPr>
        <w:t xml:space="preserve">interconnected </w:t>
      </w:r>
      <w:r w:rsidR="000D468B">
        <w:rPr>
          <w:kern w:val="22"/>
          <w:szCs w:val="22"/>
        </w:rPr>
        <w:t>to the IUCN Red List</w:t>
      </w:r>
      <w:r w:rsidR="00CA2913">
        <w:rPr>
          <w:kern w:val="22"/>
          <w:szCs w:val="22"/>
        </w:rPr>
        <w:t>, and can be used to prioritise species for management and pathways for prevention</w:t>
      </w:r>
      <w:r w:rsidR="00785F66">
        <w:rPr>
          <w:kern w:val="22"/>
          <w:szCs w:val="22"/>
        </w:rPr>
        <w:t>.</w:t>
      </w:r>
      <w:r w:rsidR="008B1253">
        <w:rPr>
          <w:kern w:val="22"/>
          <w:szCs w:val="22"/>
        </w:rPr>
        <w:t xml:space="preserve"> He illustrated </w:t>
      </w:r>
      <w:r w:rsidR="000D468B">
        <w:rPr>
          <w:kern w:val="22"/>
          <w:szCs w:val="22"/>
        </w:rPr>
        <w:t>progresses in assessing socio-</w:t>
      </w:r>
      <w:r w:rsidR="008B1253">
        <w:rPr>
          <w:kern w:val="22"/>
          <w:szCs w:val="22"/>
        </w:rPr>
        <w:t>economic losses caused by invasive alien species</w:t>
      </w:r>
      <w:r w:rsidR="001A210A">
        <w:rPr>
          <w:kern w:val="22"/>
          <w:szCs w:val="22"/>
        </w:rPr>
        <w:t xml:space="preserve">, </w:t>
      </w:r>
      <w:r w:rsidR="000D468B">
        <w:rPr>
          <w:kern w:val="22"/>
          <w:szCs w:val="22"/>
        </w:rPr>
        <w:t>based on innovative methodologies yet to be finalised</w:t>
      </w:r>
      <w:r w:rsidR="00303711" w:rsidRPr="00CA2913">
        <w:rPr>
          <w:rStyle w:val="FootnoteReference"/>
          <w:kern w:val="22"/>
          <w:vertAlign w:val="superscript"/>
        </w:rPr>
        <w:footnoteReference w:id="12"/>
      </w:r>
      <w:r w:rsidR="001A210A">
        <w:rPr>
          <w:kern w:val="22"/>
          <w:szCs w:val="22"/>
        </w:rPr>
        <w:t>.</w:t>
      </w:r>
    </w:p>
    <w:p w:rsidR="00397C1C" w:rsidRDefault="001A210A" w:rsidP="00410F2F">
      <w:pPr>
        <w:pStyle w:val="Para1"/>
        <w:numPr>
          <w:ilvl w:val="0"/>
          <w:numId w:val="6"/>
        </w:numPr>
        <w:ind w:left="0" w:firstLine="0"/>
        <w:rPr>
          <w:kern w:val="22"/>
          <w:szCs w:val="22"/>
        </w:rPr>
      </w:pPr>
      <w:r>
        <w:rPr>
          <w:kern w:val="22"/>
          <w:szCs w:val="22"/>
        </w:rPr>
        <w:t>The Secretariat added that it has used data from</w:t>
      </w:r>
      <w:r w:rsidRPr="001A210A">
        <w:rPr>
          <w:kern w:val="22"/>
          <w:szCs w:val="22"/>
        </w:rPr>
        <w:t xml:space="preserve"> GRIIS to produce country dossiers </w:t>
      </w:r>
      <w:r>
        <w:rPr>
          <w:kern w:val="22"/>
          <w:szCs w:val="22"/>
        </w:rPr>
        <w:t>on the status of invasive alien species in the</w:t>
      </w:r>
      <w:r w:rsidRPr="001A210A">
        <w:rPr>
          <w:kern w:val="22"/>
          <w:szCs w:val="22"/>
        </w:rPr>
        <w:t xml:space="preserve"> Caribbean</w:t>
      </w:r>
      <w:r w:rsidR="0006588F">
        <w:rPr>
          <w:kern w:val="22"/>
          <w:szCs w:val="22"/>
        </w:rPr>
        <w:t xml:space="preserve"> to facilitate prioritization of invasive alien species, and selecting priority pathways and management measures in the small island developing States</w:t>
      </w:r>
      <w:r>
        <w:rPr>
          <w:kern w:val="22"/>
          <w:szCs w:val="22"/>
        </w:rPr>
        <w:t>.</w:t>
      </w:r>
    </w:p>
    <w:p w:rsidR="00410F2F" w:rsidRPr="00397C1C" w:rsidRDefault="00785F66" w:rsidP="00410F2F">
      <w:pPr>
        <w:pStyle w:val="Para1"/>
        <w:numPr>
          <w:ilvl w:val="0"/>
          <w:numId w:val="6"/>
        </w:numPr>
        <w:ind w:left="0" w:firstLine="0"/>
        <w:rPr>
          <w:kern w:val="22"/>
          <w:szCs w:val="22"/>
        </w:rPr>
      </w:pPr>
      <w:r w:rsidRPr="00397C1C">
        <w:rPr>
          <w:kern w:val="22"/>
          <w:szCs w:val="22"/>
        </w:rPr>
        <w:lastRenderedPageBreak/>
        <w:t xml:space="preserve">Mr. </w:t>
      </w:r>
      <w:r w:rsidR="0006588F">
        <w:rPr>
          <w:kern w:val="22"/>
          <w:szCs w:val="22"/>
        </w:rPr>
        <w:t xml:space="preserve">Tim </w:t>
      </w:r>
      <w:r w:rsidRPr="00397C1C">
        <w:rPr>
          <w:kern w:val="22"/>
          <w:szCs w:val="22"/>
        </w:rPr>
        <w:t>Hirsch, GBIF Secretariat</w:t>
      </w:r>
      <w:r w:rsidR="001A210A" w:rsidRPr="00397C1C">
        <w:rPr>
          <w:kern w:val="22"/>
          <w:szCs w:val="22"/>
        </w:rPr>
        <w:t>, focused his presentation on the open access to data on invasive alien species and climate change.</w:t>
      </w:r>
      <w:r w:rsidR="00410F2F" w:rsidRPr="00397C1C">
        <w:rPr>
          <w:kern w:val="22"/>
          <w:szCs w:val="22"/>
        </w:rPr>
        <w:t xml:space="preserve"> He explained how data from GRIIS is available in GBIF. This included a demonstration of </w:t>
      </w:r>
      <w:r w:rsidR="00063E9F" w:rsidRPr="00397C1C">
        <w:rPr>
          <w:kern w:val="22"/>
          <w:szCs w:val="22"/>
        </w:rPr>
        <w:t>a “c</w:t>
      </w:r>
      <w:r w:rsidR="00410F2F" w:rsidRPr="00397C1C">
        <w:rPr>
          <w:kern w:val="22"/>
          <w:szCs w:val="22"/>
        </w:rPr>
        <w:t>ountry profile page” equivalent with data on introduced and invasive species</w:t>
      </w:r>
      <w:r w:rsidR="00063E9F" w:rsidRPr="00397C1C">
        <w:rPr>
          <w:kern w:val="22"/>
          <w:szCs w:val="22"/>
        </w:rPr>
        <w:t>. He also provided examples of peer reviewed studies that have used data from GBIF and GRIIS in climate research</w:t>
      </w:r>
      <w:r w:rsidR="00063E9F" w:rsidRPr="00397C1C">
        <w:rPr>
          <w:rStyle w:val="FootnoteReference"/>
          <w:kern w:val="22"/>
          <w:szCs w:val="22"/>
          <w:u w:val="none"/>
          <w:vertAlign w:val="superscript"/>
        </w:rPr>
        <w:footnoteReference w:id="13"/>
      </w:r>
      <w:r w:rsidR="00063E9F" w:rsidRPr="00397C1C">
        <w:rPr>
          <w:kern w:val="22"/>
          <w:szCs w:val="22"/>
        </w:rPr>
        <w:t xml:space="preserve">. </w:t>
      </w:r>
    </w:p>
    <w:p w:rsidR="00397C1C" w:rsidRPr="00397C1C" w:rsidRDefault="00785F66" w:rsidP="00397C1C">
      <w:pPr>
        <w:pStyle w:val="Para1"/>
        <w:numPr>
          <w:ilvl w:val="0"/>
          <w:numId w:val="6"/>
        </w:numPr>
        <w:ind w:left="0" w:firstLine="0"/>
        <w:rPr>
          <w:kern w:val="22"/>
          <w:szCs w:val="22"/>
        </w:rPr>
      </w:pPr>
      <w:r w:rsidRPr="00785F66">
        <w:rPr>
          <w:kern w:val="22"/>
          <w:szCs w:val="22"/>
        </w:rPr>
        <w:t xml:space="preserve">Participants were </w:t>
      </w:r>
      <w:r w:rsidR="00397C1C">
        <w:rPr>
          <w:kern w:val="22"/>
          <w:szCs w:val="22"/>
        </w:rPr>
        <w:t xml:space="preserve">then </w:t>
      </w:r>
      <w:r w:rsidRPr="00785F66">
        <w:rPr>
          <w:kern w:val="22"/>
          <w:szCs w:val="22"/>
        </w:rPr>
        <w:t xml:space="preserve">invited to </w:t>
      </w:r>
      <w:r w:rsidR="00F51B84">
        <w:rPr>
          <w:kern w:val="22"/>
          <w:szCs w:val="22"/>
        </w:rPr>
        <w:t>discuss on</w:t>
      </w:r>
      <w:r w:rsidR="00F51B84" w:rsidRPr="00785F66">
        <w:rPr>
          <w:kern w:val="22"/>
          <w:szCs w:val="22"/>
        </w:rPr>
        <w:t xml:space="preserve"> </w:t>
      </w:r>
      <w:r w:rsidRPr="00785F66">
        <w:rPr>
          <w:kern w:val="22"/>
          <w:szCs w:val="22"/>
        </w:rPr>
        <w:t xml:space="preserve">the topics explored during the presentations by IUCN and GBIF and how to integrate </w:t>
      </w:r>
      <w:r w:rsidR="00397C1C">
        <w:rPr>
          <w:kern w:val="22"/>
          <w:szCs w:val="22"/>
        </w:rPr>
        <w:t xml:space="preserve">them </w:t>
      </w:r>
      <w:r w:rsidRPr="00785F66">
        <w:rPr>
          <w:kern w:val="22"/>
          <w:szCs w:val="22"/>
        </w:rPr>
        <w:t>into the Secretariat’s process to bring the issues to the attention of Parties.</w:t>
      </w:r>
      <w:r w:rsidR="00397C1C">
        <w:rPr>
          <w:kern w:val="22"/>
          <w:szCs w:val="22"/>
        </w:rPr>
        <w:t xml:space="preserve"> Participants considered the following:</w:t>
      </w:r>
    </w:p>
    <w:p w:rsidR="0078710C" w:rsidRDefault="00785F66" w:rsidP="00413295">
      <w:pPr>
        <w:pStyle w:val="Para1"/>
        <w:numPr>
          <w:ilvl w:val="0"/>
          <w:numId w:val="47"/>
        </w:numPr>
        <w:ind w:left="0" w:firstLine="709"/>
        <w:rPr>
          <w:kern w:val="22"/>
          <w:szCs w:val="22"/>
        </w:rPr>
      </w:pPr>
      <w:r w:rsidRPr="00397C1C">
        <w:rPr>
          <w:kern w:val="22"/>
          <w:szCs w:val="22"/>
        </w:rPr>
        <w:t xml:space="preserve">Participants </w:t>
      </w:r>
      <w:r w:rsidR="0078710C">
        <w:rPr>
          <w:kern w:val="22"/>
          <w:szCs w:val="22"/>
        </w:rPr>
        <w:t xml:space="preserve">suggested that </w:t>
      </w:r>
      <w:r w:rsidRPr="00397C1C">
        <w:rPr>
          <w:kern w:val="22"/>
          <w:szCs w:val="22"/>
        </w:rPr>
        <w:t>the Se</w:t>
      </w:r>
      <w:r w:rsidR="0078710C">
        <w:rPr>
          <w:kern w:val="22"/>
          <w:szCs w:val="22"/>
        </w:rPr>
        <w:t xml:space="preserve">cretariat </w:t>
      </w:r>
      <w:r w:rsidRPr="00397C1C">
        <w:rPr>
          <w:kern w:val="22"/>
          <w:szCs w:val="22"/>
        </w:rPr>
        <w:t>further engage</w:t>
      </w:r>
      <w:r w:rsidR="0078710C">
        <w:rPr>
          <w:kern w:val="22"/>
          <w:szCs w:val="22"/>
        </w:rPr>
        <w:t>s</w:t>
      </w:r>
      <w:r w:rsidRPr="00397C1C">
        <w:rPr>
          <w:kern w:val="22"/>
          <w:szCs w:val="22"/>
        </w:rPr>
        <w:t xml:space="preserve"> with </w:t>
      </w:r>
      <w:r w:rsidR="0078710C">
        <w:rPr>
          <w:kern w:val="22"/>
          <w:szCs w:val="22"/>
        </w:rPr>
        <w:t>the United Nations Framework Convention on Climate Change (</w:t>
      </w:r>
      <w:r w:rsidRPr="00397C1C">
        <w:rPr>
          <w:kern w:val="22"/>
          <w:szCs w:val="22"/>
        </w:rPr>
        <w:t>UNFCCC</w:t>
      </w:r>
      <w:r w:rsidR="0078710C">
        <w:rPr>
          <w:kern w:val="22"/>
          <w:szCs w:val="22"/>
        </w:rPr>
        <w:t>)</w:t>
      </w:r>
      <w:r w:rsidRPr="00397C1C">
        <w:rPr>
          <w:kern w:val="22"/>
          <w:szCs w:val="22"/>
        </w:rPr>
        <w:t xml:space="preserve"> </w:t>
      </w:r>
      <w:proofErr w:type="gramStart"/>
      <w:r w:rsidRPr="00397C1C">
        <w:rPr>
          <w:kern w:val="22"/>
          <w:szCs w:val="22"/>
        </w:rPr>
        <w:t>in order to</w:t>
      </w:r>
      <w:proofErr w:type="gramEnd"/>
      <w:r w:rsidRPr="00397C1C">
        <w:rPr>
          <w:kern w:val="22"/>
          <w:szCs w:val="22"/>
        </w:rPr>
        <w:t xml:space="preserve"> consider the impacts of </w:t>
      </w:r>
      <w:r w:rsidR="0078710C">
        <w:rPr>
          <w:kern w:val="22"/>
          <w:szCs w:val="22"/>
        </w:rPr>
        <w:t>invasive alien species;</w:t>
      </w:r>
    </w:p>
    <w:p w:rsidR="0078710C" w:rsidRDefault="00785F66" w:rsidP="00413295">
      <w:pPr>
        <w:pStyle w:val="Para1"/>
        <w:numPr>
          <w:ilvl w:val="0"/>
          <w:numId w:val="47"/>
        </w:numPr>
        <w:ind w:left="0" w:firstLine="709"/>
        <w:rPr>
          <w:kern w:val="22"/>
          <w:szCs w:val="22"/>
        </w:rPr>
      </w:pPr>
      <w:r w:rsidRPr="0078710C">
        <w:rPr>
          <w:kern w:val="22"/>
          <w:szCs w:val="22"/>
        </w:rPr>
        <w:t xml:space="preserve">Participants </w:t>
      </w:r>
      <w:r w:rsidR="0078710C">
        <w:rPr>
          <w:kern w:val="22"/>
          <w:szCs w:val="22"/>
        </w:rPr>
        <w:t>suggested that the</w:t>
      </w:r>
      <w:r w:rsidRPr="0078710C">
        <w:rPr>
          <w:kern w:val="22"/>
          <w:szCs w:val="22"/>
        </w:rPr>
        <w:t xml:space="preserve"> </w:t>
      </w:r>
      <w:r w:rsidR="0078710C">
        <w:rPr>
          <w:kern w:val="22"/>
          <w:szCs w:val="22"/>
        </w:rPr>
        <w:t>Secretariat consults with</w:t>
      </w:r>
      <w:r w:rsidRPr="0078710C">
        <w:rPr>
          <w:kern w:val="22"/>
          <w:szCs w:val="22"/>
        </w:rPr>
        <w:t xml:space="preserve"> the programme officers in charge of climate change at the Secretariat to get ideas on the work related to </w:t>
      </w:r>
      <w:r w:rsidR="0078710C">
        <w:rPr>
          <w:kern w:val="22"/>
          <w:szCs w:val="22"/>
        </w:rPr>
        <w:t>invasive alien species</w:t>
      </w:r>
      <w:r w:rsidRPr="0078710C">
        <w:rPr>
          <w:kern w:val="22"/>
          <w:szCs w:val="22"/>
        </w:rPr>
        <w:t xml:space="preserve"> and climate change under UNFCCC and CBD</w:t>
      </w:r>
      <w:r w:rsidR="0078710C">
        <w:rPr>
          <w:kern w:val="22"/>
          <w:szCs w:val="22"/>
        </w:rPr>
        <w:t>;</w:t>
      </w:r>
    </w:p>
    <w:p w:rsidR="00556B9C" w:rsidRDefault="00785F66" w:rsidP="00413295">
      <w:pPr>
        <w:pStyle w:val="Para1"/>
        <w:numPr>
          <w:ilvl w:val="0"/>
          <w:numId w:val="47"/>
        </w:numPr>
        <w:ind w:left="0" w:firstLine="709"/>
        <w:rPr>
          <w:kern w:val="22"/>
          <w:szCs w:val="22"/>
        </w:rPr>
      </w:pPr>
      <w:r w:rsidRPr="0078710C">
        <w:rPr>
          <w:kern w:val="22"/>
          <w:szCs w:val="22"/>
        </w:rPr>
        <w:t xml:space="preserve">Participants </w:t>
      </w:r>
      <w:r w:rsidR="00B12A97">
        <w:rPr>
          <w:kern w:val="22"/>
          <w:szCs w:val="22"/>
        </w:rPr>
        <w:t xml:space="preserve">suggested the CBD </w:t>
      </w:r>
      <w:r w:rsidR="00F51B84">
        <w:rPr>
          <w:kern w:val="22"/>
          <w:szCs w:val="22"/>
        </w:rPr>
        <w:t xml:space="preserve">community to </w:t>
      </w:r>
      <w:r w:rsidR="00B12A97">
        <w:rPr>
          <w:kern w:val="22"/>
          <w:szCs w:val="22"/>
        </w:rPr>
        <w:t>explore</w:t>
      </w:r>
      <w:r w:rsidR="00B12A97" w:rsidRPr="0078710C">
        <w:rPr>
          <w:kern w:val="22"/>
          <w:szCs w:val="22"/>
        </w:rPr>
        <w:t xml:space="preserve"> </w:t>
      </w:r>
      <w:r w:rsidRPr="0078710C">
        <w:rPr>
          <w:kern w:val="22"/>
          <w:szCs w:val="22"/>
        </w:rPr>
        <w:t xml:space="preserve">methods developed by organizations </w:t>
      </w:r>
      <w:r w:rsidR="009E6EE9">
        <w:rPr>
          <w:kern w:val="22"/>
          <w:szCs w:val="22"/>
        </w:rPr>
        <w:t xml:space="preserve">other </w:t>
      </w:r>
      <w:r w:rsidR="0078710C">
        <w:rPr>
          <w:kern w:val="22"/>
          <w:szCs w:val="22"/>
        </w:rPr>
        <w:t xml:space="preserve">than the CBD </w:t>
      </w:r>
      <w:r w:rsidRPr="0078710C">
        <w:rPr>
          <w:kern w:val="22"/>
          <w:szCs w:val="22"/>
        </w:rPr>
        <w:t xml:space="preserve">such as </w:t>
      </w:r>
      <w:r w:rsidR="009E6EE9">
        <w:rPr>
          <w:kern w:val="22"/>
          <w:szCs w:val="22"/>
        </w:rPr>
        <w:t xml:space="preserve">the </w:t>
      </w:r>
      <w:r w:rsidR="0078710C">
        <w:rPr>
          <w:kern w:val="22"/>
          <w:szCs w:val="22"/>
        </w:rPr>
        <w:t xml:space="preserve">adaptation and mitigation of </w:t>
      </w:r>
      <w:r w:rsidRPr="0078710C">
        <w:rPr>
          <w:kern w:val="22"/>
          <w:szCs w:val="22"/>
        </w:rPr>
        <w:t xml:space="preserve">UNFCCC and </w:t>
      </w:r>
      <w:r w:rsidR="0078710C">
        <w:rPr>
          <w:kern w:val="22"/>
          <w:szCs w:val="22"/>
        </w:rPr>
        <w:t xml:space="preserve">pest risk analysis of </w:t>
      </w:r>
      <w:r w:rsidR="00556B9C" w:rsidRPr="00556B9C">
        <w:rPr>
          <w:kern w:val="22"/>
          <w:szCs w:val="22"/>
        </w:rPr>
        <w:t>North American Plant Protection Organization (NAPPO)</w:t>
      </w:r>
      <w:r w:rsidR="0070781B">
        <w:rPr>
          <w:kern w:val="22"/>
          <w:szCs w:val="22"/>
        </w:rPr>
        <w:t>;</w:t>
      </w:r>
    </w:p>
    <w:p w:rsidR="00556B9C" w:rsidRDefault="00785F66" w:rsidP="00413295">
      <w:pPr>
        <w:pStyle w:val="Para1"/>
        <w:numPr>
          <w:ilvl w:val="0"/>
          <w:numId w:val="47"/>
        </w:numPr>
        <w:ind w:left="0" w:firstLine="709"/>
        <w:rPr>
          <w:kern w:val="22"/>
          <w:szCs w:val="22"/>
        </w:rPr>
      </w:pPr>
      <w:r w:rsidRPr="00556B9C">
        <w:rPr>
          <w:kern w:val="22"/>
          <w:szCs w:val="22"/>
        </w:rPr>
        <w:t>The collection of scientific evidence related to the impacts of climate change, natural disasters and land-use change on the management of biologica</w:t>
      </w:r>
      <w:r w:rsidR="00556B9C" w:rsidRPr="00556B9C">
        <w:rPr>
          <w:kern w:val="22"/>
          <w:szCs w:val="22"/>
        </w:rPr>
        <w:t>l invasions is</w:t>
      </w:r>
      <w:r w:rsidRPr="00556B9C">
        <w:rPr>
          <w:kern w:val="22"/>
          <w:szCs w:val="22"/>
        </w:rPr>
        <w:t xml:space="preserve"> at early stages</w:t>
      </w:r>
      <w:r w:rsidR="00556B9C" w:rsidRPr="00556B9C">
        <w:rPr>
          <w:kern w:val="22"/>
          <w:szCs w:val="22"/>
        </w:rPr>
        <w:t xml:space="preserve">. </w:t>
      </w:r>
      <w:r w:rsidRPr="00556B9C">
        <w:rPr>
          <w:kern w:val="22"/>
          <w:szCs w:val="22"/>
        </w:rPr>
        <w:t xml:space="preserve">Taking this into account, </w:t>
      </w:r>
      <w:r w:rsidR="00556B9C" w:rsidRPr="00556B9C">
        <w:rPr>
          <w:kern w:val="22"/>
          <w:szCs w:val="22"/>
        </w:rPr>
        <w:t>participants found</w:t>
      </w:r>
      <w:r w:rsidR="009E6EE9">
        <w:rPr>
          <w:kern w:val="22"/>
          <w:szCs w:val="22"/>
        </w:rPr>
        <w:t xml:space="preserve"> </w:t>
      </w:r>
      <w:r w:rsidR="00F51B84">
        <w:rPr>
          <w:kern w:val="22"/>
          <w:szCs w:val="22"/>
        </w:rPr>
        <w:t xml:space="preserve">that </w:t>
      </w:r>
      <w:r w:rsidR="009E6EE9">
        <w:rPr>
          <w:kern w:val="22"/>
          <w:szCs w:val="22"/>
        </w:rPr>
        <w:t xml:space="preserve">it </w:t>
      </w:r>
      <w:r w:rsidR="00F51B84">
        <w:rPr>
          <w:kern w:val="22"/>
          <w:szCs w:val="22"/>
        </w:rPr>
        <w:t xml:space="preserve">is </w:t>
      </w:r>
      <w:r w:rsidR="00556B9C" w:rsidRPr="00556B9C">
        <w:rPr>
          <w:kern w:val="22"/>
          <w:szCs w:val="22"/>
        </w:rPr>
        <w:t>premature</w:t>
      </w:r>
      <w:r w:rsidRPr="00556B9C">
        <w:rPr>
          <w:kern w:val="22"/>
          <w:szCs w:val="22"/>
        </w:rPr>
        <w:t xml:space="preserve"> to provide guidance on this </w:t>
      </w:r>
      <w:r w:rsidR="00556B9C" w:rsidRPr="00556B9C">
        <w:rPr>
          <w:kern w:val="22"/>
          <w:szCs w:val="22"/>
        </w:rPr>
        <w:t>agenda item to SBSTTA</w:t>
      </w:r>
      <w:r w:rsidR="00F51B84">
        <w:rPr>
          <w:kern w:val="22"/>
          <w:szCs w:val="22"/>
        </w:rPr>
        <w:t>22</w:t>
      </w:r>
      <w:r w:rsidR="00556B9C" w:rsidRPr="00556B9C">
        <w:rPr>
          <w:kern w:val="22"/>
          <w:szCs w:val="22"/>
        </w:rPr>
        <w:t>;</w:t>
      </w:r>
    </w:p>
    <w:p w:rsidR="00383D58" w:rsidRDefault="00556B9C" w:rsidP="00413295">
      <w:pPr>
        <w:pStyle w:val="Para1"/>
        <w:numPr>
          <w:ilvl w:val="0"/>
          <w:numId w:val="47"/>
        </w:numPr>
        <w:ind w:left="0" w:firstLine="709"/>
        <w:rPr>
          <w:kern w:val="22"/>
          <w:szCs w:val="22"/>
        </w:rPr>
      </w:pPr>
      <w:r>
        <w:rPr>
          <w:kern w:val="22"/>
          <w:szCs w:val="22"/>
        </w:rPr>
        <w:t>Participants felt there is a n</w:t>
      </w:r>
      <w:r w:rsidR="00785F66" w:rsidRPr="00556B9C">
        <w:rPr>
          <w:kern w:val="22"/>
          <w:szCs w:val="22"/>
        </w:rPr>
        <w:t xml:space="preserve">eed to </w:t>
      </w:r>
      <w:r w:rsidR="00CA2913">
        <w:rPr>
          <w:kern w:val="22"/>
          <w:szCs w:val="22"/>
        </w:rPr>
        <w:t>address</w:t>
      </w:r>
      <w:r w:rsidR="00CA2913" w:rsidRPr="00556B9C">
        <w:rPr>
          <w:kern w:val="22"/>
          <w:szCs w:val="22"/>
        </w:rPr>
        <w:t xml:space="preserve"> </w:t>
      </w:r>
      <w:r w:rsidR="00CA2913">
        <w:rPr>
          <w:kern w:val="22"/>
          <w:szCs w:val="22"/>
        </w:rPr>
        <w:t xml:space="preserve">risks related to </w:t>
      </w:r>
      <w:r w:rsidR="00785F66" w:rsidRPr="00556B9C">
        <w:rPr>
          <w:kern w:val="22"/>
          <w:szCs w:val="22"/>
        </w:rPr>
        <w:t xml:space="preserve">changing </w:t>
      </w:r>
      <w:r w:rsidR="009E6EE9">
        <w:rPr>
          <w:kern w:val="22"/>
          <w:szCs w:val="22"/>
        </w:rPr>
        <w:t xml:space="preserve">resulting from </w:t>
      </w:r>
      <w:r w:rsidR="00785F66" w:rsidRPr="00556B9C">
        <w:rPr>
          <w:kern w:val="22"/>
          <w:szCs w:val="22"/>
        </w:rPr>
        <w:t>climate change</w:t>
      </w:r>
      <w:r w:rsidR="009E6EE9">
        <w:rPr>
          <w:kern w:val="22"/>
          <w:szCs w:val="22"/>
        </w:rPr>
        <w:t>. For example</w:t>
      </w:r>
      <w:r w:rsidR="0070781B">
        <w:rPr>
          <w:kern w:val="22"/>
          <w:szCs w:val="22"/>
        </w:rPr>
        <w:t>,</w:t>
      </w:r>
      <w:r w:rsidR="009E6EE9">
        <w:rPr>
          <w:kern w:val="22"/>
          <w:szCs w:val="22"/>
        </w:rPr>
        <w:t xml:space="preserve"> changing practices can result in</w:t>
      </w:r>
      <w:r w:rsidR="00785F66" w:rsidRPr="00556B9C">
        <w:rPr>
          <w:kern w:val="22"/>
          <w:szCs w:val="22"/>
        </w:rPr>
        <w:t xml:space="preserve"> </w:t>
      </w:r>
      <w:r>
        <w:rPr>
          <w:kern w:val="22"/>
          <w:szCs w:val="22"/>
        </w:rPr>
        <w:t>new pathway</w:t>
      </w:r>
      <w:r w:rsidR="009E6EE9">
        <w:rPr>
          <w:kern w:val="22"/>
          <w:szCs w:val="22"/>
        </w:rPr>
        <w:t>s</w:t>
      </w:r>
      <w:r>
        <w:rPr>
          <w:kern w:val="22"/>
          <w:szCs w:val="22"/>
        </w:rPr>
        <w:t xml:space="preserve"> of introductions</w:t>
      </w:r>
      <w:r w:rsidRPr="00556B9C">
        <w:rPr>
          <w:kern w:val="22"/>
          <w:szCs w:val="22"/>
        </w:rPr>
        <w:t xml:space="preserve"> and assist colonization </w:t>
      </w:r>
      <w:r w:rsidR="009E6EE9">
        <w:rPr>
          <w:kern w:val="22"/>
          <w:szCs w:val="22"/>
        </w:rPr>
        <w:t>for different species</w:t>
      </w:r>
      <w:r>
        <w:rPr>
          <w:kern w:val="22"/>
          <w:szCs w:val="22"/>
        </w:rPr>
        <w:t>. Examples discussed included changes in the choice of forestry species from native to non-native species</w:t>
      </w:r>
      <w:r w:rsidR="00CA2913">
        <w:rPr>
          <w:rStyle w:val="FootnoteReference"/>
          <w:kern w:val="22"/>
          <w:szCs w:val="22"/>
        </w:rPr>
        <w:footnoteReference w:id="14"/>
      </w:r>
      <w:r>
        <w:rPr>
          <w:kern w:val="22"/>
          <w:szCs w:val="22"/>
        </w:rPr>
        <w:t>;</w:t>
      </w:r>
    </w:p>
    <w:p w:rsidR="00383D58" w:rsidRDefault="00785F66" w:rsidP="00413295">
      <w:pPr>
        <w:pStyle w:val="Para1"/>
        <w:numPr>
          <w:ilvl w:val="0"/>
          <w:numId w:val="47"/>
        </w:numPr>
        <w:ind w:left="0" w:firstLine="709"/>
        <w:rPr>
          <w:kern w:val="22"/>
          <w:szCs w:val="22"/>
        </w:rPr>
      </w:pPr>
      <w:r w:rsidRPr="00383D58">
        <w:rPr>
          <w:kern w:val="22"/>
          <w:szCs w:val="22"/>
        </w:rPr>
        <w:t xml:space="preserve">Participants stressed the importance of incorporating climate change within </w:t>
      </w:r>
      <w:r w:rsidR="00383D58">
        <w:rPr>
          <w:kern w:val="22"/>
          <w:szCs w:val="22"/>
        </w:rPr>
        <w:t xml:space="preserve">invasive alien species </w:t>
      </w:r>
      <w:r w:rsidRPr="00383D58">
        <w:rPr>
          <w:kern w:val="22"/>
          <w:szCs w:val="22"/>
        </w:rPr>
        <w:t xml:space="preserve">risk analysis (assessment, management and communication), and </w:t>
      </w:r>
      <w:r w:rsidR="00383D58">
        <w:rPr>
          <w:kern w:val="22"/>
          <w:szCs w:val="22"/>
        </w:rPr>
        <w:t xml:space="preserve">the need to further develop </w:t>
      </w:r>
      <w:r w:rsidR="009E6EE9">
        <w:rPr>
          <w:kern w:val="22"/>
          <w:szCs w:val="22"/>
        </w:rPr>
        <w:t xml:space="preserve">relevant </w:t>
      </w:r>
      <w:r w:rsidR="00383D58">
        <w:rPr>
          <w:kern w:val="22"/>
          <w:szCs w:val="22"/>
        </w:rPr>
        <w:t>methods and models.</w:t>
      </w:r>
    </w:p>
    <w:p w:rsidR="00785F66" w:rsidRPr="00383D58" w:rsidRDefault="00785F66" w:rsidP="00413295">
      <w:pPr>
        <w:pStyle w:val="Para1"/>
        <w:numPr>
          <w:ilvl w:val="0"/>
          <w:numId w:val="47"/>
        </w:numPr>
        <w:ind w:left="0" w:firstLine="709"/>
        <w:rPr>
          <w:kern w:val="22"/>
          <w:szCs w:val="22"/>
        </w:rPr>
      </w:pPr>
      <w:r w:rsidRPr="00383D58">
        <w:rPr>
          <w:kern w:val="22"/>
          <w:szCs w:val="22"/>
        </w:rPr>
        <w:t xml:space="preserve">Participants suggested </w:t>
      </w:r>
      <w:r w:rsidR="009E6EE9">
        <w:rPr>
          <w:kern w:val="22"/>
          <w:szCs w:val="22"/>
        </w:rPr>
        <w:t>that a search should be performed for relevant studies on the topic and climate change experts who have insights on invasive alien species should be invited to</w:t>
      </w:r>
      <w:r w:rsidR="00F51B84">
        <w:rPr>
          <w:kern w:val="22"/>
          <w:szCs w:val="22"/>
        </w:rPr>
        <w:t xml:space="preserve"> the</w:t>
      </w:r>
      <w:r w:rsidR="009E6EE9">
        <w:rPr>
          <w:kern w:val="22"/>
          <w:szCs w:val="22"/>
        </w:rPr>
        <w:t xml:space="preserve"> future discussions. </w:t>
      </w:r>
    </w:p>
    <w:p w:rsidR="00C82B2B" w:rsidRPr="00353BF8" w:rsidRDefault="00FB156A" w:rsidP="00353BF8">
      <w:pPr>
        <w:pStyle w:val="Heading1"/>
        <w:tabs>
          <w:tab w:val="clear" w:pos="720"/>
        </w:tabs>
        <w:ind w:left="1988" w:right="144" w:hanging="1138"/>
        <w:jc w:val="left"/>
        <w:rPr>
          <w:snapToGrid w:val="0"/>
          <w:kern w:val="22"/>
          <w:szCs w:val="22"/>
        </w:rPr>
      </w:pPr>
      <w:r w:rsidRPr="00353BF8">
        <w:rPr>
          <w:snapToGrid w:val="0"/>
          <w:kern w:val="22"/>
          <w:szCs w:val="22"/>
        </w:rPr>
        <w:t>ITEM 3.</w:t>
      </w:r>
      <w:r w:rsidR="00A154C8" w:rsidRPr="00353BF8">
        <w:rPr>
          <w:snapToGrid w:val="0"/>
          <w:kern w:val="22"/>
          <w:szCs w:val="22"/>
        </w:rPr>
        <w:tab/>
      </w:r>
      <w:r w:rsidRPr="00353BF8">
        <w:rPr>
          <w:snapToGrid w:val="0"/>
          <w:kern w:val="22"/>
          <w:szCs w:val="22"/>
        </w:rPr>
        <w:t>INFORMATION ON THE POTENTIAL CONSEQUENCES OF INVASIVE ALIEN SPECIES ON SOCIAL, ECONOMIC AND CULTURAL VALUES, INCLUDING THE VALUES AND PRIORITIES OF INDIGENOUS PEOPLES AND LOCAL COMMUNITIES</w:t>
      </w:r>
    </w:p>
    <w:p w:rsidR="00DD45F3" w:rsidRDefault="003211CF" w:rsidP="00DD45F3">
      <w:pPr>
        <w:pStyle w:val="Para1"/>
        <w:numPr>
          <w:ilvl w:val="0"/>
          <w:numId w:val="6"/>
        </w:numPr>
        <w:ind w:left="0" w:firstLine="0"/>
        <w:rPr>
          <w:kern w:val="22"/>
          <w:szCs w:val="22"/>
        </w:rPr>
      </w:pPr>
      <w:r w:rsidRPr="00A62DF9">
        <w:rPr>
          <w:kern w:val="22"/>
          <w:szCs w:val="22"/>
        </w:rPr>
        <w:t xml:space="preserve">The Chair invited a representative of the Secretariat to introduce the document relevant to this agenda item. Accordingly, </w:t>
      </w:r>
      <w:r w:rsidR="00F51B84">
        <w:rPr>
          <w:kern w:val="22"/>
          <w:szCs w:val="22"/>
        </w:rPr>
        <w:t>the Secretariat</w:t>
      </w:r>
      <w:r w:rsidRPr="00A62DF9">
        <w:rPr>
          <w:kern w:val="22"/>
          <w:szCs w:val="22"/>
        </w:rPr>
        <w:t xml:space="preserve"> summarized the document “</w:t>
      </w:r>
      <w:r w:rsidRPr="003211CF">
        <w:rPr>
          <w:kern w:val="22"/>
          <w:szCs w:val="22"/>
        </w:rPr>
        <w:t xml:space="preserve">Information on the Potential Consequences of Invasive Alien Species on Social, Economic and Cultural Values, </w:t>
      </w:r>
      <w:r w:rsidR="00733363">
        <w:rPr>
          <w:kern w:val="22"/>
          <w:szCs w:val="22"/>
        </w:rPr>
        <w:t>i</w:t>
      </w:r>
      <w:r w:rsidRPr="003211CF">
        <w:rPr>
          <w:kern w:val="22"/>
          <w:szCs w:val="22"/>
        </w:rPr>
        <w:t xml:space="preserve">ncluding the Values and Priorities of Indigenous Peoples </w:t>
      </w:r>
      <w:r w:rsidR="00F51B84">
        <w:rPr>
          <w:kern w:val="22"/>
          <w:szCs w:val="22"/>
        </w:rPr>
        <w:t>a</w:t>
      </w:r>
      <w:r w:rsidR="00F51B84" w:rsidRPr="003211CF">
        <w:rPr>
          <w:kern w:val="22"/>
          <w:szCs w:val="22"/>
        </w:rPr>
        <w:t xml:space="preserve">nd </w:t>
      </w:r>
      <w:r w:rsidRPr="003211CF">
        <w:rPr>
          <w:kern w:val="22"/>
          <w:szCs w:val="22"/>
        </w:rPr>
        <w:t>Local Communities</w:t>
      </w:r>
      <w:r w:rsidRPr="00A62DF9">
        <w:rPr>
          <w:kern w:val="22"/>
          <w:szCs w:val="22"/>
        </w:rPr>
        <w:t xml:space="preserve">” prepared by the Secretariat. </w:t>
      </w:r>
      <w:r w:rsidR="00733363">
        <w:rPr>
          <w:kern w:val="22"/>
          <w:szCs w:val="22"/>
        </w:rPr>
        <w:t>She</w:t>
      </w:r>
      <w:r w:rsidRPr="00A62DF9">
        <w:rPr>
          <w:kern w:val="22"/>
          <w:szCs w:val="22"/>
        </w:rPr>
        <w:t xml:space="preserve"> highlighted that the document incorporates the </w:t>
      </w:r>
      <w:r w:rsidR="00DF5DA3">
        <w:rPr>
          <w:kern w:val="22"/>
          <w:szCs w:val="22"/>
        </w:rPr>
        <w:t>results of the survey on invasive alien species management conducted by the Secretariat</w:t>
      </w:r>
      <w:r w:rsidR="00DF5DA3" w:rsidRPr="002B23FC">
        <w:rPr>
          <w:rStyle w:val="FootnoteReference"/>
          <w:kern w:val="22"/>
          <w:szCs w:val="22"/>
          <w:u w:val="none"/>
          <w:vertAlign w:val="superscript"/>
        </w:rPr>
        <w:footnoteReference w:id="15"/>
      </w:r>
      <w:r w:rsidR="002B23FC">
        <w:rPr>
          <w:kern w:val="22"/>
          <w:szCs w:val="22"/>
        </w:rPr>
        <w:t xml:space="preserve"> from June to September 2017.</w:t>
      </w:r>
    </w:p>
    <w:p w:rsidR="00DD45F3" w:rsidRPr="00DD45F3" w:rsidRDefault="00DD45F3" w:rsidP="00DD45F3">
      <w:pPr>
        <w:pStyle w:val="Para1"/>
        <w:numPr>
          <w:ilvl w:val="0"/>
          <w:numId w:val="6"/>
        </w:numPr>
        <w:ind w:left="0" w:firstLine="0"/>
        <w:rPr>
          <w:kern w:val="22"/>
          <w:szCs w:val="22"/>
        </w:rPr>
      </w:pPr>
      <w:r w:rsidRPr="00DD45F3">
        <w:rPr>
          <w:kern w:val="22"/>
          <w:szCs w:val="22"/>
        </w:rPr>
        <w:lastRenderedPageBreak/>
        <w:t xml:space="preserve">Participants were then invited to </w:t>
      </w:r>
      <w:r w:rsidR="009E6EE9" w:rsidRPr="00DD45F3">
        <w:rPr>
          <w:kern w:val="22"/>
          <w:szCs w:val="22"/>
        </w:rPr>
        <w:t>d</w:t>
      </w:r>
      <w:r w:rsidR="009E6EE9">
        <w:rPr>
          <w:kern w:val="22"/>
          <w:szCs w:val="22"/>
        </w:rPr>
        <w:t>iscuss</w:t>
      </w:r>
      <w:r w:rsidR="009E6EE9" w:rsidRPr="00DD45F3">
        <w:rPr>
          <w:kern w:val="22"/>
          <w:szCs w:val="22"/>
        </w:rPr>
        <w:t xml:space="preserve"> </w:t>
      </w:r>
      <w:r w:rsidRPr="00DD45F3">
        <w:rPr>
          <w:kern w:val="22"/>
          <w:szCs w:val="22"/>
        </w:rPr>
        <w:t xml:space="preserve">the topics included in the document, notably how the concerns of Parties regarding the potential consequences of invasive alien species on social, economic and cultural values </w:t>
      </w:r>
      <w:r w:rsidR="009E6EE9">
        <w:rPr>
          <w:kern w:val="22"/>
          <w:szCs w:val="22"/>
        </w:rPr>
        <w:t>could</w:t>
      </w:r>
      <w:r w:rsidR="009E6EE9" w:rsidRPr="00DD45F3">
        <w:rPr>
          <w:kern w:val="22"/>
          <w:szCs w:val="22"/>
        </w:rPr>
        <w:t xml:space="preserve"> </w:t>
      </w:r>
      <w:r w:rsidRPr="00DD45F3">
        <w:rPr>
          <w:kern w:val="22"/>
          <w:szCs w:val="22"/>
        </w:rPr>
        <w:t>be considered by SBSTTA. As a result, participants considered the following:</w:t>
      </w:r>
    </w:p>
    <w:p w:rsidR="009418D8" w:rsidRDefault="00DD45F3" w:rsidP="00413295">
      <w:pPr>
        <w:pStyle w:val="Para1"/>
        <w:numPr>
          <w:ilvl w:val="0"/>
          <w:numId w:val="48"/>
        </w:numPr>
        <w:ind w:left="0" w:firstLine="851"/>
        <w:rPr>
          <w:kern w:val="22"/>
          <w:szCs w:val="22"/>
        </w:rPr>
      </w:pPr>
      <w:r w:rsidRPr="00DD45F3">
        <w:rPr>
          <w:kern w:val="22"/>
          <w:szCs w:val="22"/>
        </w:rPr>
        <w:t xml:space="preserve">Participants </w:t>
      </w:r>
      <w:r>
        <w:rPr>
          <w:kern w:val="22"/>
          <w:szCs w:val="22"/>
        </w:rPr>
        <w:t>decided to focus</w:t>
      </w:r>
      <w:r w:rsidRPr="00DD45F3">
        <w:rPr>
          <w:kern w:val="22"/>
          <w:szCs w:val="22"/>
        </w:rPr>
        <w:t xml:space="preserve"> the discussion</w:t>
      </w:r>
      <w:r>
        <w:rPr>
          <w:kern w:val="22"/>
          <w:szCs w:val="22"/>
        </w:rPr>
        <w:t>s on the impacts of invasive alien species</w:t>
      </w:r>
      <w:r w:rsidRPr="00DD45F3">
        <w:rPr>
          <w:kern w:val="22"/>
          <w:szCs w:val="22"/>
        </w:rPr>
        <w:t xml:space="preserve"> on cultural values associated with the traditional </w:t>
      </w:r>
      <w:r>
        <w:rPr>
          <w:kern w:val="22"/>
          <w:szCs w:val="22"/>
        </w:rPr>
        <w:t xml:space="preserve">knowledge of indigenous peoples. They </w:t>
      </w:r>
      <w:r w:rsidR="003211CF" w:rsidRPr="00DD45F3">
        <w:rPr>
          <w:kern w:val="22"/>
          <w:szCs w:val="22"/>
        </w:rPr>
        <w:t xml:space="preserve">agreed that </w:t>
      </w:r>
      <w:r>
        <w:rPr>
          <w:kern w:val="22"/>
          <w:szCs w:val="22"/>
        </w:rPr>
        <w:t xml:space="preserve">the </w:t>
      </w:r>
      <w:r w:rsidR="003211CF" w:rsidRPr="00DD45F3">
        <w:rPr>
          <w:kern w:val="22"/>
          <w:szCs w:val="22"/>
        </w:rPr>
        <w:t xml:space="preserve">information on the potential consequences of invasive alien species on social and economic values would be covered </w:t>
      </w:r>
      <w:r w:rsidR="00733363">
        <w:rPr>
          <w:kern w:val="22"/>
          <w:szCs w:val="22"/>
        </w:rPr>
        <w:t>by</w:t>
      </w:r>
      <w:r>
        <w:rPr>
          <w:kern w:val="22"/>
          <w:szCs w:val="22"/>
        </w:rPr>
        <w:t xml:space="preserve"> the</w:t>
      </w:r>
      <w:r w:rsidR="003211CF" w:rsidRPr="00DD45F3">
        <w:rPr>
          <w:kern w:val="22"/>
          <w:szCs w:val="22"/>
        </w:rPr>
        <w:t xml:space="preserve"> information document to be further developed by IUCN under item 2.4. “technical guidance for conducting cost-benefit a</w:t>
      </w:r>
      <w:r w:rsidR="009418D8">
        <w:rPr>
          <w:kern w:val="22"/>
          <w:szCs w:val="22"/>
        </w:rPr>
        <w:t>nd cost-effectiveness analyses”;</w:t>
      </w:r>
    </w:p>
    <w:p w:rsidR="00714449" w:rsidRPr="00714449" w:rsidRDefault="00DD45F3" w:rsidP="00413295">
      <w:pPr>
        <w:pStyle w:val="Para1"/>
        <w:numPr>
          <w:ilvl w:val="0"/>
          <w:numId w:val="48"/>
        </w:numPr>
        <w:ind w:left="0" w:firstLine="851"/>
        <w:rPr>
          <w:kern w:val="22"/>
          <w:szCs w:val="22"/>
        </w:rPr>
      </w:pPr>
      <w:r w:rsidRPr="009418D8">
        <w:rPr>
          <w:kern w:val="22"/>
          <w:szCs w:val="22"/>
        </w:rPr>
        <w:t xml:space="preserve">Ms. </w:t>
      </w:r>
      <w:proofErr w:type="spellStart"/>
      <w:r w:rsidRPr="009418D8">
        <w:rPr>
          <w:kern w:val="22"/>
          <w:szCs w:val="22"/>
        </w:rPr>
        <w:t>Hetaraka</w:t>
      </w:r>
      <w:proofErr w:type="spellEnd"/>
      <w:r w:rsidRPr="009418D8">
        <w:rPr>
          <w:kern w:val="22"/>
          <w:szCs w:val="22"/>
        </w:rPr>
        <w:t xml:space="preserve">, IPLC </w:t>
      </w:r>
      <w:r w:rsidR="00733363">
        <w:rPr>
          <w:kern w:val="22"/>
          <w:szCs w:val="22"/>
        </w:rPr>
        <w:t xml:space="preserve">based in </w:t>
      </w:r>
      <w:r w:rsidRPr="009418D8">
        <w:rPr>
          <w:kern w:val="22"/>
          <w:szCs w:val="22"/>
        </w:rPr>
        <w:t>New Zealand, provided a</w:t>
      </w:r>
      <w:r w:rsidR="003211CF" w:rsidRPr="009418D8">
        <w:rPr>
          <w:kern w:val="22"/>
          <w:szCs w:val="22"/>
        </w:rPr>
        <w:t xml:space="preserve">n example of </w:t>
      </w:r>
      <w:r w:rsidRPr="009418D8">
        <w:rPr>
          <w:kern w:val="22"/>
          <w:szCs w:val="22"/>
        </w:rPr>
        <w:t>the</w:t>
      </w:r>
      <w:r w:rsidR="003211CF" w:rsidRPr="009418D8">
        <w:rPr>
          <w:kern w:val="22"/>
          <w:szCs w:val="22"/>
        </w:rPr>
        <w:t xml:space="preserve"> impact</w:t>
      </w:r>
      <w:r w:rsidRPr="009418D8">
        <w:rPr>
          <w:kern w:val="22"/>
          <w:szCs w:val="22"/>
        </w:rPr>
        <w:t>s on invasive alien species</w:t>
      </w:r>
      <w:r w:rsidR="009418D8" w:rsidRPr="009418D8">
        <w:rPr>
          <w:kern w:val="22"/>
          <w:szCs w:val="22"/>
        </w:rPr>
        <w:t xml:space="preserve"> on the cultural values of IPLCs. She highlighted how invasive alien species</w:t>
      </w:r>
      <w:r w:rsidR="003211CF" w:rsidRPr="009418D8">
        <w:rPr>
          <w:kern w:val="22"/>
          <w:szCs w:val="22"/>
        </w:rPr>
        <w:t xml:space="preserve"> have negatively affected the spiritual connection between IPLCs and nature</w:t>
      </w:r>
      <w:r w:rsidR="00F51B84">
        <w:rPr>
          <w:kern w:val="22"/>
          <w:szCs w:val="22"/>
        </w:rPr>
        <w:t>.</w:t>
      </w:r>
      <w:r w:rsidR="00B220CD">
        <w:rPr>
          <w:kern w:val="22"/>
          <w:szCs w:val="22"/>
        </w:rPr>
        <w:t xml:space="preserve"> In some cases, intervention made by national authorities </w:t>
      </w:r>
      <w:r w:rsidR="00F51B84">
        <w:rPr>
          <w:kern w:val="22"/>
          <w:szCs w:val="22"/>
        </w:rPr>
        <w:t xml:space="preserve">could </w:t>
      </w:r>
      <w:r w:rsidR="003211CF" w:rsidRPr="009418D8">
        <w:rPr>
          <w:kern w:val="22"/>
          <w:szCs w:val="22"/>
        </w:rPr>
        <w:t xml:space="preserve">result in a loss of their traditional </w:t>
      </w:r>
      <w:r w:rsidR="00B220CD">
        <w:rPr>
          <w:kern w:val="22"/>
          <w:szCs w:val="22"/>
        </w:rPr>
        <w:t>method</w:t>
      </w:r>
      <w:r w:rsidR="00B220CD" w:rsidRPr="009418D8">
        <w:rPr>
          <w:kern w:val="22"/>
          <w:szCs w:val="22"/>
        </w:rPr>
        <w:t xml:space="preserve"> </w:t>
      </w:r>
      <w:r w:rsidR="003211CF" w:rsidRPr="009418D8">
        <w:rPr>
          <w:kern w:val="22"/>
          <w:szCs w:val="22"/>
        </w:rPr>
        <w:t xml:space="preserve">to </w:t>
      </w:r>
      <w:r w:rsidR="00B220CD">
        <w:rPr>
          <w:kern w:val="22"/>
          <w:szCs w:val="22"/>
        </w:rPr>
        <w:t>prevent introduction of, and minimize the impact of invasive alien species</w:t>
      </w:r>
      <w:r w:rsidR="00AA695A">
        <w:rPr>
          <w:kern w:val="22"/>
          <w:szCs w:val="22"/>
        </w:rPr>
        <w:t xml:space="preserve">. Ms. </w:t>
      </w:r>
      <w:proofErr w:type="spellStart"/>
      <w:r w:rsidR="00AA695A">
        <w:rPr>
          <w:kern w:val="22"/>
          <w:szCs w:val="22"/>
        </w:rPr>
        <w:t>Hetaraka</w:t>
      </w:r>
      <w:proofErr w:type="spellEnd"/>
      <w:r w:rsidR="00AA695A">
        <w:rPr>
          <w:kern w:val="22"/>
          <w:szCs w:val="22"/>
        </w:rPr>
        <w:t xml:space="preserve"> </w:t>
      </w:r>
      <w:r w:rsidR="00D762BC">
        <w:rPr>
          <w:kern w:val="22"/>
          <w:szCs w:val="22"/>
        </w:rPr>
        <w:t xml:space="preserve">highlighted </w:t>
      </w:r>
      <w:r w:rsidR="00714449">
        <w:rPr>
          <w:kern w:val="22"/>
          <w:szCs w:val="22"/>
        </w:rPr>
        <w:t xml:space="preserve">the need for </w:t>
      </w:r>
      <w:r w:rsidR="00714449" w:rsidRPr="00714449">
        <w:rPr>
          <w:kern w:val="22"/>
          <w:szCs w:val="22"/>
        </w:rPr>
        <w:t>partnership</w:t>
      </w:r>
      <w:r w:rsidR="00714449">
        <w:rPr>
          <w:kern w:val="22"/>
          <w:szCs w:val="22"/>
        </w:rPr>
        <w:t>s</w:t>
      </w:r>
      <w:r w:rsidR="00714449" w:rsidRPr="00714449">
        <w:rPr>
          <w:kern w:val="22"/>
          <w:szCs w:val="22"/>
        </w:rPr>
        <w:t xml:space="preserve"> between IPLC</w:t>
      </w:r>
      <w:r w:rsidR="00F51B84">
        <w:rPr>
          <w:kern w:val="22"/>
          <w:szCs w:val="22"/>
        </w:rPr>
        <w:t>s</w:t>
      </w:r>
      <w:r w:rsidR="00714449" w:rsidRPr="00714449">
        <w:rPr>
          <w:kern w:val="22"/>
          <w:szCs w:val="22"/>
        </w:rPr>
        <w:t>, governments and organizations to deal with the problem</w:t>
      </w:r>
      <w:r w:rsidR="00714449">
        <w:rPr>
          <w:kern w:val="22"/>
          <w:szCs w:val="22"/>
        </w:rPr>
        <w:t>s caused by invasive alien species</w:t>
      </w:r>
      <w:r w:rsidR="00F51B84">
        <w:rPr>
          <w:kern w:val="22"/>
          <w:szCs w:val="22"/>
        </w:rPr>
        <w:t xml:space="preserve"> together,</w:t>
      </w:r>
      <w:r w:rsidR="00714449">
        <w:rPr>
          <w:kern w:val="22"/>
          <w:szCs w:val="22"/>
        </w:rPr>
        <w:t xml:space="preserve"> instead of employing </w:t>
      </w:r>
      <w:r w:rsidR="00714449" w:rsidRPr="00714449">
        <w:rPr>
          <w:kern w:val="22"/>
          <w:szCs w:val="22"/>
        </w:rPr>
        <w:t>a</w:t>
      </w:r>
      <w:r w:rsidR="00714449">
        <w:rPr>
          <w:kern w:val="22"/>
          <w:szCs w:val="22"/>
        </w:rPr>
        <w:t xml:space="preserve"> </w:t>
      </w:r>
      <w:r w:rsidR="00F51B84">
        <w:rPr>
          <w:kern w:val="22"/>
          <w:szCs w:val="22"/>
        </w:rPr>
        <w:t>“</w:t>
      </w:r>
      <w:r w:rsidR="00714449">
        <w:rPr>
          <w:kern w:val="22"/>
          <w:szCs w:val="22"/>
        </w:rPr>
        <w:t>colonial</w:t>
      </w:r>
      <w:r w:rsidR="00F51B84">
        <w:rPr>
          <w:kern w:val="22"/>
          <w:szCs w:val="22"/>
        </w:rPr>
        <w:t>”</w:t>
      </w:r>
      <w:r w:rsidR="00714449">
        <w:rPr>
          <w:kern w:val="22"/>
          <w:szCs w:val="22"/>
        </w:rPr>
        <w:t xml:space="preserve"> approach</w:t>
      </w:r>
      <w:r w:rsidR="00F51B84">
        <w:rPr>
          <w:kern w:val="22"/>
          <w:szCs w:val="22"/>
        </w:rPr>
        <w:t>,</w:t>
      </w:r>
      <w:r w:rsidR="00714449">
        <w:rPr>
          <w:kern w:val="22"/>
          <w:szCs w:val="22"/>
        </w:rPr>
        <w:t xml:space="preserve"> in which IPLCs</w:t>
      </w:r>
      <w:r w:rsidR="00714449" w:rsidRPr="00714449">
        <w:rPr>
          <w:kern w:val="22"/>
          <w:szCs w:val="22"/>
        </w:rPr>
        <w:t xml:space="preserve"> are told what to do and given </w:t>
      </w:r>
      <w:r w:rsidR="00714449">
        <w:rPr>
          <w:kern w:val="22"/>
          <w:szCs w:val="22"/>
        </w:rPr>
        <w:t>financial resources</w:t>
      </w:r>
      <w:r w:rsidR="00714449" w:rsidRPr="00714449">
        <w:rPr>
          <w:kern w:val="22"/>
          <w:szCs w:val="22"/>
        </w:rPr>
        <w:t xml:space="preserve"> </w:t>
      </w:r>
      <w:r w:rsidR="00714449">
        <w:rPr>
          <w:kern w:val="22"/>
          <w:szCs w:val="22"/>
        </w:rPr>
        <w:t xml:space="preserve">for </w:t>
      </w:r>
      <w:r w:rsidR="009E6EE9">
        <w:rPr>
          <w:kern w:val="22"/>
          <w:szCs w:val="22"/>
        </w:rPr>
        <w:t>those purposes</w:t>
      </w:r>
      <w:r w:rsidR="00714449">
        <w:rPr>
          <w:kern w:val="22"/>
          <w:szCs w:val="22"/>
        </w:rPr>
        <w:t>;</w:t>
      </w:r>
    </w:p>
    <w:p w:rsidR="00AA695A" w:rsidRPr="00AA695A" w:rsidRDefault="00AA695A" w:rsidP="00413295">
      <w:pPr>
        <w:pStyle w:val="Para1"/>
        <w:numPr>
          <w:ilvl w:val="0"/>
          <w:numId w:val="48"/>
        </w:numPr>
        <w:ind w:left="0" w:firstLine="851"/>
        <w:rPr>
          <w:kern w:val="22"/>
          <w:szCs w:val="22"/>
        </w:rPr>
      </w:pPr>
      <w:r w:rsidRPr="00AA695A">
        <w:rPr>
          <w:kern w:val="22"/>
          <w:szCs w:val="22"/>
        </w:rPr>
        <w:t xml:space="preserve">Mr. Robichaud, Canada, </w:t>
      </w:r>
      <w:r>
        <w:rPr>
          <w:kern w:val="22"/>
          <w:szCs w:val="22"/>
        </w:rPr>
        <w:t xml:space="preserve">and Ms. Gonzalez, Mexico, </w:t>
      </w:r>
      <w:r w:rsidR="00714449">
        <w:rPr>
          <w:kern w:val="22"/>
          <w:szCs w:val="22"/>
        </w:rPr>
        <w:t xml:space="preserve">echoed the </w:t>
      </w:r>
      <w:r>
        <w:rPr>
          <w:kern w:val="22"/>
          <w:szCs w:val="22"/>
        </w:rPr>
        <w:t xml:space="preserve">example described by Ms. </w:t>
      </w:r>
      <w:proofErr w:type="spellStart"/>
      <w:r>
        <w:rPr>
          <w:kern w:val="22"/>
          <w:szCs w:val="22"/>
        </w:rPr>
        <w:t>Hetaraka</w:t>
      </w:r>
      <w:proofErr w:type="spellEnd"/>
      <w:r w:rsidR="00714449">
        <w:rPr>
          <w:kern w:val="22"/>
          <w:szCs w:val="22"/>
        </w:rPr>
        <w:t xml:space="preserve"> and reinforced the importance of conducting consultations with IPLCs</w:t>
      </w:r>
      <w:r w:rsidR="00FE7665">
        <w:rPr>
          <w:kern w:val="22"/>
          <w:szCs w:val="22"/>
        </w:rPr>
        <w:t xml:space="preserve">. </w:t>
      </w:r>
      <w:r w:rsidR="009E6EE9">
        <w:rPr>
          <w:kern w:val="22"/>
          <w:szCs w:val="22"/>
        </w:rPr>
        <w:t xml:space="preserve">Other </w:t>
      </w:r>
      <w:r w:rsidR="00FE7665">
        <w:rPr>
          <w:kern w:val="22"/>
          <w:szCs w:val="22"/>
        </w:rPr>
        <w:t>participants also supported th</w:t>
      </w:r>
      <w:r w:rsidR="00F51B84">
        <w:rPr>
          <w:kern w:val="22"/>
          <w:szCs w:val="22"/>
        </w:rPr>
        <w:t xml:space="preserve">e </w:t>
      </w:r>
      <w:r w:rsidR="009E6EE9">
        <w:rPr>
          <w:kern w:val="22"/>
          <w:szCs w:val="22"/>
        </w:rPr>
        <w:t xml:space="preserve">formers </w:t>
      </w:r>
      <w:proofErr w:type="gramStart"/>
      <w:r w:rsidR="009E6EE9">
        <w:rPr>
          <w:kern w:val="22"/>
          <w:szCs w:val="22"/>
        </w:rPr>
        <w:t xml:space="preserve">opinions </w:t>
      </w:r>
      <w:r w:rsidR="00FE7665">
        <w:rPr>
          <w:kern w:val="22"/>
          <w:szCs w:val="22"/>
        </w:rPr>
        <w:t xml:space="preserve"> as</w:t>
      </w:r>
      <w:proofErr w:type="gramEnd"/>
      <w:r w:rsidR="00FE7665">
        <w:rPr>
          <w:kern w:val="22"/>
          <w:szCs w:val="22"/>
        </w:rPr>
        <w:t xml:space="preserve"> there were similar cases observed in </w:t>
      </w:r>
      <w:r w:rsidR="009E6EE9">
        <w:rPr>
          <w:kern w:val="22"/>
          <w:szCs w:val="22"/>
        </w:rPr>
        <w:t>other</w:t>
      </w:r>
      <w:r w:rsidR="00FE7665">
        <w:rPr>
          <w:kern w:val="22"/>
          <w:szCs w:val="22"/>
        </w:rPr>
        <w:t xml:space="preserve"> regions</w:t>
      </w:r>
      <w:r w:rsidR="00714449">
        <w:rPr>
          <w:kern w:val="22"/>
          <w:szCs w:val="22"/>
        </w:rPr>
        <w:t>;</w:t>
      </w:r>
    </w:p>
    <w:p w:rsidR="00B6751B" w:rsidRDefault="003211CF" w:rsidP="00413295">
      <w:pPr>
        <w:pStyle w:val="Para1"/>
        <w:numPr>
          <w:ilvl w:val="0"/>
          <w:numId w:val="48"/>
        </w:numPr>
        <w:ind w:left="0" w:firstLine="851"/>
        <w:rPr>
          <w:kern w:val="22"/>
          <w:szCs w:val="22"/>
        </w:rPr>
      </w:pPr>
      <w:r w:rsidRPr="009418D8">
        <w:rPr>
          <w:kern w:val="22"/>
          <w:szCs w:val="22"/>
        </w:rPr>
        <w:t>Participants stressed the importa</w:t>
      </w:r>
      <w:r w:rsidR="00AA695A">
        <w:rPr>
          <w:kern w:val="22"/>
          <w:szCs w:val="22"/>
        </w:rPr>
        <w:t>nce of building solutions to invasive alien species</w:t>
      </w:r>
      <w:r w:rsidRPr="009418D8">
        <w:rPr>
          <w:kern w:val="22"/>
          <w:szCs w:val="22"/>
        </w:rPr>
        <w:t xml:space="preserve"> problems in collaboration with IPLCs</w:t>
      </w:r>
      <w:r w:rsidR="00F51B84">
        <w:rPr>
          <w:kern w:val="22"/>
          <w:szCs w:val="22"/>
        </w:rPr>
        <w:t>,</w:t>
      </w:r>
      <w:r w:rsidRPr="009418D8">
        <w:rPr>
          <w:kern w:val="22"/>
          <w:szCs w:val="22"/>
        </w:rPr>
        <w:t xml:space="preserve"> and not imposing these </w:t>
      </w:r>
      <w:r w:rsidR="00AA695A">
        <w:rPr>
          <w:kern w:val="22"/>
          <w:szCs w:val="22"/>
        </w:rPr>
        <w:t xml:space="preserve">solutions </w:t>
      </w:r>
      <w:r w:rsidRPr="009418D8">
        <w:rPr>
          <w:kern w:val="22"/>
          <w:szCs w:val="22"/>
        </w:rPr>
        <w:t>on them</w:t>
      </w:r>
      <w:r w:rsidR="00AA695A">
        <w:rPr>
          <w:kern w:val="22"/>
          <w:szCs w:val="22"/>
        </w:rPr>
        <w:t>;</w:t>
      </w:r>
    </w:p>
    <w:p w:rsidR="00B6751B" w:rsidRDefault="003211CF" w:rsidP="00413295">
      <w:pPr>
        <w:pStyle w:val="Para1"/>
        <w:numPr>
          <w:ilvl w:val="0"/>
          <w:numId w:val="48"/>
        </w:numPr>
        <w:ind w:left="0" w:firstLine="851"/>
        <w:rPr>
          <w:kern w:val="22"/>
          <w:szCs w:val="22"/>
        </w:rPr>
      </w:pPr>
      <w:r w:rsidRPr="00B6751B">
        <w:rPr>
          <w:kern w:val="22"/>
          <w:szCs w:val="22"/>
        </w:rPr>
        <w:t xml:space="preserve">Based on the contributions of Ms. Justice </w:t>
      </w:r>
      <w:proofErr w:type="spellStart"/>
      <w:r w:rsidRPr="00B6751B">
        <w:rPr>
          <w:kern w:val="22"/>
          <w:szCs w:val="22"/>
        </w:rPr>
        <w:t>Hetaraka</w:t>
      </w:r>
      <w:proofErr w:type="spellEnd"/>
      <w:r w:rsidRPr="00B6751B">
        <w:rPr>
          <w:kern w:val="22"/>
          <w:szCs w:val="22"/>
        </w:rPr>
        <w:t xml:space="preserve">, participants </w:t>
      </w:r>
      <w:r w:rsidR="00B6751B" w:rsidRPr="00B6751B">
        <w:rPr>
          <w:kern w:val="22"/>
          <w:szCs w:val="22"/>
        </w:rPr>
        <w:t xml:space="preserve">also </w:t>
      </w:r>
      <w:r w:rsidRPr="00B6751B">
        <w:rPr>
          <w:kern w:val="22"/>
          <w:szCs w:val="22"/>
        </w:rPr>
        <w:t>discussed ways of measur</w:t>
      </w:r>
      <w:r w:rsidR="00B6751B" w:rsidRPr="00B6751B">
        <w:rPr>
          <w:kern w:val="22"/>
          <w:szCs w:val="22"/>
        </w:rPr>
        <w:t>ing the impacts of invasive alien species</w:t>
      </w:r>
      <w:r w:rsidRPr="00B6751B">
        <w:rPr>
          <w:kern w:val="22"/>
          <w:szCs w:val="22"/>
        </w:rPr>
        <w:t xml:space="preserve"> on cultural values </w:t>
      </w:r>
      <w:r w:rsidR="009E6EE9">
        <w:rPr>
          <w:kern w:val="22"/>
          <w:szCs w:val="22"/>
        </w:rPr>
        <w:t xml:space="preserve">in alternative ways to utilizing </w:t>
      </w:r>
      <w:r w:rsidRPr="00B6751B">
        <w:rPr>
          <w:kern w:val="22"/>
          <w:szCs w:val="22"/>
        </w:rPr>
        <w:t xml:space="preserve">quantitative data. One possible way is </w:t>
      </w:r>
      <w:r w:rsidR="00B6751B" w:rsidRPr="00B6751B">
        <w:rPr>
          <w:kern w:val="22"/>
          <w:szCs w:val="22"/>
        </w:rPr>
        <w:t xml:space="preserve">to apply a similar </w:t>
      </w:r>
      <w:r w:rsidRPr="00B6751B">
        <w:rPr>
          <w:kern w:val="22"/>
          <w:szCs w:val="22"/>
        </w:rPr>
        <w:t xml:space="preserve">“holistic approach” </w:t>
      </w:r>
      <w:r w:rsidR="00B6751B" w:rsidRPr="00B6751B">
        <w:rPr>
          <w:kern w:val="22"/>
          <w:szCs w:val="22"/>
        </w:rPr>
        <w:t xml:space="preserve">described by Mr. Smith, IUCN, during his presentation </w:t>
      </w:r>
      <w:r w:rsidRPr="00B6751B">
        <w:rPr>
          <w:kern w:val="22"/>
          <w:szCs w:val="22"/>
        </w:rPr>
        <w:t>on cost and benefit analysis</w:t>
      </w:r>
      <w:r w:rsidR="00B6751B">
        <w:rPr>
          <w:kern w:val="22"/>
          <w:szCs w:val="22"/>
        </w:rPr>
        <w:t>;</w:t>
      </w:r>
    </w:p>
    <w:p w:rsidR="00331B71" w:rsidRDefault="003211CF" w:rsidP="00413295">
      <w:pPr>
        <w:pStyle w:val="Para1"/>
        <w:numPr>
          <w:ilvl w:val="0"/>
          <w:numId w:val="48"/>
        </w:numPr>
        <w:ind w:left="0" w:firstLine="851"/>
        <w:rPr>
          <w:kern w:val="22"/>
          <w:szCs w:val="22"/>
        </w:rPr>
      </w:pPr>
      <w:r w:rsidRPr="00B6751B">
        <w:rPr>
          <w:kern w:val="22"/>
          <w:szCs w:val="22"/>
        </w:rPr>
        <w:t xml:space="preserve">Participants </w:t>
      </w:r>
      <w:r w:rsidR="00B6751B">
        <w:rPr>
          <w:kern w:val="22"/>
          <w:szCs w:val="22"/>
        </w:rPr>
        <w:t>suggested further engaging IPLCs in invasive alien species</w:t>
      </w:r>
      <w:r w:rsidRPr="00B6751B">
        <w:rPr>
          <w:kern w:val="22"/>
          <w:szCs w:val="22"/>
        </w:rPr>
        <w:t xml:space="preserve"> discussions and activities. Ideas on ho</w:t>
      </w:r>
      <w:r w:rsidR="00B6751B">
        <w:rPr>
          <w:kern w:val="22"/>
          <w:szCs w:val="22"/>
        </w:rPr>
        <w:t>w to improve IPLCs engagement</w:t>
      </w:r>
      <w:r w:rsidRPr="00B6751B">
        <w:rPr>
          <w:kern w:val="22"/>
          <w:szCs w:val="22"/>
        </w:rPr>
        <w:t xml:space="preserve"> included:</w:t>
      </w:r>
    </w:p>
    <w:p w:rsidR="00331B71" w:rsidRDefault="00331B71" w:rsidP="004C4C7C">
      <w:pPr>
        <w:pStyle w:val="Para1"/>
        <w:numPr>
          <w:ilvl w:val="2"/>
          <w:numId w:val="12"/>
        </w:numPr>
        <w:rPr>
          <w:kern w:val="22"/>
          <w:szCs w:val="22"/>
        </w:rPr>
      </w:pPr>
      <w:r>
        <w:rPr>
          <w:kern w:val="22"/>
          <w:szCs w:val="22"/>
        </w:rPr>
        <w:t xml:space="preserve">Involving IPLCs </w:t>
      </w:r>
      <w:r w:rsidR="00FE7665">
        <w:rPr>
          <w:kern w:val="22"/>
          <w:szCs w:val="22"/>
        </w:rPr>
        <w:t>at initiation of invasive alien species management programme</w:t>
      </w:r>
      <w:r>
        <w:rPr>
          <w:kern w:val="22"/>
          <w:szCs w:val="22"/>
        </w:rPr>
        <w:t xml:space="preserve"> as </w:t>
      </w:r>
      <w:r w:rsidR="00FE7665">
        <w:rPr>
          <w:kern w:val="22"/>
          <w:szCs w:val="22"/>
        </w:rPr>
        <w:t xml:space="preserve">early as </w:t>
      </w:r>
      <w:r>
        <w:rPr>
          <w:kern w:val="22"/>
          <w:szCs w:val="22"/>
        </w:rPr>
        <w:t>possible;</w:t>
      </w:r>
    </w:p>
    <w:p w:rsidR="00B220CD" w:rsidRDefault="00B220CD" w:rsidP="004C4C7C">
      <w:pPr>
        <w:pStyle w:val="Para1"/>
        <w:numPr>
          <w:ilvl w:val="2"/>
          <w:numId w:val="12"/>
        </w:numPr>
        <w:rPr>
          <w:kern w:val="22"/>
          <w:szCs w:val="22"/>
        </w:rPr>
      </w:pPr>
      <w:r>
        <w:rPr>
          <w:kern w:val="22"/>
          <w:szCs w:val="22"/>
        </w:rPr>
        <w:t>Inviting IPLCs as knowledge holders on biodiversity and establish communication on risk of biological invasions and possible management options;</w:t>
      </w:r>
    </w:p>
    <w:p w:rsidR="00331B71" w:rsidRDefault="00331B71" w:rsidP="004C4C7C">
      <w:pPr>
        <w:pStyle w:val="Para1"/>
        <w:numPr>
          <w:ilvl w:val="2"/>
          <w:numId w:val="12"/>
        </w:numPr>
        <w:rPr>
          <w:kern w:val="22"/>
          <w:szCs w:val="22"/>
        </w:rPr>
      </w:pPr>
      <w:r>
        <w:rPr>
          <w:kern w:val="22"/>
          <w:szCs w:val="22"/>
        </w:rPr>
        <w:t xml:space="preserve">Inviting them to participate in invasive alien species discussions as well as join </w:t>
      </w:r>
      <w:r w:rsidR="003211CF" w:rsidRPr="00331B71">
        <w:rPr>
          <w:kern w:val="22"/>
          <w:szCs w:val="22"/>
        </w:rPr>
        <w:t>their processes of discussions to learn about their functioning structure and establish a two-way dialogue</w:t>
      </w:r>
      <w:r>
        <w:rPr>
          <w:kern w:val="22"/>
          <w:szCs w:val="22"/>
        </w:rPr>
        <w:t>;</w:t>
      </w:r>
    </w:p>
    <w:p w:rsidR="00331B71" w:rsidRDefault="00331B71" w:rsidP="004C4C7C">
      <w:pPr>
        <w:pStyle w:val="Para1"/>
        <w:numPr>
          <w:ilvl w:val="2"/>
          <w:numId w:val="12"/>
        </w:numPr>
        <w:rPr>
          <w:kern w:val="22"/>
          <w:szCs w:val="22"/>
        </w:rPr>
      </w:pPr>
      <w:r>
        <w:rPr>
          <w:kern w:val="22"/>
          <w:szCs w:val="22"/>
        </w:rPr>
        <w:t>Recognizing</w:t>
      </w:r>
      <w:r w:rsidR="003211CF" w:rsidRPr="00331B71">
        <w:rPr>
          <w:kern w:val="22"/>
          <w:szCs w:val="22"/>
        </w:rPr>
        <w:t xml:space="preserve"> existing tradition</w:t>
      </w:r>
      <w:r>
        <w:rPr>
          <w:kern w:val="22"/>
          <w:szCs w:val="22"/>
        </w:rPr>
        <w:t>al knowledge that deals with invasive alien species</w:t>
      </w:r>
      <w:r w:rsidR="003211CF" w:rsidRPr="00331B71">
        <w:rPr>
          <w:kern w:val="22"/>
          <w:szCs w:val="22"/>
        </w:rPr>
        <w:t xml:space="preserve"> risk management and the a</w:t>
      </w:r>
      <w:r>
        <w:rPr>
          <w:kern w:val="22"/>
          <w:szCs w:val="22"/>
        </w:rPr>
        <w:t>utonomy of IPLCs in managing invasive alien species</w:t>
      </w:r>
      <w:r w:rsidR="003211CF" w:rsidRPr="00331B71">
        <w:rPr>
          <w:kern w:val="22"/>
          <w:szCs w:val="22"/>
        </w:rPr>
        <w:t xml:space="preserve"> based on their traditional knowledge</w:t>
      </w:r>
      <w:r>
        <w:rPr>
          <w:kern w:val="22"/>
          <w:szCs w:val="22"/>
        </w:rPr>
        <w:t>.</w:t>
      </w:r>
    </w:p>
    <w:p w:rsidR="00331B71" w:rsidRDefault="003211CF" w:rsidP="004C4C7C">
      <w:pPr>
        <w:pStyle w:val="Para1"/>
        <w:numPr>
          <w:ilvl w:val="2"/>
          <w:numId w:val="12"/>
        </w:numPr>
        <w:rPr>
          <w:kern w:val="22"/>
          <w:szCs w:val="22"/>
        </w:rPr>
      </w:pPr>
      <w:r w:rsidRPr="00331B71">
        <w:rPr>
          <w:kern w:val="22"/>
          <w:szCs w:val="22"/>
        </w:rPr>
        <w:t xml:space="preserve">Participants acknowledged the need to put mechanisms in place </w:t>
      </w:r>
      <w:r w:rsidR="00331B71">
        <w:rPr>
          <w:kern w:val="22"/>
          <w:szCs w:val="22"/>
        </w:rPr>
        <w:t>if the invasive alien species</w:t>
      </w:r>
      <w:r w:rsidRPr="00331B71">
        <w:rPr>
          <w:kern w:val="22"/>
          <w:szCs w:val="22"/>
        </w:rPr>
        <w:t xml:space="preserve"> </w:t>
      </w:r>
      <w:r w:rsidR="00FE7665">
        <w:rPr>
          <w:kern w:val="22"/>
          <w:szCs w:val="22"/>
        </w:rPr>
        <w:t xml:space="preserve">expert </w:t>
      </w:r>
      <w:r w:rsidRPr="00331B71">
        <w:rPr>
          <w:kern w:val="22"/>
          <w:szCs w:val="22"/>
        </w:rPr>
        <w:t xml:space="preserve">community aims at more engagement of IPLCs in </w:t>
      </w:r>
      <w:r w:rsidR="00331B71">
        <w:rPr>
          <w:kern w:val="22"/>
          <w:szCs w:val="22"/>
        </w:rPr>
        <w:t xml:space="preserve">invasive alien species </w:t>
      </w:r>
      <w:r w:rsidRPr="00331B71">
        <w:rPr>
          <w:kern w:val="22"/>
          <w:szCs w:val="22"/>
        </w:rPr>
        <w:t>issues</w:t>
      </w:r>
      <w:r w:rsidR="00331B71">
        <w:rPr>
          <w:kern w:val="22"/>
          <w:szCs w:val="22"/>
        </w:rPr>
        <w:t>;</w:t>
      </w:r>
    </w:p>
    <w:p w:rsidR="003211CF" w:rsidRDefault="003211CF" w:rsidP="004C4C7C">
      <w:pPr>
        <w:pStyle w:val="Para1"/>
        <w:numPr>
          <w:ilvl w:val="2"/>
          <w:numId w:val="12"/>
        </w:numPr>
        <w:rPr>
          <w:kern w:val="22"/>
          <w:szCs w:val="22"/>
        </w:rPr>
      </w:pPr>
      <w:r w:rsidRPr="00331B71">
        <w:rPr>
          <w:kern w:val="22"/>
          <w:szCs w:val="22"/>
        </w:rPr>
        <w:t xml:space="preserve">Participants suggested re-activating the engagement of IPLCs in </w:t>
      </w:r>
      <w:r w:rsidR="00FE7665">
        <w:rPr>
          <w:kern w:val="22"/>
          <w:szCs w:val="22"/>
        </w:rPr>
        <w:t>invasive alien species</w:t>
      </w:r>
      <w:r w:rsidRPr="00331B71">
        <w:rPr>
          <w:kern w:val="22"/>
          <w:szCs w:val="22"/>
        </w:rPr>
        <w:t xml:space="preserve"> processes that happened sporadically in the past. </w:t>
      </w:r>
      <w:r w:rsidR="00FE7665">
        <w:rPr>
          <w:kern w:val="22"/>
          <w:szCs w:val="22"/>
        </w:rPr>
        <w:t>Invasive alien species expert</w:t>
      </w:r>
      <w:r w:rsidRPr="00331B71">
        <w:rPr>
          <w:kern w:val="22"/>
          <w:szCs w:val="22"/>
        </w:rPr>
        <w:t xml:space="preserve"> community should reach out to IPLCs and invite their representatives to participate</w:t>
      </w:r>
      <w:r w:rsidR="00DB035C">
        <w:rPr>
          <w:kern w:val="22"/>
          <w:szCs w:val="22"/>
        </w:rPr>
        <w:t>.</w:t>
      </w:r>
    </w:p>
    <w:p w:rsidR="00C57ED6" w:rsidRPr="006A611B" w:rsidRDefault="006A611B" w:rsidP="006A611B">
      <w:pPr>
        <w:pStyle w:val="Para1"/>
        <w:numPr>
          <w:ilvl w:val="0"/>
          <w:numId w:val="6"/>
        </w:numPr>
        <w:ind w:left="0" w:firstLine="0"/>
        <w:rPr>
          <w:kern w:val="22"/>
          <w:szCs w:val="22"/>
        </w:rPr>
      </w:pPr>
      <w:r w:rsidRPr="006A611B">
        <w:rPr>
          <w:kern w:val="22"/>
          <w:szCs w:val="22"/>
        </w:rPr>
        <w:t xml:space="preserve">Participants mentioned that the approach used by the Secretariat to collect information </w:t>
      </w:r>
      <w:r w:rsidR="00F51B84">
        <w:rPr>
          <w:kern w:val="22"/>
          <w:szCs w:val="22"/>
        </w:rPr>
        <w:t>on impacts on socio-economic and cultural values or</w:t>
      </w:r>
      <w:r w:rsidR="00F51B84" w:rsidRPr="006A611B">
        <w:rPr>
          <w:kern w:val="22"/>
          <w:szCs w:val="22"/>
        </w:rPr>
        <w:t xml:space="preserve"> </w:t>
      </w:r>
      <w:r w:rsidR="00F51B84">
        <w:rPr>
          <w:kern w:val="22"/>
          <w:szCs w:val="22"/>
        </w:rPr>
        <w:t xml:space="preserve">on </w:t>
      </w:r>
      <w:r w:rsidRPr="006A611B">
        <w:rPr>
          <w:kern w:val="22"/>
          <w:szCs w:val="22"/>
        </w:rPr>
        <w:t>IPLCs</w:t>
      </w:r>
      <w:r w:rsidR="00F51B84">
        <w:rPr>
          <w:kern w:val="22"/>
          <w:szCs w:val="22"/>
        </w:rPr>
        <w:t xml:space="preserve"> by searching peer-reviewed publications</w:t>
      </w:r>
      <w:r w:rsidRPr="006A611B">
        <w:rPr>
          <w:kern w:val="22"/>
          <w:szCs w:val="22"/>
        </w:rPr>
        <w:t xml:space="preserve"> </w:t>
      </w:r>
      <w:r w:rsidR="00CC592A" w:rsidRPr="006A611B">
        <w:rPr>
          <w:kern w:val="22"/>
          <w:szCs w:val="22"/>
        </w:rPr>
        <w:t>might not be the best way</w:t>
      </w:r>
      <w:r w:rsidRPr="006A611B">
        <w:rPr>
          <w:kern w:val="22"/>
          <w:szCs w:val="22"/>
        </w:rPr>
        <w:t>. A better approach would be to collect</w:t>
      </w:r>
      <w:r w:rsidR="00C57ED6" w:rsidRPr="006A611B">
        <w:rPr>
          <w:kern w:val="22"/>
          <w:szCs w:val="22"/>
        </w:rPr>
        <w:t xml:space="preserve"> </w:t>
      </w:r>
      <w:r w:rsidRPr="006A611B">
        <w:rPr>
          <w:kern w:val="22"/>
          <w:szCs w:val="22"/>
        </w:rPr>
        <w:t xml:space="preserve">information </w:t>
      </w:r>
      <w:r w:rsidR="00C57ED6" w:rsidRPr="006A611B">
        <w:rPr>
          <w:kern w:val="22"/>
          <w:szCs w:val="22"/>
        </w:rPr>
        <w:t xml:space="preserve">through workshops </w:t>
      </w:r>
      <w:r w:rsidR="00E724D4">
        <w:rPr>
          <w:kern w:val="22"/>
          <w:szCs w:val="22"/>
        </w:rPr>
        <w:t>accustomed for different communities or regions to ensure required</w:t>
      </w:r>
      <w:r w:rsidR="00E724D4" w:rsidRPr="006A611B">
        <w:rPr>
          <w:kern w:val="22"/>
          <w:szCs w:val="22"/>
        </w:rPr>
        <w:t xml:space="preserve"> trust</w:t>
      </w:r>
      <w:r w:rsidR="00C57ED6" w:rsidRPr="006A611B">
        <w:rPr>
          <w:kern w:val="22"/>
          <w:szCs w:val="22"/>
        </w:rPr>
        <w:t xml:space="preserve"> building</w:t>
      </w:r>
      <w:r w:rsidR="00E724D4">
        <w:rPr>
          <w:kern w:val="22"/>
          <w:szCs w:val="22"/>
        </w:rPr>
        <w:t xml:space="preserve"> and risk communication</w:t>
      </w:r>
      <w:r w:rsidR="00FE7665">
        <w:rPr>
          <w:kern w:val="22"/>
          <w:szCs w:val="22"/>
        </w:rPr>
        <w:t>,</w:t>
      </w:r>
      <w:r w:rsidR="00C57ED6" w:rsidRPr="006A611B">
        <w:rPr>
          <w:kern w:val="22"/>
          <w:szCs w:val="22"/>
        </w:rPr>
        <w:t xml:space="preserve"> instead of peer-reviewed literature search.</w:t>
      </w:r>
      <w:r w:rsidR="00B220CD">
        <w:rPr>
          <w:kern w:val="22"/>
          <w:szCs w:val="22"/>
        </w:rPr>
        <w:t xml:space="preserve"> </w:t>
      </w:r>
    </w:p>
    <w:p w:rsidR="00BB1BBE" w:rsidRPr="00353BF8" w:rsidRDefault="00BB1BBE" w:rsidP="00733363">
      <w:pPr>
        <w:pStyle w:val="Heading1"/>
        <w:tabs>
          <w:tab w:val="clear" w:pos="720"/>
        </w:tabs>
        <w:ind w:left="1988" w:right="144" w:hanging="1138"/>
        <w:rPr>
          <w:snapToGrid w:val="0"/>
          <w:kern w:val="22"/>
          <w:szCs w:val="22"/>
        </w:rPr>
      </w:pPr>
      <w:r w:rsidRPr="00353BF8">
        <w:rPr>
          <w:snapToGrid w:val="0"/>
          <w:kern w:val="22"/>
          <w:szCs w:val="22"/>
        </w:rPr>
        <w:lastRenderedPageBreak/>
        <w:t xml:space="preserve">ITEM 4. </w:t>
      </w:r>
      <w:r w:rsidRPr="00353BF8">
        <w:rPr>
          <w:snapToGrid w:val="0"/>
          <w:kern w:val="22"/>
          <w:szCs w:val="22"/>
        </w:rPr>
        <w:tab/>
        <w:t>OTHER MATTERS</w:t>
      </w:r>
    </w:p>
    <w:p w:rsidR="004D70C1" w:rsidRDefault="006A611B" w:rsidP="004D70C1">
      <w:pPr>
        <w:pStyle w:val="Para1"/>
        <w:numPr>
          <w:ilvl w:val="0"/>
          <w:numId w:val="6"/>
        </w:numPr>
        <w:ind w:left="0" w:firstLine="0"/>
        <w:rPr>
          <w:kern w:val="22"/>
          <w:szCs w:val="22"/>
        </w:rPr>
      </w:pPr>
      <w:r>
        <w:rPr>
          <w:kern w:val="22"/>
          <w:szCs w:val="22"/>
        </w:rPr>
        <w:t>The Chair invited p</w:t>
      </w:r>
      <w:r w:rsidR="004D70C1">
        <w:rPr>
          <w:kern w:val="22"/>
          <w:szCs w:val="22"/>
        </w:rPr>
        <w:t xml:space="preserve">articipants to discuss </w:t>
      </w:r>
      <w:r w:rsidR="00FE7665">
        <w:rPr>
          <w:kern w:val="22"/>
          <w:szCs w:val="22"/>
        </w:rPr>
        <w:t>on</w:t>
      </w:r>
      <w:r w:rsidR="004D70C1" w:rsidRPr="0021478A">
        <w:rPr>
          <w:kern w:val="22"/>
          <w:szCs w:val="22"/>
        </w:rPr>
        <w:t xml:space="preserve"> the </w:t>
      </w:r>
      <w:r w:rsidR="004D70C1">
        <w:rPr>
          <w:kern w:val="22"/>
          <w:szCs w:val="22"/>
        </w:rPr>
        <w:t>items suggested during the adoption of the agenda.</w:t>
      </w:r>
      <w:r>
        <w:rPr>
          <w:kern w:val="22"/>
          <w:szCs w:val="22"/>
        </w:rPr>
        <w:t xml:space="preserve"> Accordingly, participants considered the following:</w:t>
      </w:r>
    </w:p>
    <w:p w:rsidR="00987281" w:rsidRDefault="004D70C1" w:rsidP="00BC0007">
      <w:pPr>
        <w:pStyle w:val="Para1"/>
        <w:numPr>
          <w:ilvl w:val="0"/>
          <w:numId w:val="6"/>
        </w:numPr>
        <w:ind w:left="0" w:firstLine="0"/>
        <w:rPr>
          <w:kern w:val="22"/>
          <w:szCs w:val="22"/>
        </w:rPr>
      </w:pPr>
      <w:r w:rsidRPr="00DB035C">
        <w:rPr>
          <w:kern w:val="22"/>
          <w:szCs w:val="22"/>
        </w:rPr>
        <w:t>Risks of invasive alien species moving with sea containers</w:t>
      </w:r>
      <w:r w:rsidR="00987281">
        <w:rPr>
          <w:kern w:val="22"/>
          <w:szCs w:val="22"/>
        </w:rPr>
        <w:t>:</w:t>
      </w:r>
      <w:r w:rsidRPr="00DB035C">
        <w:rPr>
          <w:kern w:val="22"/>
          <w:szCs w:val="22"/>
        </w:rPr>
        <w:t xml:space="preserve"> </w:t>
      </w:r>
    </w:p>
    <w:p w:rsidR="00C57ED6" w:rsidRDefault="00733363" w:rsidP="00413295">
      <w:pPr>
        <w:pStyle w:val="Para1"/>
        <w:numPr>
          <w:ilvl w:val="1"/>
          <w:numId w:val="6"/>
        </w:numPr>
        <w:ind w:left="0" w:firstLine="709"/>
        <w:rPr>
          <w:kern w:val="22"/>
          <w:szCs w:val="22"/>
        </w:rPr>
      </w:pPr>
      <w:r>
        <w:rPr>
          <w:kern w:val="22"/>
          <w:szCs w:val="22"/>
        </w:rPr>
        <w:t xml:space="preserve">The Secretariat informed that there is on-going process to supplement the </w:t>
      </w:r>
      <w:r w:rsidRPr="00733363">
        <w:rPr>
          <w:kern w:val="22"/>
          <w:szCs w:val="22"/>
        </w:rPr>
        <w:t>IMO/ILO/UNECE Code of Practice for Packing of Cargo Transport Units (CTU Code)</w:t>
      </w:r>
      <w:r w:rsidR="00F51B84">
        <w:rPr>
          <w:rStyle w:val="FootnoteReference"/>
          <w:kern w:val="22"/>
          <w:szCs w:val="22"/>
        </w:rPr>
        <w:footnoteReference w:id="16"/>
      </w:r>
      <w:r>
        <w:rPr>
          <w:kern w:val="22"/>
          <w:szCs w:val="22"/>
        </w:rPr>
        <w:t xml:space="preserve"> under the task force </w:t>
      </w:r>
      <w:r w:rsidR="00BC0007">
        <w:rPr>
          <w:kern w:val="22"/>
          <w:szCs w:val="22"/>
        </w:rPr>
        <w:t>of</w:t>
      </w:r>
      <w:r>
        <w:rPr>
          <w:kern w:val="22"/>
          <w:szCs w:val="22"/>
        </w:rPr>
        <w:t xml:space="preserve"> the IPPC. However</w:t>
      </w:r>
      <w:r w:rsidR="00F51B84">
        <w:rPr>
          <w:kern w:val="22"/>
          <w:szCs w:val="22"/>
        </w:rPr>
        <w:t>,</w:t>
      </w:r>
      <w:r>
        <w:rPr>
          <w:kern w:val="22"/>
          <w:szCs w:val="22"/>
        </w:rPr>
        <w:t xml:space="preserve"> the re</w:t>
      </w:r>
      <w:r w:rsidR="00987281">
        <w:rPr>
          <w:kern w:val="22"/>
          <w:szCs w:val="22"/>
        </w:rPr>
        <w:t>sult is still not yet published;</w:t>
      </w:r>
    </w:p>
    <w:p w:rsidR="00987281" w:rsidRPr="00DB035C" w:rsidRDefault="00987281" w:rsidP="00413295">
      <w:pPr>
        <w:pStyle w:val="Para1"/>
        <w:numPr>
          <w:ilvl w:val="1"/>
          <w:numId w:val="6"/>
        </w:numPr>
        <w:ind w:left="0" w:firstLine="709"/>
        <w:rPr>
          <w:kern w:val="22"/>
          <w:szCs w:val="22"/>
        </w:rPr>
      </w:pPr>
      <w:r w:rsidRPr="00DB035C">
        <w:rPr>
          <w:kern w:val="22"/>
          <w:szCs w:val="22"/>
        </w:rPr>
        <w:t xml:space="preserve">Participants suggested the Secretariat contact </w:t>
      </w:r>
      <w:r>
        <w:rPr>
          <w:kern w:val="22"/>
          <w:szCs w:val="22"/>
        </w:rPr>
        <w:t xml:space="preserve">Ms. </w:t>
      </w:r>
      <w:r w:rsidRPr="00DB035C">
        <w:rPr>
          <w:kern w:val="22"/>
          <w:szCs w:val="22"/>
        </w:rPr>
        <w:t>Erica Jensen, Great Lakes Detector of Invasive Aquatics to include a description of their software that identifies the movement of species in the Great lakes</w:t>
      </w:r>
      <w:r w:rsidR="00F51B84">
        <w:rPr>
          <w:rStyle w:val="FootnoteReference"/>
          <w:kern w:val="22"/>
          <w:szCs w:val="22"/>
        </w:rPr>
        <w:footnoteReference w:id="17"/>
      </w:r>
      <w:r w:rsidR="00F51B84">
        <w:rPr>
          <w:kern w:val="22"/>
          <w:szCs w:val="22"/>
        </w:rPr>
        <w:t>.</w:t>
      </w:r>
    </w:p>
    <w:p w:rsidR="004D70C1" w:rsidRPr="004D70C1" w:rsidRDefault="004D70C1" w:rsidP="002B1CFE">
      <w:pPr>
        <w:pStyle w:val="Para1"/>
        <w:numPr>
          <w:ilvl w:val="0"/>
          <w:numId w:val="6"/>
        </w:numPr>
        <w:ind w:left="0" w:firstLine="0"/>
        <w:jc w:val="left"/>
        <w:rPr>
          <w:kern w:val="22"/>
          <w:szCs w:val="22"/>
        </w:rPr>
      </w:pPr>
      <w:r w:rsidRPr="004D70C1">
        <w:rPr>
          <w:kern w:val="22"/>
          <w:szCs w:val="22"/>
        </w:rPr>
        <w:t>Outcomes of the Meeting of the Ad Hoc Technical Expert Group (AHTEG) on Synthetic Biology</w:t>
      </w:r>
      <w:r>
        <w:rPr>
          <w:kern w:val="22"/>
          <w:szCs w:val="22"/>
        </w:rPr>
        <w:t xml:space="preserve">. </w:t>
      </w:r>
      <w:r w:rsidR="00DB035C">
        <w:rPr>
          <w:kern w:val="22"/>
          <w:szCs w:val="22"/>
        </w:rPr>
        <w:t xml:space="preserve">Considering that the AHTEG meeting was not concluded, participants were unable </w:t>
      </w:r>
      <w:r w:rsidR="00816544">
        <w:rPr>
          <w:kern w:val="22"/>
          <w:szCs w:val="22"/>
        </w:rPr>
        <w:t>to discuss</w:t>
      </w:r>
      <w:r w:rsidR="00DB035C">
        <w:rPr>
          <w:kern w:val="22"/>
          <w:szCs w:val="22"/>
        </w:rPr>
        <w:t xml:space="preserve"> this item.</w:t>
      </w:r>
    </w:p>
    <w:p w:rsidR="00BC0007" w:rsidRDefault="00816544" w:rsidP="002B1CFE">
      <w:pPr>
        <w:pStyle w:val="Para1"/>
        <w:numPr>
          <w:ilvl w:val="0"/>
          <w:numId w:val="6"/>
        </w:numPr>
        <w:ind w:left="0" w:firstLine="0"/>
        <w:jc w:val="left"/>
        <w:rPr>
          <w:kern w:val="22"/>
          <w:szCs w:val="22"/>
        </w:rPr>
      </w:pPr>
      <w:r w:rsidRPr="00816544">
        <w:rPr>
          <w:kern w:val="22"/>
          <w:szCs w:val="22"/>
        </w:rPr>
        <w:t>Aichi Biodiversity Target 9</w:t>
      </w:r>
      <w:r w:rsidR="00BC0007">
        <w:rPr>
          <w:kern w:val="22"/>
          <w:szCs w:val="22"/>
        </w:rPr>
        <w:t xml:space="preserve"> was considered under this agenda item</w:t>
      </w:r>
      <w:r w:rsidRPr="00816544">
        <w:rPr>
          <w:kern w:val="22"/>
          <w:szCs w:val="22"/>
        </w:rPr>
        <w:t xml:space="preserve">. </w:t>
      </w:r>
      <w:r w:rsidR="00C57ED6" w:rsidRPr="00816544">
        <w:rPr>
          <w:kern w:val="22"/>
          <w:szCs w:val="22"/>
        </w:rPr>
        <w:t xml:space="preserve">Participants highlighted </w:t>
      </w:r>
      <w:r w:rsidR="00BC0007">
        <w:rPr>
          <w:kern w:val="22"/>
          <w:szCs w:val="22"/>
        </w:rPr>
        <w:t>the potential consideration by SBSTTA:</w:t>
      </w:r>
    </w:p>
    <w:p w:rsidR="00BC0007" w:rsidRDefault="00BC0007" w:rsidP="00413295">
      <w:pPr>
        <w:pStyle w:val="Para1"/>
        <w:numPr>
          <w:ilvl w:val="1"/>
          <w:numId w:val="6"/>
        </w:numPr>
        <w:ind w:left="0" w:firstLine="709"/>
        <w:jc w:val="left"/>
        <w:rPr>
          <w:kern w:val="22"/>
          <w:szCs w:val="22"/>
        </w:rPr>
      </w:pPr>
      <w:r>
        <w:rPr>
          <w:kern w:val="22"/>
          <w:szCs w:val="22"/>
        </w:rPr>
        <w:t>T</w:t>
      </w:r>
      <w:r w:rsidR="00C57ED6" w:rsidRPr="00816544">
        <w:rPr>
          <w:kern w:val="22"/>
          <w:szCs w:val="22"/>
        </w:rPr>
        <w:t>he importance of national</w:t>
      </w:r>
      <w:r w:rsidR="00524E1D">
        <w:rPr>
          <w:kern w:val="22"/>
          <w:szCs w:val="22"/>
        </w:rPr>
        <w:t xml:space="preserve"> and regional</w:t>
      </w:r>
      <w:r w:rsidR="00C57ED6" w:rsidRPr="00816544">
        <w:rPr>
          <w:kern w:val="22"/>
          <w:szCs w:val="22"/>
        </w:rPr>
        <w:t xml:space="preserve"> legislation</w:t>
      </w:r>
      <w:r w:rsidR="00524E1D">
        <w:rPr>
          <w:kern w:val="22"/>
          <w:szCs w:val="22"/>
        </w:rPr>
        <w:t>s to regulate invasive alien species,</w:t>
      </w:r>
      <w:r w:rsidR="00C57ED6" w:rsidRPr="00816544">
        <w:rPr>
          <w:kern w:val="22"/>
          <w:szCs w:val="22"/>
        </w:rPr>
        <w:t xml:space="preserve"> </w:t>
      </w:r>
      <w:r w:rsidR="00524E1D">
        <w:rPr>
          <w:kern w:val="22"/>
          <w:szCs w:val="22"/>
        </w:rPr>
        <w:t xml:space="preserve">as well as of </w:t>
      </w:r>
      <w:r w:rsidR="00C57ED6" w:rsidRPr="00816544">
        <w:rPr>
          <w:kern w:val="22"/>
          <w:szCs w:val="22"/>
        </w:rPr>
        <w:t>n</w:t>
      </w:r>
      <w:r>
        <w:rPr>
          <w:kern w:val="22"/>
          <w:szCs w:val="22"/>
        </w:rPr>
        <w:t>on-regulatory measures;</w:t>
      </w:r>
    </w:p>
    <w:p w:rsidR="00800D41" w:rsidRPr="00800D41" w:rsidRDefault="00800D41" w:rsidP="00413295">
      <w:pPr>
        <w:pStyle w:val="Para1"/>
        <w:numPr>
          <w:ilvl w:val="1"/>
          <w:numId w:val="6"/>
        </w:numPr>
        <w:ind w:left="0" w:firstLine="709"/>
        <w:jc w:val="left"/>
        <w:rPr>
          <w:kern w:val="22"/>
          <w:szCs w:val="22"/>
        </w:rPr>
      </w:pPr>
      <w:r>
        <w:rPr>
          <w:kern w:val="22"/>
          <w:szCs w:val="22"/>
        </w:rPr>
        <w:t>Data</w:t>
      </w:r>
      <w:r w:rsidRPr="00800D41">
        <w:rPr>
          <w:kern w:val="22"/>
          <w:szCs w:val="22"/>
        </w:rPr>
        <w:t xml:space="preserve"> on </w:t>
      </w:r>
      <w:r>
        <w:rPr>
          <w:kern w:val="22"/>
          <w:szCs w:val="22"/>
        </w:rPr>
        <w:t>invasive alien species</w:t>
      </w:r>
      <w:r w:rsidRPr="00800D41">
        <w:rPr>
          <w:kern w:val="22"/>
          <w:szCs w:val="22"/>
        </w:rPr>
        <w:t xml:space="preserve"> included in regulations is a significant gap in existing standardised databases, and need to be filled. Existing tools to identify species under the regulations should be examined with a view to their wider application, taking account of variation in the form of </w:t>
      </w:r>
      <w:r>
        <w:rPr>
          <w:kern w:val="22"/>
          <w:szCs w:val="22"/>
        </w:rPr>
        <w:t xml:space="preserve">invasive alien species </w:t>
      </w:r>
      <w:r w:rsidRPr="00800D41">
        <w:rPr>
          <w:kern w:val="22"/>
          <w:szCs w:val="22"/>
        </w:rPr>
        <w:t xml:space="preserve">regulation </w:t>
      </w:r>
      <w:proofErr w:type="gramStart"/>
      <w:r w:rsidRPr="00800D41">
        <w:rPr>
          <w:kern w:val="22"/>
          <w:szCs w:val="22"/>
        </w:rPr>
        <w:t>under  different</w:t>
      </w:r>
      <w:proofErr w:type="gramEnd"/>
      <w:r w:rsidRPr="00800D41">
        <w:rPr>
          <w:kern w:val="22"/>
          <w:szCs w:val="22"/>
        </w:rPr>
        <w:t xml:space="preserve"> national jurisdictions</w:t>
      </w:r>
    </w:p>
    <w:p w:rsidR="00C57ED6" w:rsidRPr="00800D41" w:rsidRDefault="00BC0007" w:rsidP="00413295">
      <w:pPr>
        <w:pStyle w:val="Para1"/>
        <w:numPr>
          <w:ilvl w:val="1"/>
          <w:numId w:val="6"/>
        </w:numPr>
        <w:ind w:left="0" w:firstLine="709"/>
        <w:jc w:val="left"/>
        <w:rPr>
          <w:kern w:val="22"/>
          <w:szCs w:val="22"/>
        </w:rPr>
      </w:pPr>
      <w:r>
        <w:rPr>
          <w:kern w:val="22"/>
          <w:szCs w:val="22"/>
        </w:rPr>
        <w:t>Prioritization of species and pathways based on the evidence recorded in GRIIS and Pathway management measures;</w:t>
      </w:r>
    </w:p>
    <w:p w:rsidR="00BC0007" w:rsidRPr="00413295" w:rsidRDefault="00800D41" w:rsidP="00413295">
      <w:pPr>
        <w:pStyle w:val="Para1"/>
        <w:numPr>
          <w:ilvl w:val="1"/>
          <w:numId w:val="6"/>
        </w:numPr>
        <w:ind w:left="0" w:firstLine="709"/>
        <w:jc w:val="left"/>
        <w:rPr>
          <w:kern w:val="22"/>
          <w:szCs w:val="22"/>
        </w:rPr>
      </w:pPr>
      <w:r>
        <w:rPr>
          <w:kern w:val="22"/>
          <w:szCs w:val="22"/>
        </w:rPr>
        <w:t>The importance of</w:t>
      </w:r>
      <w:r w:rsidRPr="00800D41">
        <w:rPr>
          <w:kern w:val="22"/>
          <w:szCs w:val="22"/>
        </w:rPr>
        <w:t xml:space="preserve"> tools and databases developed in support of Aichi Target 9, </w:t>
      </w:r>
      <w:r>
        <w:rPr>
          <w:kern w:val="22"/>
          <w:szCs w:val="22"/>
        </w:rPr>
        <w:t xml:space="preserve">in order to enable </w:t>
      </w:r>
      <w:r w:rsidRPr="00800D41">
        <w:rPr>
          <w:kern w:val="22"/>
          <w:szCs w:val="22"/>
        </w:rPr>
        <w:t xml:space="preserve">data from diverse sources to be compiled, standardized, shared and made freely accessible via open data platforms; </w:t>
      </w:r>
      <w:r>
        <w:rPr>
          <w:kern w:val="22"/>
          <w:szCs w:val="22"/>
        </w:rPr>
        <w:t>for example,</w:t>
      </w:r>
      <w:r w:rsidRPr="00800D41">
        <w:rPr>
          <w:kern w:val="22"/>
          <w:szCs w:val="22"/>
        </w:rPr>
        <w:t xml:space="preserve"> ex</w:t>
      </w:r>
      <w:r>
        <w:rPr>
          <w:kern w:val="22"/>
          <w:szCs w:val="22"/>
        </w:rPr>
        <w:t>pert-curated national IAS lists (GRIIS</w:t>
      </w:r>
      <w:proofErr w:type="gramStart"/>
      <w:r>
        <w:rPr>
          <w:kern w:val="22"/>
          <w:szCs w:val="22"/>
        </w:rPr>
        <w:t xml:space="preserve">), </w:t>
      </w:r>
      <w:r w:rsidRPr="00800D41">
        <w:rPr>
          <w:kern w:val="22"/>
          <w:szCs w:val="22"/>
        </w:rPr>
        <w:t xml:space="preserve"> aggregated</w:t>
      </w:r>
      <w:proofErr w:type="gramEnd"/>
      <w:r w:rsidRPr="00800D41">
        <w:rPr>
          <w:kern w:val="22"/>
          <w:szCs w:val="22"/>
        </w:rPr>
        <w:t xml:space="preserve"> occurrence data on IAS</w:t>
      </w:r>
      <w:r>
        <w:rPr>
          <w:kern w:val="22"/>
          <w:szCs w:val="22"/>
        </w:rPr>
        <w:t xml:space="preserve"> (GBIF)</w:t>
      </w:r>
      <w:r w:rsidRPr="00800D41">
        <w:rPr>
          <w:kern w:val="22"/>
          <w:szCs w:val="22"/>
        </w:rPr>
        <w:t xml:space="preserve"> both in native and introduced ranges, and pathway </w:t>
      </w:r>
      <w:r>
        <w:rPr>
          <w:kern w:val="22"/>
          <w:szCs w:val="22"/>
        </w:rPr>
        <w:t>information and appropriate management tools.</w:t>
      </w:r>
    </w:p>
    <w:p w:rsidR="008B3F54" w:rsidRPr="00816544" w:rsidRDefault="00816544" w:rsidP="008B3F54">
      <w:pPr>
        <w:pStyle w:val="Para1"/>
        <w:numPr>
          <w:ilvl w:val="0"/>
          <w:numId w:val="6"/>
        </w:numPr>
        <w:ind w:left="0" w:firstLine="0"/>
        <w:jc w:val="left"/>
        <w:rPr>
          <w:kern w:val="22"/>
          <w:szCs w:val="22"/>
        </w:rPr>
      </w:pPr>
      <w:r w:rsidRPr="00816544">
        <w:rPr>
          <w:kern w:val="22"/>
          <w:szCs w:val="22"/>
        </w:rPr>
        <w:t xml:space="preserve">The Chair invited Mr. Robert </w:t>
      </w:r>
      <w:proofErr w:type="spellStart"/>
      <w:r w:rsidRPr="00816544">
        <w:rPr>
          <w:kern w:val="22"/>
          <w:szCs w:val="22"/>
        </w:rPr>
        <w:t>Höft</w:t>
      </w:r>
      <w:proofErr w:type="spellEnd"/>
      <w:r w:rsidRPr="00816544">
        <w:rPr>
          <w:kern w:val="22"/>
          <w:szCs w:val="22"/>
        </w:rPr>
        <w:t xml:space="preserve">, </w:t>
      </w:r>
      <w:r w:rsidR="00FE7665">
        <w:rPr>
          <w:kern w:val="22"/>
          <w:szCs w:val="22"/>
        </w:rPr>
        <w:t xml:space="preserve">CBD </w:t>
      </w:r>
      <w:r w:rsidRPr="00816544">
        <w:rPr>
          <w:kern w:val="22"/>
          <w:szCs w:val="22"/>
        </w:rPr>
        <w:t>Secretariat, to provide an overview of the discussions on the post 2020 agenda. The Chair</w:t>
      </w:r>
      <w:r w:rsidR="008B3F54" w:rsidRPr="00816544">
        <w:rPr>
          <w:kern w:val="22"/>
          <w:szCs w:val="22"/>
        </w:rPr>
        <w:t xml:space="preserve"> highlighted the data available to create a specific target </w:t>
      </w:r>
      <w:r w:rsidR="009E6EE9">
        <w:rPr>
          <w:kern w:val="22"/>
          <w:szCs w:val="22"/>
        </w:rPr>
        <w:t>for</w:t>
      </w:r>
      <w:r w:rsidR="009E6EE9" w:rsidRPr="00816544">
        <w:rPr>
          <w:kern w:val="22"/>
          <w:szCs w:val="22"/>
        </w:rPr>
        <w:t xml:space="preserve"> </w:t>
      </w:r>
      <w:r w:rsidR="008B3F54" w:rsidRPr="00816544">
        <w:rPr>
          <w:kern w:val="22"/>
          <w:szCs w:val="22"/>
        </w:rPr>
        <w:t>invasive alien species</w:t>
      </w:r>
      <w:r w:rsidR="009E6EE9">
        <w:rPr>
          <w:kern w:val="22"/>
          <w:szCs w:val="22"/>
        </w:rPr>
        <w:t>, including metrics and indicators, to be included with the</w:t>
      </w:r>
      <w:r w:rsidR="008B3F54" w:rsidRPr="00816544">
        <w:rPr>
          <w:kern w:val="22"/>
          <w:szCs w:val="22"/>
        </w:rPr>
        <w:t xml:space="preserve"> post-2020 agenda</w:t>
      </w:r>
      <w:r w:rsidR="009E6EE9">
        <w:rPr>
          <w:kern w:val="22"/>
          <w:szCs w:val="22"/>
        </w:rPr>
        <w:t>.</w:t>
      </w:r>
    </w:p>
    <w:p w:rsidR="00BB1BBE" w:rsidRPr="00353BF8" w:rsidRDefault="00BB1BBE" w:rsidP="00FE7665">
      <w:pPr>
        <w:pStyle w:val="Heading1"/>
        <w:tabs>
          <w:tab w:val="clear" w:pos="720"/>
        </w:tabs>
        <w:ind w:left="0" w:right="144" w:firstLine="0"/>
        <w:rPr>
          <w:snapToGrid w:val="0"/>
          <w:kern w:val="22"/>
          <w:szCs w:val="22"/>
        </w:rPr>
      </w:pPr>
      <w:r w:rsidRPr="00353BF8">
        <w:rPr>
          <w:snapToGrid w:val="0"/>
          <w:kern w:val="22"/>
          <w:szCs w:val="22"/>
        </w:rPr>
        <w:t xml:space="preserve">ITEM 5. </w:t>
      </w:r>
      <w:r w:rsidRPr="00353BF8">
        <w:rPr>
          <w:snapToGrid w:val="0"/>
          <w:kern w:val="22"/>
          <w:szCs w:val="22"/>
        </w:rPr>
        <w:tab/>
        <w:t>CLOSURE OF THE WORKSHOP</w:t>
      </w:r>
    </w:p>
    <w:p w:rsidR="004D70C1" w:rsidRDefault="004D70C1" w:rsidP="004D70C1">
      <w:pPr>
        <w:pStyle w:val="Para1"/>
        <w:numPr>
          <w:ilvl w:val="0"/>
          <w:numId w:val="6"/>
        </w:numPr>
        <w:ind w:left="0" w:firstLine="0"/>
        <w:jc w:val="left"/>
        <w:rPr>
          <w:kern w:val="22"/>
          <w:szCs w:val="22"/>
        </w:rPr>
      </w:pPr>
      <w:r w:rsidRPr="004D70C1">
        <w:rPr>
          <w:kern w:val="22"/>
          <w:szCs w:val="22"/>
        </w:rPr>
        <w:t xml:space="preserve">The Chair </w:t>
      </w:r>
      <w:r>
        <w:rPr>
          <w:kern w:val="22"/>
          <w:szCs w:val="22"/>
        </w:rPr>
        <w:t>invited the Secretariat to introduce</w:t>
      </w:r>
      <w:r w:rsidRPr="004D70C1">
        <w:rPr>
          <w:kern w:val="22"/>
          <w:szCs w:val="22"/>
        </w:rPr>
        <w:t xml:space="preserve"> the draft </w:t>
      </w:r>
      <w:r w:rsidR="00F51B84">
        <w:rPr>
          <w:kern w:val="22"/>
          <w:szCs w:val="22"/>
        </w:rPr>
        <w:t>outcomes</w:t>
      </w:r>
      <w:r w:rsidR="00F51B84" w:rsidRPr="004D70C1">
        <w:rPr>
          <w:kern w:val="22"/>
          <w:szCs w:val="22"/>
        </w:rPr>
        <w:t xml:space="preserve"> </w:t>
      </w:r>
      <w:r w:rsidRPr="004D70C1">
        <w:rPr>
          <w:kern w:val="22"/>
          <w:szCs w:val="22"/>
        </w:rPr>
        <w:t xml:space="preserve">of the </w:t>
      </w:r>
      <w:r>
        <w:rPr>
          <w:kern w:val="22"/>
          <w:szCs w:val="22"/>
        </w:rPr>
        <w:t xml:space="preserve">workshop. Participants adopted the </w:t>
      </w:r>
      <w:r w:rsidR="00F51B84">
        <w:rPr>
          <w:kern w:val="22"/>
          <w:szCs w:val="22"/>
        </w:rPr>
        <w:t xml:space="preserve">draft </w:t>
      </w:r>
      <w:r w:rsidRPr="004D70C1">
        <w:rPr>
          <w:kern w:val="22"/>
          <w:szCs w:val="22"/>
        </w:rPr>
        <w:t>as amended.</w:t>
      </w:r>
    </w:p>
    <w:p w:rsidR="00FE7665" w:rsidRDefault="00FE7665" w:rsidP="004D70C1">
      <w:pPr>
        <w:pStyle w:val="Para1"/>
        <w:numPr>
          <w:ilvl w:val="0"/>
          <w:numId w:val="6"/>
        </w:numPr>
        <w:ind w:left="0" w:firstLine="0"/>
        <w:jc w:val="left"/>
        <w:rPr>
          <w:kern w:val="22"/>
          <w:szCs w:val="22"/>
        </w:rPr>
      </w:pPr>
      <w:r>
        <w:rPr>
          <w:kern w:val="22"/>
          <w:szCs w:val="22"/>
        </w:rPr>
        <w:t xml:space="preserve">The Secretariat thanked the European Union for its generous financial contribution and expressed </w:t>
      </w:r>
      <w:r w:rsidR="009E6EE9">
        <w:rPr>
          <w:kern w:val="22"/>
          <w:szCs w:val="22"/>
        </w:rPr>
        <w:t xml:space="preserve">gratitude to the </w:t>
      </w:r>
      <w:r>
        <w:rPr>
          <w:kern w:val="22"/>
          <w:szCs w:val="22"/>
        </w:rPr>
        <w:t>participan</w:t>
      </w:r>
      <w:r w:rsidR="00E723C6">
        <w:rPr>
          <w:kern w:val="22"/>
          <w:szCs w:val="22"/>
        </w:rPr>
        <w:t>ts for</w:t>
      </w:r>
      <w:r w:rsidR="009E6EE9">
        <w:rPr>
          <w:kern w:val="22"/>
          <w:szCs w:val="22"/>
        </w:rPr>
        <w:t xml:space="preserve"> their</w:t>
      </w:r>
      <w:r w:rsidR="00E723C6">
        <w:rPr>
          <w:kern w:val="22"/>
          <w:szCs w:val="22"/>
        </w:rPr>
        <w:t xml:space="preserve"> active discussion and advice to the Secretariat based on their </w:t>
      </w:r>
      <w:r w:rsidR="009E6EE9">
        <w:rPr>
          <w:kern w:val="22"/>
          <w:szCs w:val="22"/>
        </w:rPr>
        <w:t xml:space="preserve">collective </w:t>
      </w:r>
      <w:r w:rsidR="00E723C6">
        <w:rPr>
          <w:kern w:val="22"/>
          <w:szCs w:val="22"/>
        </w:rPr>
        <w:t xml:space="preserve">scientific </w:t>
      </w:r>
      <w:r w:rsidR="009E6EE9">
        <w:rPr>
          <w:kern w:val="22"/>
          <w:szCs w:val="22"/>
        </w:rPr>
        <w:t xml:space="preserve">and cultural </w:t>
      </w:r>
      <w:r w:rsidR="00E723C6">
        <w:rPr>
          <w:kern w:val="22"/>
          <w:szCs w:val="22"/>
        </w:rPr>
        <w:t>knowledge.</w:t>
      </w:r>
    </w:p>
    <w:p w:rsidR="004D70C1" w:rsidRPr="004D70C1" w:rsidRDefault="004D70C1" w:rsidP="004D70C1">
      <w:pPr>
        <w:pStyle w:val="Para1"/>
        <w:numPr>
          <w:ilvl w:val="0"/>
          <w:numId w:val="6"/>
        </w:numPr>
        <w:ind w:left="0" w:firstLine="0"/>
        <w:jc w:val="left"/>
        <w:rPr>
          <w:kern w:val="22"/>
          <w:szCs w:val="22"/>
        </w:rPr>
      </w:pPr>
      <w:r w:rsidRPr="004D70C1">
        <w:rPr>
          <w:kern w:val="22"/>
          <w:szCs w:val="22"/>
        </w:rPr>
        <w:t xml:space="preserve">The Chair expressed thanks to the </w:t>
      </w:r>
      <w:r>
        <w:rPr>
          <w:kern w:val="22"/>
          <w:szCs w:val="22"/>
        </w:rPr>
        <w:t>participants</w:t>
      </w:r>
      <w:r w:rsidRPr="004D70C1">
        <w:rPr>
          <w:kern w:val="22"/>
          <w:szCs w:val="22"/>
        </w:rPr>
        <w:t xml:space="preserve"> for their valuable contributions.</w:t>
      </w:r>
    </w:p>
    <w:p w:rsidR="0018235A" w:rsidRPr="004C4C7C" w:rsidRDefault="00BB1BBE" w:rsidP="004C4C7C">
      <w:pPr>
        <w:pStyle w:val="Para1"/>
        <w:numPr>
          <w:ilvl w:val="0"/>
          <w:numId w:val="6"/>
        </w:numPr>
        <w:ind w:left="0" w:firstLine="0"/>
        <w:jc w:val="left"/>
        <w:rPr>
          <w:kern w:val="22"/>
          <w:szCs w:val="22"/>
        </w:rPr>
      </w:pPr>
      <w:r>
        <w:rPr>
          <w:kern w:val="22"/>
          <w:szCs w:val="22"/>
        </w:rPr>
        <w:t xml:space="preserve">The workshop closed at </w:t>
      </w:r>
      <w:r w:rsidR="004D70C1">
        <w:rPr>
          <w:kern w:val="22"/>
          <w:szCs w:val="22"/>
        </w:rPr>
        <w:t>5:00 p.m.</w:t>
      </w:r>
      <w:r>
        <w:rPr>
          <w:kern w:val="22"/>
          <w:szCs w:val="22"/>
        </w:rPr>
        <w:t xml:space="preserve"> on </w:t>
      </w:r>
      <w:r w:rsidR="00F51B84">
        <w:rPr>
          <w:kern w:val="22"/>
          <w:szCs w:val="22"/>
        </w:rPr>
        <w:t xml:space="preserve">8 </w:t>
      </w:r>
      <w:r>
        <w:rPr>
          <w:kern w:val="22"/>
          <w:szCs w:val="22"/>
        </w:rPr>
        <w:t>December 2017</w:t>
      </w:r>
      <w:r w:rsidR="00A154C8">
        <w:rPr>
          <w:kern w:val="22"/>
          <w:szCs w:val="22"/>
        </w:rPr>
        <w:t>.</w:t>
      </w:r>
      <w:r w:rsidR="00DF0385" w:rsidRPr="004C4C7C">
        <w:rPr>
          <w:kern w:val="22"/>
          <w:szCs w:val="22"/>
        </w:rPr>
        <w:br w:type="page"/>
      </w:r>
    </w:p>
    <w:p w:rsidR="003D50FD" w:rsidRDefault="003D50FD" w:rsidP="00AE5EF7">
      <w:pPr>
        <w:pStyle w:val="Para1"/>
        <w:numPr>
          <w:ilvl w:val="0"/>
          <w:numId w:val="0"/>
        </w:numPr>
        <w:jc w:val="left"/>
        <w:rPr>
          <w:kern w:val="22"/>
          <w:szCs w:val="22"/>
        </w:rPr>
      </w:pPr>
    </w:p>
    <w:p w:rsidR="00823E46" w:rsidRDefault="00823E46" w:rsidP="00823E46">
      <w:pPr>
        <w:pStyle w:val="Para1"/>
        <w:numPr>
          <w:ilvl w:val="0"/>
          <w:numId w:val="0"/>
        </w:numPr>
        <w:jc w:val="center"/>
        <w:rPr>
          <w:kern w:val="22"/>
          <w:szCs w:val="22"/>
        </w:rPr>
      </w:pPr>
      <w:r w:rsidRPr="00D65584">
        <w:rPr>
          <w:i/>
          <w:kern w:val="22"/>
          <w:szCs w:val="22"/>
        </w:rPr>
        <w:t>Anne</w:t>
      </w:r>
      <w:r>
        <w:rPr>
          <w:i/>
          <w:kern w:val="22"/>
          <w:szCs w:val="22"/>
        </w:rPr>
        <w:t>x I</w:t>
      </w:r>
      <w:r w:rsidR="00A92163">
        <w:rPr>
          <w:i/>
          <w:kern w:val="22"/>
          <w:szCs w:val="22"/>
        </w:rPr>
        <w:t>II</w:t>
      </w:r>
    </w:p>
    <w:p w:rsidR="00823E46" w:rsidRPr="000A4355" w:rsidRDefault="00823E46" w:rsidP="00823E46">
      <w:pPr>
        <w:pStyle w:val="Para1"/>
        <w:numPr>
          <w:ilvl w:val="0"/>
          <w:numId w:val="0"/>
        </w:numPr>
        <w:jc w:val="center"/>
        <w:rPr>
          <w:b/>
          <w:kern w:val="22"/>
        </w:rPr>
      </w:pPr>
      <w:r w:rsidRPr="00823E46">
        <w:rPr>
          <w:b/>
          <w:kern w:val="22"/>
        </w:rPr>
        <w:t>PROPOSED FRAMEWORK TO DESCRIBE THE COSTS AND BENEFITS OF MANAGEMENT OF INVASIVE ALIEN SPECIES</w:t>
      </w:r>
    </w:p>
    <w:p w:rsidR="00823E46" w:rsidRDefault="00823E46" w:rsidP="000A4355">
      <w:pPr>
        <w:pStyle w:val="Para1"/>
        <w:numPr>
          <w:ilvl w:val="0"/>
          <w:numId w:val="0"/>
        </w:numPr>
        <w:jc w:val="left"/>
        <w:rPr>
          <w:kern w:val="22"/>
          <w:szCs w:val="22"/>
        </w:rPr>
      </w:pPr>
    </w:p>
    <w:p w:rsidR="00823E46" w:rsidRDefault="00823E46" w:rsidP="00823E46">
      <w:r w:rsidRPr="005E33AC">
        <w:rPr>
          <w:noProof/>
          <w:lang w:val="it-IT" w:eastAsia="it-IT"/>
        </w:rPr>
        <w:drawing>
          <wp:inline distT="0" distB="0" distL="0" distR="0" wp14:anchorId="6ADA697D" wp14:editId="580DBED2">
            <wp:extent cx="5731510" cy="322389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3223895"/>
                    </a:xfrm>
                    <a:prstGeom prst="rect">
                      <a:avLst/>
                    </a:prstGeom>
                  </pic:spPr>
                </pic:pic>
              </a:graphicData>
            </a:graphic>
          </wp:inline>
        </w:drawing>
      </w:r>
    </w:p>
    <w:p w:rsidR="00823E46" w:rsidRDefault="00823E46" w:rsidP="000A4355">
      <w:pPr>
        <w:pStyle w:val="Para1"/>
        <w:numPr>
          <w:ilvl w:val="0"/>
          <w:numId w:val="0"/>
        </w:numPr>
        <w:jc w:val="left"/>
        <w:rPr>
          <w:kern w:val="22"/>
          <w:szCs w:val="22"/>
        </w:rPr>
      </w:pPr>
    </w:p>
    <w:p w:rsidR="00736BC2" w:rsidRPr="0066706D" w:rsidRDefault="00CA6B87" w:rsidP="00D860CA">
      <w:pPr>
        <w:spacing w:line="360" w:lineRule="auto"/>
        <w:jc w:val="center"/>
        <w:rPr>
          <w:snapToGrid w:val="0"/>
          <w:kern w:val="22"/>
          <w:szCs w:val="22"/>
        </w:rPr>
      </w:pPr>
      <w:r w:rsidRPr="003B758E">
        <w:rPr>
          <w:snapToGrid w:val="0"/>
          <w:kern w:val="22"/>
          <w:szCs w:val="22"/>
        </w:rPr>
        <w:t>__________</w:t>
      </w:r>
    </w:p>
    <w:p w:rsidR="00476164" w:rsidRPr="0066706D" w:rsidRDefault="00476164" w:rsidP="00D860CA">
      <w:pPr>
        <w:spacing w:line="360" w:lineRule="auto"/>
        <w:jc w:val="center"/>
        <w:rPr>
          <w:snapToGrid w:val="0"/>
          <w:kern w:val="22"/>
          <w:szCs w:val="22"/>
        </w:rPr>
      </w:pPr>
    </w:p>
    <w:sectPr w:rsidR="00476164" w:rsidRPr="0066706D" w:rsidSect="00543D41">
      <w:headerReference w:type="even" r:id="rId14"/>
      <w:headerReference w:type="default" r:id="rId15"/>
      <w:headerReference w:type="first" r:id="rId16"/>
      <w:pgSz w:w="12240" w:h="15840" w:code="1"/>
      <w:pgMar w:top="1021" w:right="1440" w:bottom="1134" w:left="1440" w:header="454"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3FF0" w:rsidRDefault="00F13FF0">
      <w:r>
        <w:separator/>
      </w:r>
    </w:p>
  </w:endnote>
  <w:endnote w:type="continuationSeparator" w:id="0">
    <w:p w:rsidR="00F13FF0" w:rsidRDefault="00F13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2AF" w:usb1="09D77CFB" w:usb2="00000012" w:usb3="00000000" w:csb0="00080001" w:csb1="00000000"/>
  </w:font>
  <w:font w:name="Times New Roman Bold">
    <w:altName w:val="Times New Roman"/>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Yu Gothic Light">
    <w:charset w:val="80"/>
    <w:family w:val="swiss"/>
    <w:pitch w:val="variable"/>
    <w:sig w:usb0="E00002FF" w:usb1="2AC7FDFF" w:usb2="00000016" w:usb3="00000000" w:csb0="0002009F" w:csb1="00000000"/>
  </w:font>
  <w:font w:name="Times">
    <w:panose1 w:val="02020603050405020304"/>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3FF0" w:rsidRDefault="00F13FF0">
      <w:r>
        <w:separator/>
      </w:r>
    </w:p>
  </w:footnote>
  <w:footnote w:type="continuationSeparator" w:id="0">
    <w:p w:rsidR="00F13FF0" w:rsidRDefault="00F13FF0">
      <w:r>
        <w:continuationSeparator/>
      </w:r>
    </w:p>
  </w:footnote>
  <w:footnote w:id="1">
    <w:p w:rsidR="00574BA5" w:rsidRPr="00574BA5" w:rsidRDefault="00574BA5" w:rsidP="00574BA5">
      <w:pPr>
        <w:pStyle w:val="FootnoteText"/>
        <w:ind w:firstLine="0"/>
        <w:rPr>
          <w:lang w:val="en-CA"/>
        </w:rPr>
      </w:pPr>
      <w:r w:rsidRPr="00574BA5">
        <w:rPr>
          <w:rStyle w:val="FootnoteReference"/>
          <w:u w:val="none"/>
        </w:rPr>
        <w:t>*</w:t>
      </w:r>
      <w:r>
        <w:t xml:space="preserve"> </w:t>
      </w:r>
      <w:r>
        <w:rPr>
          <w:lang w:val="en-CA"/>
        </w:rPr>
        <w:t>Issued without editing.</w:t>
      </w:r>
    </w:p>
  </w:footnote>
  <w:footnote w:id="2">
    <w:p w:rsidR="00BD40B8" w:rsidRPr="007B77F7" w:rsidRDefault="00BD40B8" w:rsidP="00413295">
      <w:pPr>
        <w:pStyle w:val="FootnoteText"/>
        <w:ind w:firstLine="0"/>
      </w:pPr>
      <w:r>
        <w:rPr>
          <w:rStyle w:val="FootnoteReference"/>
        </w:rPr>
        <w:footnoteRef/>
      </w:r>
      <w:r>
        <w:t xml:space="preserve"> </w:t>
      </w:r>
      <w:hyperlink r:id="rId1" w:history="1">
        <w:r w:rsidRPr="00AB79AA">
          <w:rPr>
            <w:rStyle w:val="Hyperlink"/>
          </w:rPr>
          <w:t>https://www.cbd.int/doc/notifications/2017/ntf-2017-056-ias-en.pdf</w:t>
        </w:r>
      </w:hyperlink>
      <w:r>
        <w:t xml:space="preserve"> </w:t>
      </w:r>
    </w:p>
  </w:footnote>
  <w:footnote w:id="3">
    <w:p w:rsidR="00BD40B8" w:rsidRPr="00B81C59" w:rsidRDefault="00BD40B8" w:rsidP="00413295">
      <w:pPr>
        <w:pStyle w:val="FootnoteText"/>
        <w:ind w:firstLine="0"/>
      </w:pPr>
      <w:r>
        <w:rPr>
          <w:rStyle w:val="FootnoteReference"/>
        </w:rPr>
        <w:footnoteRef/>
      </w:r>
      <w:r>
        <w:t xml:space="preserve"> </w:t>
      </w:r>
      <w:r w:rsidRPr="00B81C59">
        <w:t>https://www.cbd.int/doc/notifications/2017/ntf-2017-074-ias-en.pdf</w:t>
      </w:r>
    </w:p>
  </w:footnote>
  <w:footnote w:id="4">
    <w:p w:rsidR="00784BF4" w:rsidRPr="007B77F7" w:rsidRDefault="00784BF4" w:rsidP="00413295">
      <w:pPr>
        <w:pStyle w:val="FootnoteText"/>
        <w:ind w:firstLine="0"/>
      </w:pPr>
      <w:r>
        <w:rPr>
          <w:rStyle w:val="FootnoteReference"/>
        </w:rPr>
        <w:footnoteRef/>
      </w:r>
      <w:r>
        <w:t xml:space="preserve"> Information will be posted on the CBD web site at </w:t>
      </w:r>
      <w:r w:rsidRPr="00B81C59">
        <w:t xml:space="preserve">https://www.cbd.int/invasive/national-reports.shtml </w:t>
      </w:r>
      <w:r>
        <w:t>/</w:t>
      </w:r>
    </w:p>
  </w:footnote>
  <w:footnote w:id="5">
    <w:p w:rsidR="00784BF4" w:rsidRPr="0048621B" w:rsidRDefault="00784BF4" w:rsidP="00413295">
      <w:pPr>
        <w:pStyle w:val="FootnoteText"/>
        <w:ind w:firstLine="0"/>
      </w:pPr>
      <w:r>
        <w:rPr>
          <w:rStyle w:val="FootnoteReference"/>
        </w:rPr>
        <w:footnoteRef/>
      </w:r>
      <w:r>
        <w:t xml:space="preserve"> </w:t>
      </w:r>
      <w:r w:rsidRPr="0048621B">
        <w:t>https://www.cbd.int/convention/sbstta-modus.shtml</w:t>
      </w:r>
    </w:p>
  </w:footnote>
  <w:footnote w:id="6">
    <w:p w:rsidR="00BD40B8" w:rsidRPr="00B81C59" w:rsidRDefault="00BD40B8" w:rsidP="00413295">
      <w:pPr>
        <w:pStyle w:val="FootnoteText"/>
        <w:ind w:firstLine="0"/>
      </w:pPr>
      <w:r>
        <w:rPr>
          <w:rStyle w:val="FootnoteReference"/>
        </w:rPr>
        <w:footnoteRef/>
      </w:r>
      <w:r>
        <w:t xml:space="preserve"> Information will be posted on the CBD web site at https://www.cbd.int/ias/lg/</w:t>
      </w:r>
    </w:p>
  </w:footnote>
  <w:footnote w:id="7">
    <w:p w:rsidR="00330991" w:rsidRPr="00330991" w:rsidRDefault="00330991" w:rsidP="00413295">
      <w:pPr>
        <w:pStyle w:val="FootnoteText"/>
        <w:ind w:firstLine="0"/>
      </w:pPr>
      <w:r>
        <w:rPr>
          <w:rStyle w:val="FootnoteReference"/>
        </w:rPr>
        <w:footnoteRef/>
      </w:r>
      <w:r>
        <w:t xml:space="preserve"> </w:t>
      </w:r>
      <w:r w:rsidRPr="00330991">
        <w:t>https://www.nappo.org/files/1814/4065/2949/RSPM12_30-07-2015-e.pdf</w:t>
      </w:r>
    </w:p>
  </w:footnote>
  <w:footnote w:id="8">
    <w:p w:rsidR="00736955" w:rsidRDefault="001E0F49" w:rsidP="00413295">
      <w:pPr>
        <w:pStyle w:val="FootnoteText"/>
        <w:ind w:firstLine="0"/>
      </w:pPr>
      <w:r>
        <w:rPr>
          <w:rStyle w:val="FootnoteReference"/>
        </w:rPr>
        <w:footnoteRef/>
      </w:r>
      <w:r>
        <w:t xml:space="preserve"> </w:t>
      </w:r>
      <w:proofErr w:type="gramStart"/>
      <w:r w:rsidR="00736955" w:rsidRPr="00736955">
        <w:t xml:space="preserve">http://www.iobc-global.org/publications.html </w:t>
      </w:r>
      <w:r w:rsidR="00736955">
        <w:t>,</w:t>
      </w:r>
      <w:proofErr w:type="gramEnd"/>
    </w:p>
    <w:p w:rsidR="001E0F49" w:rsidRPr="001E0F49" w:rsidRDefault="001E0F49" w:rsidP="00413295">
      <w:pPr>
        <w:pStyle w:val="FootnoteText"/>
        <w:ind w:firstLine="0"/>
      </w:pPr>
      <w:r w:rsidRPr="001E0F49">
        <w:t>http://www.iobc-global.org/publications_iobc_internet_book_of_biological_control.html</w:t>
      </w:r>
    </w:p>
  </w:footnote>
  <w:footnote w:id="9">
    <w:p w:rsidR="00BD40B8" w:rsidRPr="00A92163" w:rsidRDefault="00BD40B8">
      <w:pPr>
        <w:pStyle w:val="FootnoteText"/>
      </w:pPr>
      <w:r>
        <w:rPr>
          <w:rStyle w:val="FootnoteReference"/>
        </w:rPr>
        <w:footnoteRef/>
      </w:r>
      <w:r>
        <w:t xml:space="preserve"> </w:t>
      </w:r>
      <w:r w:rsidRPr="00A92163">
        <w:rPr>
          <w:color w:val="333333"/>
          <w:szCs w:val="18"/>
          <w:lang w:val="en"/>
        </w:rPr>
        <w:t>One representative entered a formal objection during the process leading to the adoption of this decision and underlined that he did not believe that the Conference of the Parties could legitimatly adopt a motion or a text with a formal objection in place. A few representatives expressed reservations regarding the procedure leading to the adoption of this decision (see UNEP/CBD/COP/6/20, paras. 294-324).</w:t>
      </w:r>
    </w:p>
  </w:footnote>
  <w:footnote w:id="10">
    <w:p w:rsidR="00BD40B8" w:rsidRPr="00994AB3" w:rsidRDefault="00BD40B8" w:rsidP="00413295">
      <w:pPr>
        <w:pStyle w:val="FootnoteText"/>
        <w:ind w:firstLine="0"/>
        <w:rPr>
          <w:lang w:val="en-US"/>
        </w:rPr>
      </w:pPr>
      <w:r w:rsidRPr="008B1253">
        <w:rPr>
          <w:rStyle w:val="FootnoteReference"/>
          <w:u w:val="none"/>
        </w:rPr>
        <w:footnoteRef/>
      </w:r>
      <w:r w:rsidRPr="008B1253">
        <w:t xml:space="preserve"> </w:t>
      </w:r>
      <w:r>
        <w:t>The full discussion document on c</w:t>
      </w:r>
      <w:r w:rsidRPr="00994AB3">
        <w:t xml:space="preserve">limate </w:t>
      </w:r>
      <w:r>
        <w:t>c</w:t>
      </w:r>
      <w:r w:rsidRPr="00994AB3">
        <w:t xml:space="preserve">hange and </w:t>
      </w:r>
      <w:r>
        <w:t>p</w:t>
      </w:r>
      <w:r w:rsidRPr="00994AB3">
        <w:t xml:space="preserve">est </w:t>
      </w:r>
      <w:r>
        <w:t>r</w:t>
      </w:r>
      <w:r w:rsidRPr="00994AB3">
        <w:t xml:space="preserve">isk </w:t>
      </w:r>
      <w:r>
        <w:t>a</w:t>
      </w:r>
      <w:r w:rsidRPr="00994AB3">
        <w:t>nalysis</w:t>
      </w:r>
      <w:r>
        <w:t xml:space="preserve"> p</w:t>
      </w:r>
      <w:r w:rsidRPr="00994AB3">
        <w:t xml:space="preserve">repared by members of the Pest Risk Analysis and Invasive Species Panels of the North American Plant Protection Organization (NAPPO) </w:t>
      </w:r>
      <w:r>
        <w:t xml:space="preserve">is available at </w:t>
      </w:r>
      <w:hyperlink r:id="rId2" w:history="1">
        <w:r w:rsidRPr="004E5F33">
          <w:rPr>
            <w:rStyle w:val="Hyperlink"/>
          </w:rPr>
          <w:t>https://www.nappo.org/files/4814/3781/8174/Climate_Change_Discussion_DocumentRev-07-08-12-e.pdf</w:t>
        </w:r>
      </w:hyperlink>
      <w:r>
        <w:t>.</w:t>
      </w:r>
    </w:p>
  </w:footnote>
  <w:footnote w:id="11">
    <w:p w:rsidR="004971BD" w:rsidRPr="004971BD" w:rsidRDefault="004971BD" w:rsidP="00413295">
      <w:pPr>
        <w:pStyle w:val="FootnoteText"/>
        <w:ind w:firstLine="0"/>
        <w:rPr>
          <w:lang w:val="en-US"/>
        </w:rPr>
      </w:pPr>
      <w:r>
        <w:rPr>
          <w:rStyle w:val="FootnoteReference"/>
        </w:rPr>
        <w:footnoteRef/>
      </w:r>
      <w:r>
        <w:t xml:space="preserve"> </w:t>
      </w:r>
      <w:r w:rsidRPr="004971BD">
        <w:t>https://www.landcareresearch.co.nz/publications/books/biocontrol-of-weeds-book</w:t>
      </w:r>
    </w:p>
  </w:footnote>
  <w:footnote w:id="12">
    <w:p w:rsidR="00BD40B8" w:rsidRPr="0048529D" w:rsidRDefault="00BD40B8" w:rsidP="00413295">
      <w:pPr>
        <w:pStyle w:val="FootnoteText"/>
        <w:ind w:firstLine="0"/>
        <w:rPr>
          <w:lang w:val="it-IT"/>
        </w:rPr>
      </w:pPr>
      <w:r w:rsidRPr="00CA2913">
        <w:rPr>
          <w:rStyle w:val="FootnoteReference"/>
          <w:szCs w:val="18"/>
          <w:u w:val="none"/>
          <w:vertAlign w:val="superscript"/>
        </w:rPr>
        <w:footnoteRef/>
      </w:r>
      <w:r w:rsidRPr="00303711">
        <w:rPr>
          <w:rStyle w:val="FootnoteReference"/>
          <w:u w:val="none"/>
        </w:rPr>
        <w:t xml:space="preserve"> </w:t>
      </w:r>
      <w:proofErr w:type="spellStart"/>
      <w:r w:rsidRPr="00303711">
        <w:rPr>
          <w:rStyle w:val="FootnoteReference"/>
          <w:u w:val="none"/>
        </w:rPr>
        <w:t>Bacher</w:t>
      </w:r>
      <w:proofErr w:type="spellEnd"/>
      <w:r w:rsidRPr="00303711">
        <w:rPr>
          <w:rStyle w:val="FootnoteReference"/>
          <w:u w:val="none"/>
        </w:rPr>
        <w:t xml:space="preserve">, S., Blackburn, T.M., </w:t>
      </w:r>
      <w:proofErr w:type="spellStart"/>
      <w:r w:rsidRPr="00303711">
        <w:rPr>
          <w:rStyle w:val="FootnoteReference"/>
          <w:u w:val="none"/>
        </w:rPr>
        <w:t>Essl</w:t>
      </w:r>
      <w:proofErr w:type="spellEnd"/>
      <w:r w:rsidRPr="00303711">
        <w:rPr>
          <w:rStyle w:val="FootnoteReference"/>
          <w:u w:val="none"/>
        </w:rPr>
        <w:t xml:space="preserve">, F., Genovesi, P., </w:t>
      </w:r>
      <w:proofErr w:type="spellStart"/>
      <w:r w:rsidRPr="00303711">
        <w:rPr>
          <w:rStyle w:val="FootnoteReference"/>
          <w:u w:val="none"/>
        </w:rPr>
        <w:t>Heikkilä</w:t>
      </w:r>
      <w:proofErr w:type="spellEnd"/>
      <w:r w:rsidRPr="00303711">
        <w:rPr>
          <w:rStyle w:val="FootnoteReference"/>
          <w:u w:val="none"/>
        </w:rPr>
        <w:t xml:space="preserve">, J., </w:t>
      </w:r>
      <w:proofErr w:type="spellStart"/>
      <w:r w:rsidRPr="00303711">
        <w:rPr>
          <w:rStyle w:val="FootnoteReference"/>
          <w:u w:val="none"/>
        </w:rPr>
        <w:t>Jeschke</w:t>
      </w:r>
      <w:proofErr w:type="spellEnd"/>
      <w:r w:rsidRPr="00303711">
        <w:rPr>
          <w:rStyle w:val="FootnoteReference"/>
          <w:u w:val="none"/>
        </w:rPr>
        <w:t>, J.M., et al. (2017) Socio-economic impact classification of alien taxa (SEICAT). Methods in Ecology and Evolution, 2017, 1–10.</w:t>
      </w:r>
    </w:p>
  </w:footnote>
  <w:footnote w:id="13">
    <w:p w:rsidR="00BD40B8" w:rsidRPr="00063E9F" w:rsidRDefault="00BD40B8" w:rsidP="00413295">
      <w:pPr>
        <w:pStyle w:val="FootnoteText"/>
        <w:ind w:firstLine="0"/>
        <w:rPr>
          <w:lang w:val="en-US"/>
        </w:rPr>
      </w:pPr>
      <w:r w:rsidRPr="00CA2913">
        <w:rPr>
          <w:rStyle w:val="FootnoteReference"/>
          <w:szCs w:val="18"/>
          <w:u w:val="none"/>
          <w:vertAlign w:val="superscript"/>
        </w:rPr>
        <w:footnoteRef/>
      </w:r>
      <w:r w:rsidRPr="00397C1C">
        <w:t xml:space="preserve"> </w:t>
      </w:r>
      <w:r>
        <w:rPr>
          <w:lang w:val="en-US"/>
        </w:rPr>
        <w:t>The study illustrated by Mr. Hirsch is entitled “</w:t>
      </w:r>
      <w:r w:rsidRPr="00397C1C">
        <w:rPr>
          <w:lang w:val="en-US"/>
        </w:rPr>
        <w:t xml:space="preserve">Climate-change-induced range shifts of three allergenic </w:t>
      </w:r>
      <w:proofErr w:type="spellStart"/>
      <w:r w:rsidRPr="00397C1C">
        <w:rPr>
          <w:lang w:val="en-US"/>
        </w:rPr>
        <w:t>ragweeds</w:t>
      </w:r>
      <w:proofErr w:type="spellEnd"/>
      <w:r w:rsidRPr="00397C1C">
        <w:rPr>
          <w:lang w:val="en-US"/>
        </w:rPr>
        <w:t xml:space="preserve"> (</w:t>
      </w:r>
      <w:r w:rsidRPr="00397C1C">
        <w:rPr>
          <w:i/>
          <w:lang w:val="en-US"/>
        </w:rPr>
        <w:t>Ambrosia</w:t>
      </w:r>
      <w:r w:rsidRPr="00397C1C">
        <w:rPr>
          <w:lang w:val="en-US"/>
        </w:rPr>
        <w:t xml:space="preserve"> L.) in Europe and their potential impact on human health</w:t>
      </w:r>
      <w:r>
        <w:rPr>
          <w:lang w:val="en-US"/>
        </w:rPr>
        <w:t xml:space="preserve">” and is available at: </w:t>
      </w:r>
      <w:hyperlink r:id="rId3" w:history="1">
        <w:r w:rsidRPr="0003765D">
          <w:rPr>
            <w:rStyle w:val="Hyperlink"/>
            <w:lang w:val="en-US"/>
          </w:rPr>
          <w:t>https://peerj.com/articles/3104/</w:t>
        </w:r>
      </w:hyperlink>
      <w:r>
        <w:rPr>
          <w:lang w:val="en-US"/>
        </w:rPr>
        <w:t xml:space="preserve"> </w:t>
      </w:r>
    </w:p>
  </w:footnote>
  <w:footnote w:id="14">
    <w:p w:rsidR="00BD40B8" w:rsidRPr="0048529D" w:rsidRDefault="00BD40B8" w:rsidP="00413295">
      <w:pPr>
        <w:pStyle w:val="FootnoteText"/>
        <w:ind w:firstLine="0"/>
        <w:rPr>
          <w:lang w:val="it-IT"/>
        </w:rPr>
      </w:pPr>
      <w:r>
        <w:rPr>
          <w:rStyle w:val="FootnoteReference"/>
        </w:rPr>
        <w:footnoteRef/>
      </w:r>
      <w:r>
        <w:t xml:space="preserve"> For a discussion on this issue see: </w:t>
      </w:r>
      <w:r w:rsidRPr="00CA2913">
        <w:rPr>
          <w:lang w:val="it-IT"/>
        </w:rPr>
        <w:t xml:space="preserve">IUCN/SSC (2013). </w:t>
      </w:r>
      <w:r w:rsidRPr="00CA2913">
        <w:rPr>
          <w:lang w:val="it-IT"/>
        </w:rPr>
        <w:t>Guidelines for Reintroductions and Other Conservation</w:t>
      </w:r>
      <w:r>
        <w:rPr>
          <w:lang w:val="it-IT"/>
        </w:rPr>
        <w:t xml:space="preserve"> </w:t>
      </w:r>
      <w:r w:rsidRPr="00CA2913">
        <w:rPr>
          <w:lang w:val="it-IT"/>
        </w:rPr>
        <w:t>Translocations. Version 1.0. Gland, Switzerland: IUCN Species Survival Commission,</w:t>
      </w:r>
      <w:r>
        <w:rPr>
          <w:lang w:val="it-IT"/>
        </w:rPr>
        <w:t xml:space="preserve"> </w:t>
      </w:r>
      <w:r w:rsidRPr="00CA2913">
        <w:rPr>
          <w:lang w:val="it-IT"/>
        </w:rPr>
        <w:t>viiii + 57 pp.</w:t>
      </w:r>
    </w:p>
  </w:footnote>
  <w:footnote w:id="15">
    <w:p w:rsidR="00BD40B8" w:rsidRPr="00DF5DA3" w:rsidRDefault="00BD40B8" w:rsidP="00413295">
      <w:pPr>
        <w:pStyle w:val="FootnoteText"/>
        <w:ind w:firstLine="0"/>
        <w:rPr>
          <w:lang w:val="en-US"/>
        </w:rPr>
      </w:pPr>
      <w:r w:rsidRPr="00DF5DA3">
        <w:rPr>
          <w:rStyle w:val="FootnoteReference"/>
          <w:u w:val="none"/>
        </w:rPr>
        <w:footnoteRef/>
      </w:r>
      <w:r w:rsidRPr="00DF5DA3">
        <w:t xml:space="preserve"> </w:t>
      </w:r>
      <w:r>
        <w:rPr>
          <w:lang w:val="en-US"/>
        </w:rPr>
        <w:t xml:space="preserve">For more information on the survey on invasive alien species management, consult CBD notifications </w:t>
      </w:r>
      <w:hyperlink r:id="rId4" w:history="1">
        <w:r w:rsidRPr="00DF5DA3">
          <w:rPr>
            <w:rStyle w:val="Hyperlink"/>
            <w:lang w:val="en-US"/>
          </w:rPr>
          <w:t>2017-056</w:t>
        </w:r>
      </w:hyperlink>
      <w:r>
        <w:rPr>
          <w:lang w:val="en-US"/>
        </w:rPr>
        <w:t xml:space="preserve"> and </w:t>
      </w:r>
      <w:hyperlink r:id="rId5" w:history="1">
        <w:r w:rsidRPr="00DF5DA3">
          <w:rPr>
            <w:rStyle w:val="Hyperlink"/>
            <w:lang w:val="en-US"/>
          </w:rPr>
          <w:t>2017-074</w:t>
        </w:r>
      </w:hyperlink>
      <w:r>
        <w:rPr>
          <w:lang w:val="en-US"/>
        </w:rPr>
        <w:t>.</w:t>
      </w:r>
    </w:p>
  </w:footnote>
  <w:footnote w:id="16">
    <w:p w:rsidR="00F51B84" w:rsidRPr="00F51B84" w:rsidRDefault="00F51B84" w:rsidP="00413295">
      <w:pPr>
        <w:pStyle w:val="FootnoteText"/>
        <w:ind w:firstLine="0"/>
      </w:pPr>
      <w:r>
        <w:rPr>
          <w:rStyle w:val="FootnoteReference"/>
        </w:rPr>
        <w:footnoteRef/>
      </w:r>
      <w:r>
        <w:t xml:space="preserve"> </w:t>
      </w:r>
      <w:r w:rsidRPr="00F51B84">
        <w:t>https://www.unece.org/fileadmin/DAM/trans/doc/2014/wp24/CTU_Code_January_2014.pdf</w:t>
      </w:r>
    </w:p>
  </w:footnote>
  <w:footnote w:id="17">
    <w:p w:rsidR="00F51B84" w:rsidRPr="004C4C7C" w:rsidRDefault="00F51B84" w:rsidP="00413295">
      <w:pPr>
        <w:pStyle w:val="FootnoteText"/>
        <w:ind w:firstLine="0"/>
        <w:rPr>
          <w:lang w:val="en-US"/>
        </w:rPr>
      </w:pPr>
      <w:r>
        <w:rPr>
          <w:rStyle w:val="FootnoteReference"/>
        </w:rPr>
        <w:footnoteRef/>
      </w:r>
      <w:r>
        <w:t xml:space="preserve"> </w:t>
      </w:r>
      <w:r w:rsidRPr="00F51B84">
        <w:t>https://www.glc.org/work/gldiatr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8" w:rsidRPr="00332B2D" w:rsidRDefault="00BD40B8" w:rsidP="005440A6">
    <w:pPr>
      <w:pStyle w:val="Header"/>
      <w:tabs>
        <w:tab w:val="clear" w:pos="4320"/>
        <w:tab w:val="clear" w:pos="8640"/>
      </w:tabs>
      <w:jc w:val="left"/>
      <w:rPr>
        <w:noProof/>
        <w:kern w:val="22"/>
        <w:lang w:val="fr-FR"/>
      </w:rPr>
    </w:pPr>
    <w:r w:rsidRPr="00C7654B">
      <w:rPr>
        <w:noProof/>
        <w:kern w:val="22"/>
        <w:lang w:val="pt-BR"/>
      </w:rPr>
      <w:t>CBD/IAS/EM/2017/1/1/Add.1</w:t>
    </w:r>
  </w:p>
  <w:p w:rsidR="00BD40B8" w:rsidRPr="00332B2D" w:rsidRDefault="00BD40B8" w:rsidP="005440A6">
    <w:pPr>
      <w:pStyle w:val="Header"/>
      <w:tabs>
        <w:tab w:val="clear" w:pos="4320"/>
        <w:tab w:val="clear" w:pos="8640"/>
      </w:tabs>
      <w:jc w:val="left"/>
      <w:rPr>
        <w:noProof/>
        <w:kern w:val="22"/>
        <w:lang w:val="fr-FR"/>
      </w:rPr>
    </w:pPr>
    <w:r w:rsidRPr="00332B2D">
      <w:rPr>
        <w:noProof/>
        <w:kern w:val="22"/>
        <w:lang w:val="fr-FR"/>
      </w:rPr>
      <w:t xml:space="preserve">Page </w:t>
    </w:r>
    <w:r w:rsidRPr="005440A6">
      <w:rPr>
        <w:noProof/>
        <w:kern w:val="22"/>
      </w:rPr>
      <w:fldChar w:fldCharType="begin"/>
    </w:r>
    <w:r w:rsidRPr="00332B2D">
      <w:rPr>
        <w:noProof/>
        <w:kern w:val="22"/>
        <w:lang w:val="fr-FR"/>
      </w:rPr>
      <w:instrText xml:space="preserve"> PAGE   \* MERGEFORMAT </w:instrText>
    </w:r>
    <w:r w:rsidRPr="005440A6">
      <w:rPr>
        <w:noProof/>
        <w:kern w:val="22"/>
      </w:rPr>
      <w:fldChar w:fldCharType="separate"/>
    </w:r>
    <w:r w:rsidR="00574BA5">
      <w:rPr>
        <w:noProof/>
        <w:kern w:val="22"/>
        <w:lang w:val="fr-FR"/>
      </w:rPr>
      <w:t>16</w:t>
    </w:r>
    <w:r w:rsidRPr="005440A6">
      <w:rPr>
        <w:noProof/>
        <w:kern w:val="22"/>
      </w:rPr>
      <w:fldChar w:fldCharType="end"/>
    </w:r>
  </w:p>
  <w:p w:rsidR="00BD40B8" w:rsidRPr="00332B2D" w:rsidRDefault="00BD40B8" w:rsidP="005440A6">
    <w:pPr>
      <w:pStyle w:val="Header"/>
      <w:tabs>
        <w:tab w:val="clear" w:pos="4320"/>
        <w:tab w:val="clear" w:pos="8640"/>
      </w:tabs>
      <w:jc w:val="left"/>
      <w:rPr>
        <w:noProof/>
        <w:kern w:val="2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8" w:rsidRPr="00332B2D" w:rsidRDefault="00BD40B8" w:rsidP="00BE45DE">
    <w:pPr>
      <w:pStyle w:val="Header"/>
      <w:tabs>
        <w:tab w:val="clear" w:pos="4320"/>
        <w:tab w:val="clear" w:pos="8640"/>
      </w:tabs>
      <w:jc w:val="right"/>
      <w:rPr>
        <w:noProof/>
        <w:kern w:val="22"/>
        <w:lang w:val="fr-FR"/>
      </w:rPr>
    </w:pPr>
    <w:r w:rsidRPr="00C7654B">
      <w:rPr>
        <w:noProof/>
        <w:kern w:val="22"/>
        <w:lang w:val="pt-BR"/>
      </w:rPr>
      <w:t>CBD/IAS/EM/2017/1/1/Add.1</w:t>
    </w:r>
  </w:p>
  <w:p w:rsidR="00BD40B8" w:rsidRPr="00332B2D" w:rsidRDefault="00BD40B8" w:rsidP="005440A6">
    <w:pPr>
      <w:pStyle w:val="Header"/>
      <w:tabs>
        <w:tab w:val="clear" w:pos="4320"/>
        <w:tab w:val="clear" w:pos="8640"/>
      </w:tabs>
      <w:jc w:val="right"/>
      <w:rPr>
        <w:noProof/>
        <w:kern w:val="22"/>
        <w:lang w:val="fr-FR"/>
      </w:rPr>
    </w:pPr>
    <w:r w:rsidRPr="00332B2D">
      <w:rPr>
        <w:noProof/>
        <w:kern w:val="22"/>
        <w:lang w:val="fr-FR"/>
      </w:rPr>
      <w:t xml:space="preserve">Page </w:t>
    </w:r>
    <w:r w:rsidRPr="005440A6">
      <w:rPr>
        <w:noProof/>
        <w:kern w:val="22"/>
      </w:rPr>
      <w:fldChar w:fldCharType="begin"/>
    </w:r>
    <w:r w:rsidRPr="00332B2D">
      <w:rPr>
        <w:noProof/>
        <w:kern w:val="22"/>
        <w:lang w:val="fr-FR"/>
      </w:rPr>
      <w:instrText xml:space="preserve"> PAGE   \* MERGEFORMAT </w:instrText>
    </w:r>
    <w:r w:rsidRPr="005440A6">
      <w:rPr>
        <w:noProof/>
        <w:kern w:val="22"/>
      </w:rPr>
      <w:fldChar w:fldCharType="separate"/>
    </w:r>
    <w:r w:rsidR="00574BA5">
      <w:rPr>
        <w:noProof/>
        <w:kern w:val="22"/>
        <w:lang w:val="fr-FR"/>
      </w:rPr>
      <w:t>17</w:t>
    </w:r>
    <w:r w:rsidRPr="005440A6">
      <w:rPr>
        <w:noProof/>
        <w:kern w:val="22"/>
      </w:rPr>
      <w:fldChar w:fldCharType="end"/>
    </w:r>
  </w:p>
  <w:p w:rsidR="00BD40B8" w:rsidRPr="00332B2D" w:rsidRDefault="00BD40B8" w:rsidP="005440A6">
    <w:pPr>
      <w:pStyle w:val="Header"/>
      <w:tabs>
        <w:tab w:val="clear" w:pos="4320"/>
        <w:tab w:val="clear" w:pos="8640"/>
      </w:tabs>
      <w:jc w:val="right"/>
      <w:rPr>
        <w:noProof/>
        <w:kern w:val="22"/>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0B8" w:rsidRDefault="00BD4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7660"/>
    <w:multiLevelType w:val="multilevel"/>
    <w:tmpl w:val="4FF01174"/>
    <w:lvl w:ilvl="0">
      <w:start w:val="1"/>
      <w:numFmt w:val="decimal"/>
      <w:lvlText w:val="%1."/>
      <w:lvlJc w:val="left"/>
      <w:pPr>
        <w:tabs>
          <w:tab w:val="num" w:pos="360"/>
        </w:tabs>
        <w:ind w:left="0" w:firstLine="0"/>
      </w:pPr>
      <w:rPr>
        <w:rFonts w:ascii="Times New Roman" w:hAnsi="Times New Roman" w:hint="default"/>
        <w:b w:val="0"/>
        <w:i w:val="0"/>
        <w:caps w:val="0"/>
        <w:smallCaps w:val="0"/>
        <w:strike w:val="0"/>
        <w:dstrike w:val="0"/>
        <w:color w:val="000000"/>
        <w:spacing w:val="0"/>
        <w:w w:val="100"/>
        <w:kern w:val="0"/>
        <w:position w:val="0"/>
        <w:sz w:val="22"/>
        <w:vertAlign w:val="baseline"/>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6BE0DBA"/>
    <w:multiLevelType w:val="hybridMultilevel"/>
    <w:tmpl w:val="5DAC2272"/>
    <w:lvl w:ilvl="0" w:tplc="EE2CC46E">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F1C6E"/>
    <w:multiLevelType w:val="hybridMultilevel"/>
    <w:tmpl w:val="BBB81930"/>
    <w:lvl w:ilvl="0" w:tplc="FC54B540">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3950648A"/>
    <w:multiLevelType w:val="hybridMultilevel"/>
    <w:tmpl w:val="07E8C2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37114E"/>
    <w:multiLevelType w:val="hybridMultilevel"/>
    <w:tmpl w:val="0B9E1BFE"/>
    <w:lvl w:ilvl="0" w:tplc="FC54B540">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CC7FBB"/>
    <w:multiLevelType w:val="hybridMultilevel"/>
    <w:tmpl w:val="45E4BE68"/>
    <w:lvl w:ilvl="0" w:tplc="F89AE9DE">
      <w:start w:val="1"/>
      <w:numFmt w:val="lowerLetter"/>
      <w:pStyle w:val="Para2"/>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5C60BD3"/>
    <w:multiLevelType w:val="hybridMultilevel"/>
    <w:tmpl w:val="EAF685F8"/>
    <w:lvl w:ilvl="0" w:tplc="EC8C57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3F1CB0"/>
    <w:multiLevelType w:val="hybridMultilevel"/>
    <w:tmpl w:val="EAF685F8"/>
    <w:lvl w:ilvl="0" w:tplc="EC8C57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4"/>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87D72F7"/>
    <w:multiLevelType w:val="hybridMultilevel"/>
    <w:tmpl w:val="7BAAAF46"/>
    <w:lvl w:ilvl="0" w:tplc="0409000F">
      <w:start w:val="1"/>
      <w:numFmt w:val="decimal"/>
      <w:lvlText w:val="%1."/>
      <w:lvlJc w:val="left"/>
      <w:pPr>
        <w:ind w:left="720" w:hanging="360"/>
      </w:pPr>
      <w:rPr>
        <w:rFont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EC8C5788">
      <w:start w:val="1"/>
      <w:numFmt w:val="lowerLetter"/>
      <w:lvlText w:val="(%2)"/>
      <w:lvlJc w:val="left"/>
      <w:pPr>
        <w:ind w:left="14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A7A01"/>
    <w:multiLevelType w:val="hybridMultilevel"/>
    <w:tmpl w:val="EAF685F8"/>
    <w:lvl w:ilvl="0" w:tplc="EC8C57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970CC"/>
    <w:multiLevelType w:val="hybridMultilevel"/>
    <w:tmpl w:val="EAF685F8"/>
    <w:lvl w:ilvl="0" w:tplc="EC8C57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E15048"/>
    <w:multiLevelType w:val="hybridMultilevel"/>
    <w:tmpl w:val="EAF685F8"/>
    <w:lvl w:ilvl="0" w:tplc="EC8C57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846E87"/>
    <w:multiLevelType w:val="hybridMultilevel"/>
    <w:tmpl w:val="EAF685F8"/>
    <w:lvl w:ilvl="0" w:tplc="EC8C57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A25856"/>
    <w:multiLevelType w:val="hybridMultilevel"/>
    <w:tmpl w:val="3140ED08"/>
    <w:lvl w:ilvl="0" w:tplc="EC8C5788">
      <w:start w:val="1"/>
      <w:numFmt w:val="lowerLetter"/>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6"/>
  </w:num>
  <w:num w:numId="4">
    <w:abstractNumId w:val="10"/>
  </w:num>
  <w:num w:numId="5">
    <w:abstractNumId w:val="9"/>
  </w:num>
  <w:num w:numId="6">
    <w:abstractNumId w:val="11"/>
  </w:num>
  <w:num w:numId="7">
    <w:abstractNumId w:val="15"/>
  </w:num>
  <w:num w:numId="8">
    <w:abstractNumId w:val="12"/>
  </w:num>
  <w:num w:numId="9">
    <w:abstractNumId w:val="14"/>
  </w:num>
  <w:num w:numId="10">
    <w:abstractNumId w:val="5"/>
  </w:num>
  <w:num w:numId="11">
    <w:abstractNumId w:val="2"/>
  </w:num>
  <w:num w:numId="12">
    <w:abstractNumId w:val="0"/>
  </w:num>
  <w:num w:numId="13">
    <w:abstractNumId w:val="16"/>
  </w:num>
  <w:num w:numId="14">
    <w:abstractNumId w:val="1"/>
  </w:num>
  <w:num w:numId="15">
    <w:abstractNumId w:val="4"/>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 w:numId="45">
    <w:abstractNumId w:val="10"/>
  </w:num>
  <w:num w:numId="46">
    <w:abstractNumId w:val="7"/>
  </w:num>
  <w:num w:numId="47">
    <w:abstractNumId w:val="13"/>
  </w:num>
  <w:num w:numId="4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283"/>
  <w:evenAndOddHeaders/>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3B"/>
    <w:rsid w:val="0002003B"/>
    <w:rsid w:val="00021556"/>
    <w:rsid w:val="000219AC"/>
    <w:rsid w:val="00022610"/>
    <w:rsid w:val="00025A5E"/>
    <w:rsid w:val="00027ABF"/>
    <w:rsid w:val="00031D24"/>
    <w:rsid w:val="00036270"/>
    <w:rsid w:val="00037873"/>
    <w:rsid w:val="000400D4"/>
    <w:rsid w:val="00042B7B"/>
    <w:rsid w:val="00043C59"/>
    <w:rsid w:val="0005041F"/>
    <w:rsid w:val="00050AAB"/>
    <w:rsid w:val="00054381"/>
    <w:rsid w:val="00063E9F"/>
    <w:rsid w:val="0006547B"/>
    <w:rsid w:val="0006588F"/>
    <w:rsid w:val="000711E1"/>
    <w:rsid w:val="00073708"/>
    <w:rsid w:val="000756C9"/>
    <w:rsid w:val="00083D66"/>
    <w:rsid w:val="00084394"/>
    <w:rsid w:val="000914AF"/>
    <w:rsid w:val="000A0F6F"/>
    <w:rsid w:val="000A20C3"/>
    <w:rsid w:val="000A4355"/>
    <w:rsid w:val="000B60CA"/>
    <w:rsid w:val="000C7C6A"/>
    <w:rsid w:val="000D434E"/>
    <w:rsid w:val="000D468B"/>
    <w:rsid w:val="000D6585"/>
    <w:rsid w:val="000E1485"/>
    <w:rsid w:val="000E3159"/>
    <w:rsid w:val="000E637D"/>
    <w:rsid w:val="000E7E6A"/>
    <w:rsid w:val="000F63AB"/>
    <w:rsid w:val="000F7C15"/>
    <w:rsid w:val="001021A4"/>
    <w:rsid w:val="0012214B"/>
    <w:rsid w:val="00124477"/>
    <w:rsid w:val="001272D4"/>
    <w:rsid w:val="00142DAB"/>
    <w:rsid w:val="00150953"/>
    <w:rsid w:val="00166367"/>
    <w:rsid w:val="00176A6B"/>
    <w:rsid w:val="0018235A"/>
    <w:rsid w:val="0018536C"/>
    <w:rsid w:val="00192E06"/>
    <w:rsid w:val="0019622C"/>
    <w:rsid w:val="001A210A"/>
    <w:rsid w:val="001A5072"/>
    <w:rsid w:val="001B0384"/>
    <w:rsid w:val="001C60B4"/>
    <w:rsid w:val="001C7261"/>
    <w:rsid w:val="001D19F8"/>
    <w:rsid w:val="001E0F49"/>
    <w:rsid w:val="001E7D19"/>
    <w:rsid w:val="001F1E7C"/>
    <w:rsid w:val="001F6379"/>
    <w:rsid w:val="00204415"/>
    <w:rsid w:val="0021478A"/>
    <w:rsid w:val="00224B92"/>
    <w:rsid w:val="00225BA4"/>
    <w:rsid w:val="00234984"/>
    <w:rsid w:val="002357E1"/>
    <w:rsid w:val="002427B7"/>
    <w:rsid w:val="002458AD"/>
    <w:rsid w:val="00252897"/>
    <w:rsid w:val="002652B5"/>
    <w:rsid w:val="00272CC9"/>
    <w:rsid w:val="00274651"/>
    <w:rsid w:val="00275279"/>
    <w:rsid w:val="002805E3"/>
    <w:rsid w:val="00280AEC"/>
    <w:rsid w:val="00282108"/>
    <w:rsid w:val="0028231C"/>
    <w:rsid w:val="00284045"/>
    <w:rsid w:val="0029214A"/>
    <w:rsid w:val="002A1EBC"/>
    <w:rsid w:val="002A49AA"/>
    <w:rsid w:val="002B0942"/>
    <w:rsid w:val="002B1CFE"/>
    <w:rsid w:val="002B23FC"/>
    <w:rsid w:val="002B3B85"/>
    <w:rsid w:val="002D2FA4"/>
    <w:rsid w:val="002E4BA5"/>
    <w:rsid w:val="002E70E4"/>
    <w:rsid w:val="002F08BC"/>
    <w:rsid w:val="003003C5"/>
    <w:rsid w:val="00303711"/>
    <w:rsid w:val="00305900"/>
    <w:rsid w:val="003059F0"/>
    <w:rsid w:val="0030663F"/>
    <w:rsid w:val="003210FF"/>
    <w:rsid w:val="003211CF"/>
    <w:rsid w:val="00325DE3"/>
    <w:rsid w:val="00330991"/>
    <w:rsid w:val="00331B71"/>
    <w:rsid w:val="00332B2D"/>
    <w:rsid w:val="00336766"/>
    <w:rsid w:val="00342FF6"/>
    <w:rsid w:val="00347502"/>
    <w:rsid w:val="00353BF8"/>
    <w:rsid w:val="00362DA2"/>
    <w:rsid w:val="00383D58"/>
    <w:rsid w:val="00392641"/>
    <w:rsid w:val="00397C1C"/>
    <w:rsid w:val="003B10B9"/>
    <w:rsid w:val="003B12DA"/>
    <w:rsid w:val="003B758E"/>
    <w:rsid w:val="003C113F"/>
    <w:rsid w:val="003C147D"/>
    <w:rsid w:val="003C24D9"/>
    <w:rsid w:val="003C7FC6"/>
    <w:rsid w:val="003D50FD"/>
    <w:rsid w:val="003D73DA"/>
    <w:rsid w:val="003E2DAE"/>
    <w:rsid w:val="003E5503"/>
    <w:rsid w:val="003E693E"/>
    <w:rsid w:val="003E7A33"/>
    <w:rsid w:val="003F5A49"/>
    <w:rsid w:val="003F6E44"/>
    <w:rsid w:val="00401133"/>
    <w:rsid w:val="00406BC6"/>
    <w:rsid w:val="00407D57"/>
    <w:rsid w:val="0041002F"/>
    <w:rsid w:val="00410F2F"/>
    <w:rsid w:val="00413295"/>
    <w:rsid w:val="00413BFE"/>
    <w:rsid w:val="0044424E"/>
    <w:rsid w:val="00447468"/>
    <w:rsid w:val="004517D9"/>
    <w:rsid w:val="0047364D"/>
    <w:rsid w:val="00476164"/>
    <w:rsid w:val="004764C3"/>
    <w:rsid w:val="00476A41"/>
    <w:rsid w:val="0048529D"/>
    <w:rsid w:val="0048621B"/>
    <w:rsid w:val="004971BD"/>
    <w:rsid w:val="004A0FB0"/>
    <w:rsid w:val="004A63E3"/>
    <w:rsid w:val="004B2252"/>
    <w:rsid w:val="004B597A"/>
    <w:rsid w:val="004C4C7C"/>
    <w:rsid w:val="004C50BA"/>
    <w:rsid w:val="004D0C7C"/>
    <w:rsid w:val="004D18A2"/>
    <w:rsid w:val="004D43D5"/>
    <w:rsid w:val="004D70C1"/>
    <w:rsid w:val="004F1C97"/>
    <w:rsid w:val="004F5367"/>
    <w:rsid w:val="00500530"/>
    <w:rsid w:val="005032C9"/>
    <w:rsid w:val="0051453D"/>
    <w:rsid w:val="00516C26"/>
    <w:rsid w:val="00524E1D"/>
    <w:rsid w:val="00536777"/>
    <w:rsid w:val="00543AD0"/>
    <w:rsid w:val="00543D41"/>
    <w:rsid w:val="005440A6"/>
    <w:rsid w:val="00547CAF"/>
    <w:rsid w:val="00553595"/>
    <w:rsid w:val="00556B9C"/>
    <w:rsid w:val="00573DDE"/>
    <w:rsid w:val="00574BA5"/>
    <w:rsid w:val="0057552F"/>
    <w:rsid w:val="00576B72"/>
    <w:rsid w:val="005955D2"/>
    <w:rsid w:val="005A1D0C"/>
    <w:rsid w:val="005A4284"/>
    <w:rsid w:val="005B1288"/>
    <w:rsid w:val="005B7DB2"/>
    <w:rsid w:val="005C04D5"/>
    <w:rsid w:val="005D139C"/>
    <w:rsid w:val="005D6413"/>
    <w:rsid w:val="005D7698"/>
    <w:rsid w:val="005E519D"/>
    <w:rsid w:val="005F3C0A"/>
    <w:rsid w:val="005F4C74"/>
    <w:rsid w:val="006037B1"/>
    <w:rsid w:val="00605407"/>
    <w:rsid w:val="00607DD6"/>
    <w:rsid w:val="00611A2C"/>
    <w:rsid w:val="006260D5"/>
    <w:rsid w:val="00630BFE"/>
    <w:rsid w:val="00640D9C"/>
    <w:rsid w:val="006507D1"/>
    <w:rsid w:val="006507F2"/>
    <w:rsid w:val="0066706D"/>
    <w:rsid w:val="00670A51"/>
    <w:rsid w:val="00687979"/>
    <w:rsid w:val="00690847"/>
    <w:rsid w:val="006A611B"/>
    <w:rsid w:val="006B074E"/>
    <w:rsid w:val="006B2BD5"/>
    <w:rsid w:val="006B3187"/>
    <w:rsid w:val="006B5B45"/>
    <w:rsid w:val="006C511D"/>
    <w:rsid w:val="006D0E3D"/>
    <w:rsid w:val="006E7C2D"/>
    <w:rsid w:val="006F284C"/>
    <w:rsid w:val="006F7227"/>
    <w:rsid w:val="00702366"/>
    <w:rsid w:val="00705779"/>
    <w:rsid w:val="0070781B"/>
    <w:rsid w:val="00714449"/>
    <w:rsid w:val="007163BC"/>
    <w:rsid w:val="00726A7A"/>
    <w:rsid w:val="00730AE3"/>
    <w:rsid w:val="00733363"/>
    <w:rsid w:val="00736955"/>
    <w:rsid w:val="00736BC2"/>
    <w:rsid w:val="00743451"/>
    <w:rsid w:val="00752B06"/>
    <w:rsid w:val="0076108E"/>
    <w:rsid w:val="00771963"/>
    <w:rsid w:val="00776C9A"/>
    <w:rsid w:val="00784BF4"/>
    <w:rsid w:val="00785F66"/>
    <w:rsid w:val="0078710C"/>
    <w:rsid w:val="007900BE"/>
    <w:rsid w:val="0079325E"/>
    <w:rsid w:val="00797509"/>
    <w:rsid w:val="007B1587"/>
    <w:rsid w:val="007B2823"/>
    <w:rsid w:val="007B2F14"/>
    <w:rsid w:val="007B50C8"/>
    <w:rsid w:val="007B77F7"/>
    <w:rsid w:val="007C5285"/>
    <w:rsid w:val="007C633B"/>
    <w:rsid w:val="007D3182"/>
    <w:rsid w:val="007D4CA1"/>
    <w:rsid w:val="007F7DA3"/>
    <w:rsid w:val="00800D41"/>
    <w:rsid w:val="00805B39"/>
    <w:rsid w:val="00810C84"/>
    <w:rsid w:val="00811BA2"/>
    <w:rsid w:val="008158B6"/>
    <w:rsid w:val="00816544"/>
    <w:rsid w:val="00823E46"/>
    <w:rsid w:val="00825524"/>
    <w:rsid w:val="00826563"/>
    <w:rsid w:val="0083033F"/>
    <w:rsid w:val="0083211E"/>
    <w:rsid w:val="00834771"/>
    <w:rsid w:val="00843BCF"/>
    <w:rsid w:val="008460C1"/>
    <w:rsid w:val="0086173B"/>
    <w:rsid w:val="008652FA"/>
    <w:rsid w:val="00870D40"/>
    <w:rsid w:val="00876D45"/>
    <w:rsid w:val="00877EE3"/>
    <w:rsid w:val="008B1253"/>
    <w:rsid w:val="008B3F54"/>
    <w:rsid w:val="008B550F"/>
    <w:rsid w:val="008B5C1F"/>
    <w:rsid w:val="008C013C"/>
    <w:rsid w:val="008C1E35"/>
    <w:rsid w:val="008D01D2"/>
    <w:rsid w:val="008D2F8C"/>
    <w:rsid w:val="008D5AA2"/>
    <w:rsid w:val="008E5F84"/>
    <w:rsid w:val="008E7500"/>
    <w:rsid w:val="008F3A18"/>
    <w:rsid w:val="00901B1C"/>
    <w:rsid w:val="009032B4"/>
    <w:rsid w:val="0090616C"/>
    <w:rsid w:val="009067F8"/>
    <w:rsid w:val="00922EAD"/>
    <w:rsid w:val="0092794B"/>
    <w:rsid w:val="00931847"/>
    <w:rsid w:val="0093226C"/>
    <w:rsid w:val="00934182"/>
    <w:rsid w:val="0093680F"/>
    <w:rsid w:val="009418D8"/>
    <w:rsid w:val="009430C5"/>
    <w:rsid w:val="009475D5"/>
    <w:rsid w:val="009475E2"/>
    <w:rsid w:val="009518B7"/>
    <w:rsid w:val="00951C47"/>
    <w:rsid w:val="00953856"/>
    <w:rsid w:val="009554D5"/>
    <w:rsid w:val="00957153"/>
    <w:rsid w:val="00970F7F"/>
    <w:rsid w:val="00977353"/>
    <w:rsid w:val="00982252"/>
    <w:rsid w:val="00985880"/>
    <w:rsid w:val="00987281"/>
    <w:rsid w:val="00994AB3"/>
    <w:rsid w:val="009B5E1D"/>
    <w:rsid w:val="009B6809"/>
    <w:rsid w:val="009B7CB4"/>
    <w:rsid w:val="009C055E"/>
    <w:rsid w:val="009D0FDA"/>
    <w:rsid w:val="009D2F92"/>
    <w:rsid w:val="009E2B79"/>
    <w:rsid w:val="009E6EE9"/>
    <w:rsid w:val="009F5C7B"/>
    <w:rsid w:val="00A10051"/>
    <w:rsid w:val="00A154C8"/>
    <w:rsid w:val="00A15BC4"/>
    <w:rsid w:val="00A20F36"/>
    <w:rsid w:val="00A24C9C"/>
    <w:rsid w:val="00A30DAD"/>
    <w:rsid w:val="00A329A5"/>
    <w:rsid w:val="00A34BB9"/>
    <w:rsid w:val="00A502CC"/>
    <w:rsid w:val="00A54C3E"/>
    <w:rsid w:val="00A60632"/>
    <w:rsid w:val="00A62DF9"/>
    <w:rsid w:val="00A769C5"/>
    <w:rsid w:val="00A92163"/>
    <w:rsid w:val="00A943AD"/>
    <w:rsid w:val="00AA014E"/>
    <w:rsid w:val="00AA695A"/>
    <w:rsid w:val="00AB26F9"/>
    <w:rsid w:val="00AC1E69"/>
    <w:rsid w:val="00AC7373"/>
    <w:rsid w:val="00AD6A4C"/>
    <w:rsid w:val="00AE5EF7"/>
    <w:rsid w:val="00AF167F"/>
    <w:rsid w:val="00B04DC3"/>
    <w:rsid w:val="00B0788C"/>
    <w:rsid w:val="00B10BF7"/>
    <w:rsid w:val="00B12A97"/>
    <w:rsid w:val="00B21915"/>
    <w:rsid w:val="00B220CD"/>
    <w:rsid w:val="00B271A0"/>
    <w:rsid w:val="00B30952"/>
    <w:rsid w:val="00B3299A"/>
    <w:rsid w:val="00B337E7"/>
    <w:rsid w:val="00B35C1A"/>
    <w:rsid w:val="00B3695A"/>
    <w:rsid w:val="00B56B11"/>
    <w:rsid w:val="00B6751B"/>
    <w:rsid w:val="00B678CD"/>
    <w:rsid w:val="00B76ED0"/>
    <w:rsid w:val="00B81C59"/>
    <w:rsid w:val="00B85F9B"/>
    <w:rsid w:val="00B87DF5"/>
    <w:rsid w:val="00BA086A"/>
    <w:rsid w:val="00BA1498"/>
    <w:rsid w:val="00BA3233"/>
    <w:rsid w:val="00BB1BBE"/>
    <w:rsid w:val="00BB5183"/>
    <w:rsid w:val="00BC0007"/>
    <w:rsid w:val="00BC3FF1"/>
    <w:rsid w:val="00BC7AE6"/>
    <w:rsid w:val="00BD40B8"/>
    <w:rsid w:val="00BE37A4"/>
    <w:rsid w:val="00BE45DE"/>
    <w:rsid w:val="00BF3271"/>
    <w:rsid w:val="00BF65F2"/>
    <w:rsid w:val="00C053DB"/>
    <w:rsid w:val="00C076A9"/>
    <w:rsid w:val="00C15BBB"/>
    <w:rsid w:val="00C25A96"/>
    <w:rsid w:val="00C31FC0"/>
    <w:rsid w:val="00C37FF1"/>
    <w:rsid w:val="00C4178A"/>
    <w:rsid w:val="00C507CD"/>
    <w:rsid w:val="00C512F1"/>
    <w:rsid w:val="00C54210"/>
    <w:rsid w:val="00C57AEC"/>
    <w:rsid w:val="00C57ED6"/>
    <w:rsid w:val="00C61137"/>
    <w:rsid w:val="00C7654B"/>
    <w:rsid w:val="00C82B2B"/>
    <w:rsid w:val="00C912FE"/>
    <w:rsid w:val="00C973DC"/>
    <w:rsid w:val="00CA2913"/>
    <w:rsid w:val="00CA33F6"/>
    <w:rsid w:val="00CA3FC1"/>
    <w:rsid w:val="00CA6B87"/>
    <w:rsid w:val="00CB0DF4"/>
    <w:rsid w:val="00CB3752"/>
    <w:rsid w:val="00CB4537"/>
    <w:rsid w:val="00CB7BD1"/>
    <w:rsid w:val="00CC159B"/>
    <w:rsid w:val="00CC2031"/>
    <w:rsid w:val="00CC305A"/>
    <w:rsid w:val="00CC592A"/>
    <w:rsid w:val="00CD2122"/>
    <w:rsid w:val="00CE15A9"/>
    <w:rsid w:val="00CE51C3"/>
    <w:rsid w:val="00CE6416"/>
    <w:rsid w:val="00CF4F69"/>
    <w:rsid w:val="00D0086A"/>
    <w:rsid w:val="00D01595"/>
    <w:rsid w:val="00D06EA4"/>
    <w:rsid w:val="00D10226"/>
    <w:rsid w:val="00D1093D"/>
    <w:rsid w:val="00D22AE8"/>
    <w:rsid w:val="00D34236"/>
    <w:rsid w:val="00D37B48"/>
    <w:rsid w:val="00D432AD"/>
    <w:rsid w:val="00D53305"/>
    <w:rsid w:val="00D56704"/>
    <w:rsid w:val="00D65584"/>
    <w:rsid w:val="00D762BC"/>
    <w:rsid w:val="00D7665E"/>
    <w:rsid w:val="00D83B6A"/>
    <w:rsid w:val="00D860CA"/>
    <w:rsid w:val="00D9139F"/>
    <w:rsid w:val="00D9537D"/>
    <w:rsid w:val="00DA51FD"/>
    <w:rsid w:val="00DB035C"/>
    <w:rsid w:val="00DC165C"/>
    <w:rsid w:val="00DC16F1"/>
    <w:rsid w:val="00DD45F3"/>
    <w:rsid w:val="00DD52CC"/>
    <w:rsid w:val="00DD7546"/>
    <w:rsid w:val="00DE308B"/>
    <w:rsid w:val="00DF0385"/>
    <w:rsid w:val="00DF0757"/>
    <w:rsid w:val="00DF2511"/>
    <w:rsid w:val="00DF5DA3"/>
    <w:rsid w:val="00E00266"/>
    <w:rsid w:val="00E0119B"/>
    <w:rsid w:val="00E27AFD"/>
    <w:rsid w:val="00E3051F"/>
    <w:rsid w:val="00E3725E"/>
    <w:rsid w:val="00E37A7A"/>
    <w:rsid w:val="00E46CF1"/>
    <w:rsid w:val="00E47630"/>
    <w:rsid w:val="00E55B3B"/>
    <w:rsid w:val="00E55E91"/>
    <w:rsid w:val="00E61599"/>
    <w:rsid w:val="00E641D3"/>
    <w:rsid w:val="00E723C6"/>
    <w:rsid w:val="00E724D4"/>
    <w:rsid w:val="00E77097"/>
    <w:rsid w:val="00E8331F"/>
    <w:rsid w:val="00E84AB2"/>
    <w:rsid w:val="00E86FDA"/>
    <w:rsid w:val="00E934C3"/>
    <w:rsid w:val="00EA7525"/>
    <w:rsid w:val="00EB2C6E"/>
    <w:rsid w:val="00EC0891"/>
    <w:rsid w:val="00EC51B4"/>
    <w:rsid w:val="00EE4214"/>
    <w:rsid w:val="00EE51DB"/>
    <w:rsid w:val="00F0533D"/>
    <w:rsid w:val="00F13DC0"/>
    <w:rsid w:val="00F13FF0"/>
    <w:rsid w:val="00F14485"/>
    <w:rsid w:val="00F16F02"/>
    <w:rsid w:val="00F256EC"/>
    <w:rsid w:val="00F26A60"/>
    <w:rsid w:val="00F36A4D"/>
    <w:rsid w:val="00F36AEA"/>
    <w:rsid w:val="00F45FD7"/>
    <w:rsid w:val="00F465B6"/>
    <w:rsid w:val="00F51B84"/>
    <w:rsid w:val="00F64CB9"/>
    <w:rsid w:val="00F67181"/>
    <w:rsid w:val="00F77628"/>
    <w:rsid w:val="00F838DD"/>
    <w:rsid w:val="00F84124"/>
    <w:rsid w:val="00F9758C"/>
    <w:rsid w:val="00FB156A"/>
    <w:rsid w:val="00FB2037"/>
    <w:rsid w:val="00FC6159"/>
    <w:rsid w:val="00FD061C"/>
    <w:rsid w:val="00FD7BB3"/>
    <w:rsid w:val="00FE11D0"/>
    <w:rsid w:val="00FE7665"/>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B4A335"/>
  <w15:docId w15:val="{93B1E5C4-3548-41AB-B3F0-879010C7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1498"/>
    <w:pPr>
      <w:jc w:val="both"/>
    </w:pPr>
    <w:rPr>
      <w:sz w:val="22"/>
      <w:szCs w:val="24"/>
      <w:lang w:val="en-GB"/>
    </w:rPr>
  </w:style>
  <w:style w:type="paragraph" w:styleId="Heading1">
    <w:name w:val="heading 1"/>
    <w:basedOn w:val="Normal"/>
    <w:next w:val="Heading2"/>
    <w:qFormat/>
    <w:rsid w:val="004D43D5"/>
    <w:pPr>
      <w:keepNext/>
      <w:tabs>
        <w:tab w:val="left" w:pos="720"/>
      </w:tabs>
      <w:spacing w:before="240" w:after="120"/>
      <w:ind w:left="850" w:firstLine="1138"/>
      <w:jc w:val="center"/>
      <w:outlineLvl w:val="0"/>
    </w:pPr>
    <w:rPr>
      <w:b/>
      <w:caps/>
    </w:rPr>
  </w:style>
  <w:style w:type="paragraph" w:styleId="Heading2">
    <w:name w:val="heading 2"/>
    <w:basedOn w:val="Normal"/>
    <w:next w:val="Normal"/>
    <w:link w:val="Heading2Char"/>
    <w:qFormat/>
    <w:rsid w:val="004D43D5"/>
    <w:pPr>
      <w:keepNext/>
      <w:tabs>
        <w:tab w:val="left" w:pos="720"/>
      </w:tabs>
      <w:spacing w:before="24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rsid w:val="00F13DC0"/>
    <w:pPr>
      <w:numPr>
        <w:numId w:val="2"/>
      </w:numPr>
      <w:spacing w:before="120" w:after="120"/>
    </w:pPr>
    <w:rPr>
      <w:snapToGrid w:val="0"/>
      <w:szCs w:val="18"/>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n3,fn"/>
    <w:basedOn w:val="Normal"/>
    <w:link w:val="FootnoteTextChar"/>
    <w:uiPriority w:val="99"/>
    <w:qFormat/>
    <w:pPr>
      <w:keepLines/>
      <w:spacing w:after="60"/>
      <w:ind w:firstLine="720"/>
    </w:pPr>
    <w:rPr>
      <w:sz w:val="18"/>
    </w:rPr>
  </w:style>
  <w:style w:type="paragraph" w:styleId="BodyText">
    <w:name w:val="Body Text"/>
    <w:basedOn w:val="Normal"/>
    <w:pPr>
      <w:spacing w:before="120" w:after="120"/>
      <w:ind w:firstLine="720"/>
    </w:pPr>
    <w:rPr>
      <w:iCs/>
    </w:rPr>
  </w:style>
  <w:style w:type="character" w:customStyle="1" w:styleId="StyleFootnoteReferenceNounderline">
    <w:name w:val="Style Footnote Reference + No underline"/>
    <w:rsid w:val="006507F2"/>
    <w:rPr>
      <w:sz w:val="18"/>
      <w:u w:val="none"/>
      <w:vertAlign w:val="baseline"/>
    </w:rPr>
  </w:style>
  <w:style w:type="paragraph" w:customStyle="1" w:styleId="Quotationtextindented">
    <w:name w:val="Quotation text (indented)"/>
    <w:basedOn w:val="Normal"/>
    <w:qFormat/>
    <w:rsid w:val="006507F2"/>
    <w:pPr>
      <w:spacing w:before="120" w:after="120"/>
      <w:ind w:left="720" w:right="720"/>
    </w:pPr>
    <w:rPr>
      <w:bCs/>
    </w:rPr>
  </w:style>
  <w:style w:type="paragraph" w:customStyle="1" w:styleId="recommendationheader">
    <w:name w:val="recommendation header"/>
    <w:basedOn w:val="Heading2"/>
    <w:qFormat/>
    <w:rsid w:val="006507F2"/>
  </w:style>
  <w:style w:type="character" w:styleId="CommentReference">
    <w:name w:val="annotation reference"/>
    <w:semiHidden/>
    <w:rPr>
      <w:sz w:val="16"/>
    </w:rPr>
  </w:style>
  <w:style w:type="paragraph" w:styleId="CommentText">
    <w:name w:val="annotation text"/>
    <w:basedOn w:val="Normal"/>
    <w:link w:val="CommentTextChar"/>
    <w:semiHidden/>
    <w:pPr>
      <w:spacing w:after="120" w:line="240" w:lineRule="exact"/>
    </w:p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16 Poin"/>
    <w:qFormat/>
    <w:rPr>
      <w:sz w:val="18"/>
      <w:u w:val="single"/>
      <w:vertAlign w:val="baseline"/>
    </w:rPr>
  </w:style>
  <w:style w:type="paragraph" w:styleId="BodyTextIndent">
    <w:name w:val="Body Text Indent"/>
    <w:basedOn w:val="Normal"/>
    <w:pPr>
      <w:spacing w:before="120" w:after="120"/>
      <w:ind w:left="1440" w:hanging="720"/>
      <w:jc w:val="left"/>
    </w:pPr>
  </w:style>
  <w:style w:type="character" w:styleId="PageNumber">
    <w:name w:val="page number"/>
    <w:rPr>
      <w:rFonts w:ascii="Times New Roman" w:hAnsi="Times New Roman"/>
      <w:sz w:val="22"/>
    </w:rPr>
  </w:style>
  <w:style w:type="paragraph" w:customStyle="1" w:styleId="HEADING">
    <w:name w:val="HEADING"/>
    <w:basedOn w:val="Normal"/>
    <w:pPr>
      <w:keepNext/>
      <w:spacing w:before="240" w:after="120"/>
      <w:jc w:val="center"/>
    </w:pPr>
    <w:rPr>
      <w:b/>
      <w:bCs/>
      <w:caps/>
    </w:rPr>
  </w:style>
  <w:style w:type="paragraph" w:customStyle="1" w:styleId="para4">
    <w:name w:val="para4"/>
    <w:basedOn w:val="Normal"/>
    <w:pPr>
      <w:numPr>
        <w:ilvl w:val="3"/>
        <w:numId w:val="5"/>
      </w:num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Heading4indent">
    <w:name w:val="Heading 4 indent"/>
    <w:basedOn w:val="Heading4"/>
    <w:rsid w:val="000F63AB"/>
    <w:pPr>
      <w:ind w:left="720"/>
      <w:outlineLvl w:val="9"/>
    </w:pPr>
    <w:rPr>
      <w:rFonts w:ascii="Times New Roman" w:hAnsi="Times New Roman"/>
    </w:rPr>
  </w:style>
  <w:style w:type="paragraph" w:customStyle="1" w:styleId="Cornernotation">
    <w:name w:val="Corner notation"/>
    <w:basedOn w:val="Normal"/>
    <w:pPr>
      <w:ind w:left="170" w:right="3119" w:hanging="170"/>
      <w:jc w:val="left"/>
    </w:pPr>
  </w:style>
  <w:style w:type="paragraph" w:customStyle="1" w:styleId="Para3">
    <w:name w:val="Para3"/>
    <w:basedOn w:val="Normal"/>
    <w:pPr>
      <w:numPr>
        <w:ilvl w:val="2"/>
        <w:numId w:val="4"/>
      </w:numPr>
      <w:tabs>
        <w:tab w:val="left" w:pos="1980"/>
      </w:tabs>
      <w:spacing w:before="80" w:after="80"/>
    </w:pPr>
    <w:rPr>
      <w:szCs w:val="20"/>
    </w:rPr>
  </w:style>
  <w:style w:type="paragraph" w:customStyle="1" w:styleId="recommendationheaderlong">
    <w:name w:val="recommendation header long"/>
    <w:basedOn w:val="Heading2longmultiline"/>
    <w:qFormat/>
    <w:rsid w:val="000F63AB"/>
  </w:style>
  <w:style w:type="paragraph" w:customStyle="1" w:styleId="tabletitle">
    <w:name w:val="table title"/>
    <w:basedOn w:val="Heading2"/>
    <w:qFormat/>
    <w:rsid w:val="000F63AB"/>
    <w:pPr>
      <w:jc w:val="left"/>
      <w:outlineLvl w:val="9"/>
    </w:pPr>
  </w:style>
  <w:style w:type="paragraph" w:styleId="TOAHeading">
    <w:name w:val="toa heading"/>
    <w:basedOn w:val="Normal"/>
    <w:next w:val="Normal"/>
    <w:semiHidden/>
    <w:pPr>
      <w:spacing w:before="120"/>
    </w:pPr>
    <w:rPr>
      <w:rFonts w:cs="Arial"/>
      <w:b/>
      <w:bCs/>
      <w:sz w:val="24"/>
    </w:rPr>
  </w:style>
  <w:style w:type="paragraph" w:styleId="TOC9">
    <w:name w:val="toc 9"/>
    <w:basedOn w:val="Normal"/>
    <w:next w:val="Normal"/>
    <w:autoRedefine/>
    <w:semiHidden/>
    <w:pPr>
      <w:spacing w:before="120" w:after="120"/>
      <w:ind w:left="1760"/>
      <w:jc w:val="left"/>
    </w:pPr>
  </w:style>
  <w:style w:type="paragraph" w:styleId="TOC1">
    <w:name w:val="toc 1"/>
    <w:basedOn w:val="Normal"/>
    <w:next w:val="Normal"/>
    <w:autoRedefine/>
    <w:semiHidden/>
    <w:pPr>
      <w:ind w:left="720" w:hanging="720"/>
    </w:pPr>
    <w:rPr>
      <w:caps/>
    </w:rPr>
  </w:style>
  <w:style w:type="paragraph" w:styleId="TOC2">
    <w:name w:val="toc 2"/>
    <w:basedOn w:val="Normal"/>
    <w:next w:val="Normal"/>
    <w:autoRedefine/>
    <w:semiHidden/>
    <w:pPr>
      <w:tabs>
        <w:tab w:val="right" w:leader="dot" w:pos="9356"/>
      </w:tabs>
      <w:ind w:left="1440" w:hanging="720"/>
    </w:pPr>
    <w:rPr>
      <w:noProof/>
      <w:szCs w:val="22"/>
    </w:rPr>
  </w:style>
  <w:style w:type="paragraph" w:styleId="TOC3">
    <w:name w:val="toc 3"/>
    <w:basedOn w:val="Normal"/>
    <w:next w:val="Normal"/>
    <w:autoRedefine/>
    <w:semiHidden/>
    <w:pPr>
      <w:ind w:left="2160" w:hanging="720"/>
    </w:pPr>
  </w:style>
  <w:style w:type="paragraph" w:styleId="TOC4">
    <w:name w:val="toc 4"/>
    <w:basedOn w:val="Normal"/>
    <w:next w:val="Normal"/>
    <w:autoRedefine/>
    <w:semiHidden/>
    <w:pPr>
      <w:spacing w:before="120" w:after="120"/>
      <w:ind w:left="660"/>
      <w:jc w:val="left"/>
    </w:pPr>
  </w:style>
  <w:style w:type="paragraph" w:styleId="TOC5">
    <w:name w:val="toc 5"/>
    <w:basedOn w:val="Normal"/>
    <w:next w:val="Normal"/>
    <w:autoRedefine/>
    <w:semiHidden/>
    <w:pPr>
      <w:spacing w:before="120" w:after="120"/>
      <w:ind w:left="880"/>
      <w:jc w:val="left"/>
    </w:pPr>
  </w:style>
  <w:style w:type="paragraph" w:styleId="TOC6">
    <w:name w:val="toc 6"/>
    <w:basedOn w:val="Normal"/>
    <w:next w:val="Normal"/>
    <w:autoRedefine/>
    <w:semiHidden/>
    <w:pPr>
      <w:spacing w:before="120" w:after="120"/>
      <w:ind w:left="1100"/>
      <w:jc w:val="left"/>
    </w:pPr>
  </w:style>
  <w:style w:type="paragraph" w:styleId="TOC7">
    <w:name w:val="toc 7"/>
    <w:basedOn w:val="Normal"/>
    <w:next w:val="Normal"/>
    <w:autoRedefine/>
    <w:semiHidden/>
    <w:pPr>
      <w:spacing w:before="120" w:after="120"/>
      <w:ind w:left="1320"/>
      <w:jc w:val="left"/>
    </w:pPr>
  </w:style>
  <w:style w:type="paragraph" w:styleId="TOC8">
    <w:name w:val="toc 8"/>
    <w:basedOn w:val="Normal"/>
    <w:next w:val="Normal"/>
    <w:autoRedefine/>
    <w:semiHidden/>
    <w:pPr>
      <w:spacing w:before="120" w:after="120"/>
      <w:ind w:left="1540"/>
      <w:jc w:val="left"/>
    </w:pPr>
  </w:style>
  <w:style w:type="paragraph" w:customStyle="1" w:styleId="reference">
    <w:name w:val="reference"/>
    <w:basedOn w:val="Heading9"/>
    <w:qFormat/>
    <w:rsid w:val="000F63AB"/>
    <w:rPr>
      <w:i w:val="0"/>
      <w:sz w:val="18"/>
    </w:rPr>
  </w:style>
  <w:style w:type="character" w:styleId="FollowedHyperlink">
    <w:name w:val="FollowedHyperlink"/>
    <w:rPr>
      <w:color w:val="800080"/>
      <w:u w:val="single"/>
    </w:rPr>
  </w:style>
  <w:style w:type="paragraph" w:customStyle="1" w:styleId="Style1">
    <w:name w:val="Style1"/>
    <w:basedOn w:val="Heading2"/>
    <w:qFormat/>
    <w:rsid w:val="00CA6B87"/>
    <w:rPr>
      <w:i w:val="0"/>
    </w:rPr>
  </w:style>
  <w:style w:type="paragraph" w:customStyle="1" w:styleId="Para2">
    <w:name w:val="Para2"/>
    <w:basedOn w:val="Para1"/>
    <w:pPr>
      <w:numPr>
        <w:numId w:val="3"/>
      </w:numPr>
      <w:tabs>
        <w:tab w:val="clear" w:pos="1080"/>
      </w:tabs>
      <w:autoSpaceDE w:val="0"/>
      <w:autoSpaceDN w:val="0"/>
      <w:ind w:left="0" w:firstLine="720"/>
    </w:pPr>
  </w:style>
  <w:style w:type="paragraph" w:customStyle="1" w:styleId="Para-decision">
    <w:name w:val="Para-decision"/>
    <w:basedOn w:val="Normal"/>
    <w:rsid w:val="006507F2"/>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character" w:styleId="Hyperlink">
    <w:name w:val="Hyperlink"/>
    <w:uiPriority w:val="99"/>
    <w:unhideWhenUsed/>
    <w:rsid w:val="00406BC6"/>
    <w:rPr>
      <w:color w:val="0000FF"/>
      <w:u w:val="single"/>
    </w:rPr>
  </w:style>
  <w:style w:type="character" w:styleId="EndnoteReference">
    <w:name w:val="endnote reference"/>
    <w:semiHidden/>
    <w:rPr>
      <w:vertAlign w:val="superscript"/>
    </w:rPr>
  </w:style>
  <w:style w:type="paragraph" w:styleId="EndnoteText">
    <w:name w:val="endnote text"/>
    <w:basedOn w:val="Normal"/>
    <w:semiHidden/>
    <w:pPr>
      <w:widowControl w:val="0"/>
      <w:tabs>
        <w:tab w:val="left" w:pos="-720"/>
      </w:tabs>
      <w:suppressAutoHyphens/>
    </w:pPr>
    <w:rPr>
      <w:rFonts w:ascii="Courier New" w:hAnsi="Courier New"/>
    </w:rPr>
  </w:style>
  <w:style w:type="paragraph" w:customStyle="1" w:styleId="Heading1longmultiline">
    <w:name w:val="Heading 1 (long multiline)"/>
    <w:basedOn w:val="Heading1"/>
    <w:pPr>
      <w:ind w:left="1843" w:hanging="1134"/>
      <w:jc w:val="left"/>
    </w:p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Para1"/>
    <w:pPr>
      <w:spacing w:before="120"/>
      <w:ind w:left="1843" w:right="998" w:hanging="567"/>
      <w:jc w:val="left"/>
    </w:pPr>
    <w:rPr>
      <w:i/>
      <w:iCs/>
      <w:caps w:val="0"/>
    </w:rPr>
  </w:style>
  <w:style w:type="paragraph" w:customStyle="1" w:styleId="Heading2longmultiline">
    <w:name w:val="Heading 2 (long multiline)"/>
    <w:basedOn w:val="Heading2multiline"/>
    <w:rsid w:val="00E55B3B"/>
    <w:pPr>
      <w:ind w:left="2127" w:hanging="1276"/>
    </w:pPr>
    <w:rPr>
      <w:i w:val="0"/>
    </w:rPr>
  </w:style>
  <w:style w:type="paragraph" w:customStyle="1" w:styleId="Heading3multiline">
    <w:name w:val="Heading 3 (multiline)"/>
    <w:basedOn w:val="Heading3"/>
    <w:next w:val="Para1"/>
    <w:pPr>
      <w:ind w:left="1418" w:hanging="425"/>
      <w:jc w:val="left"/>
    </w:pPr>
  </w:style>
  <w:style w:type="paragraph" w:customStyle="1" w:styleId="heading2notforTOC">
    <w:name w:val="heading 2 not for TOC"/>
    <w:basedOn w:val="Heading3"/>
    <w:rsid w:val="00A71706"/>
  </w:style>
  <w:style w:type="paragraph" w:customStyle="1" w:styleId="HEADINGNOTFORTOC">
    <w:name w:val="HEADING (NOT FOR TOC)"/>
    <w:basedOn w:val="Heading1"/>
    <w:next w:val="Heading2"/>
    <w:rsid w:val="00BB5903"/>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link w:val="FootnoteText"/>
    <w:uiPriority w:val="99"/>
    <w:rsid w:val="00406BC6"/>
    <w:rPr>
      <w:sz w:val="18"/>
      <w:szCs w:val="24"/>
      <w:lang w:val="en-GB" w:eastAsia="en-US"/>
    </w:rPr>
  </w:style>
  <w:style w:type="paragraph" w:customStyle="1" w:styleId="decision">
    <w:name w:val="decision"/>
    <w:basedOn w:val="Normal"/>
    <w:qFormat/>
    <w:rsid w:val="00406BC6"/>
    <w:pPr>
      <w:keepNext/>
      <w:spacing w:before="240" w:after="120"/>
      <w:ind w:hanging="11"/>
      <w:jc w:val="center"/>
    </w:pPr>
    <w:rPr>
      <w:b/>
      <w:kern w:val="22"/>
    </w:rPr>
  </w:style>
  <w:style w:type="paragraph" w:styleId="BalloonText">
    <w:name w:val="Balloon Text"/>
    <w:basedOn w:val="Normal"/>
    <w:link w:val="BalloonTextChar"/>
    <w:uiPriority w:val="99"/>
    <w:semiHidden/>
    <w:unhideWhenUsed/>
    <w:rsid w:val="00406BC6"/>
    <w:rPr>
      <w:rFonts w:ascii="Tahoma" w:hAnsi="Tahoma" w:cs="Tahoma"/>
      <w:sz w:val="16"/>
      <w:szCs w:val="16"/>
    </w:rPr>
  </w:style>
  <w:style w:type="character" w:customStyle="1" w:styleId="BalloonTextChar">
    <w:name w:val="Balloon Text Char"/>
    <w:link w:val="BalloonText"/>
    <w:uiPriority w:val="99"/>
    <w:semiHidden/>
    <w:rsid w:val="00406BC6"/>
    <w:rPr>
      <w:rFonts w:ascii="Tahoma" w:hAnsi="Tahoma" w:cs="Tahoma"/>
      <w:sz w:val="16"/>
      <w:szCs w:val="16"/>
      <w:lang w:val="en-GB" w:eastAsia="en-US"/>
    </w:rPr>
  </w:style>
  <w:style w:type="character" w:customStyle="1" w:styleId="apple-converted-space">
    <w:name w:val="apple-converted-space"/>
    <w:rsid w:val="00CF4F69"/>
  </w:style>
  <w:style w:type="paragraph" w:styleId="CommentSubject">
    <w:name w:val="annotation subject"/>
    <w:basedOn w:val="CommentText"/>
    <w:next w:val="CommentText"/>
    <w:link w:val="CommentSubjectChar"/>
    <w:uiPriority w:val="99"/>
    <w:semiHidden/>
    <w:unhideWhenUsed/>
    <w:rsid w:val="00D9537D"/>
    <w:pPr>
      <w:spacing w:after="0" w:line="240" w:lineRule="auto"/>
    </w:pPr>
    <w:rPr>
      <w:b/>
      <w:bCs/>
      <w:sz w:val="20"/>
      <w:szCs w:val="20"/>
    </w:rPr>
  </w:style>
  <w:style w:type="character" w:customStyle="1" w:styleId="CommentTextChar">
    <w:name w:val="Comment Text Char"/>
    <w:link w:val="CommentText"/>
    <w:semiHidden/>
    <w:rsid w:val="00D9537D"/>
    <w:rPr>
      <w:sz w:val="22"/>
      <w:szCs w:val="24"/>
      <w:lang w:val="en-GB"/>
    </w:rPr>
  </w:style>
  <w:style w:type="character" w:customStyle="1" w:styleId="CommentSubjectChar">
    <w:name w:val="Comment Subject Char"/>
    <w:link w:val="CommentSubject"/>
    <w:uiPriority w:val="99"/>
    <w:semiHidden/>
    <w:rsid w:val="00D9537D"/>
    <w:rPr>
      <w:b/>
      <w:bCs/>
      <w:sz w:val="22"/>
      <w:szCs w:val="24"/>
      <w:lang w:val="en-GB"/>
    </w:rPr>
  </w:style>
  <w:style w:type="paragraph" w:styleId="Revision">
    <w:name w:val="Revision"/>
    <w:hidden/>
    <w:uiPriority w:val="99"/>
    <w:semiHidden/>
    <w:rsid w:val="00D9537D"/>
    <w:rPr>
      <w:sz w:val="22"/>
      <w:szCs w:val="24"/>
      <w:lang w:val="en-GB"/>
    </w:rPr>
  </w:style>
  <w:style w:type="character" w:styleId="PlaceholderText">
    <w:name w:val="Placeholder Text"/>
    <w:uiPriority w:val="67"/>
    <w:rsid w:val="00073708"/>
    <w:rPr>
      <w:color w:val="808080"/>
    </w:rPr>
  </w:style>
  <w:style w:type="paragraph" w:styleId="ListParagraph">
    <w:name w:val="List Paragraph"/>
    <w:basedOn w:val="Normal"/>
    <w:uiPriority w:val="72"/>
    <w:rsid w:val="00F16F02"/>
    <w:pPr>
      <w:ind w:left="720"/>
      <w:contextualSpacing/>
    </w:pPr>
  </w:style>
  <w:style w:type="paragraph" w:customStyle="1" w:styleId="meetingname">
    <w:name w:val="meeting name"/>
    <w:basedOn w:val="Cornernotation"/>
    <w:qFormat/>
    <w:rsid w:val="00F13DC0"/>
    <w:rPr>
      <w:caps/>
      <w:snapToGrid w:val="0"/>
    </w:rPr>
  </w:style>
  <w:style w:type="paragraph" w:customStyle="1" w:styleId="Heading0">
    <w:name w:val="Heading"/>
    <w:basedOn w:val="Heading1"/>
    <w:next w:val="Normal"/>
    <w:rsid w:val="00DF0385"/>
    <w:pPr>
      <w:ind w:left="1758" w:right="357" w:hanging="318"/>
    </w:pPr>
    <w:rPr>
      <w:rFonts w:eastAsia="Times New Roman" w:cs="Angsana New"/>
      <w:bCs/>
      <w:caps w:val="0"/>
    </w:rPr>
  </w:style>
  <w:style w:type="paragraph" w:customStyle="1" w:styleId="Default">
    <w:name w:val="Default"/>
    <w:rsid w:val="00D65584"/>
    <w:pPr>
      <w:autoSpaceDE w:val="0"/>
      <w:autoSpaceDN w:val="0"/>
      <w:adjustRightInd w:val="0"/>
    </w:pPr>
    <w:rPr>
      <w:color w:val="000000"/>
      <w:sz w:val="24"/>
      <w:szCs w:val="24"/>
      <w:lang w:eastAsia="ja-JP"/>
    </w:rPr>
  </w:style>
  <w:style w:type="paragraph" w:styleId="Title">
    <w:name w:val="Title"/>
    <w:basedOn w:val="Normal"/>
    <w:next w:val="Normal"/>
    <w:link w:val="TitleChar"/>
    <w:uiPriority w:val="10"/>
    <w:qFormat/>
    <w:rsid w:val="00353BF8"/>
    <w:pPr>
      <w:spacing w:before="240" w:after="12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353BF8"/>
    <w:rPr>
      <w:rFonts w:eastAsiaTheme="majorEastAsia" w:cstheme="majorBidi"/>
      <w:b/>
      <w:spacing w:val="5"/>
      <w:kern w:val="28"/>
      <w:sz w:val="22"/>
      <w:szCs w:val="52"/>
      <w:lang w:val="en-GB"/>
    </w:rPr>
  </w:style>
  <w:style w:type="table" w:styleId="TableGrid">
    <w:name w:val="Table Grid"/>
    <w:basedOn w:val="TableNormal"/>
    <w:uiPriority w:val="59"/>
    <w:rsid w:val="00AE5E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03711"/>
    <w:pPr>
      <w:spacing w:before="100" w:beforeAutospacing="1" w:after="100" w:afterAutospacing="1"/>
      <w:jc w:val="left"/>
    </w:pPr>
    <w:rPr>
      <w:rFonts w:ascii="Times" w:eastAsiaTheme="minorEastAsia" w:hAnsi="Times"/>
      <w:sz w:val="20"/>
      <w:szCs w:val="20"/>
      <w:lang w:val="it-IT" w:eastAsia="it-IT"/>
    </w:rPr>
  </w:style>
  <w:style w:type="character" w:customStyle="1" w:styleId="Heading2Char">
    <w:name w:val="Heading 2 Char"/>
    <w:basedOn w:val="DefaultParagraphFont"/>
    <w:link w:val="Heading2"/>
    <w:rsid w:val="00E723C6"/>
    <w:rPr>
      <w:b/>
      <w:bCs/>
      <w:i/>
      <w:iC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101338">
      <w:bodyDiv w:val="1"/>
      <w:marLeft w:val="0"/>
      <w:marRight w:val="0"/>
      <w:marTop w:val="0"/>
      <w:marBottom w:val="0"/>
      <w:divBdr>
        <w:top w:val="none" w:sz="0" w:space="0" w:color="auto"/>
        <w:left w:val="none" w:sz="0" w:space="0" w:color="auto"/>
        <w:bottom w:val="none" w:sz="0" w:space="0" w:color="auto"/>
        <w:right w:val="none" w:sz="0" w:space="0" w:color="auto"/>
      </w:divBdr>
    </w:div>
    <w:div w:id="898055434">
      <w:bodyDiv w:val="1"/>
      <w:marLeft w:val="0"/>
      <w:marRight w:val="0"/>
      <w:marTop w:val="0"/>
      <w:marBottom w:val="0"/>
      <w:divBdr>
        <w:top w:val="none" w:sz="0" w:space="0" w:color="auto"/>
        <w:left w:val="none" w:sz="0" w:space="0" w:color="auto"/>
        <w:bottom w:val="none" w:sz="0" w:space="0" w:color="auto"/>
        <w:right w:val="none" w:sz="0" w:space="0" w:color="auto"/>
      </w:divBdr>
    </w:div>
    <w:div w:id="1398894817">
      <w:bodyDiv w:val="1"/>
      <w:marLeft w:val="0"/>
      <w:marRight w:val="0"/>
      <w:marTop w:val="0"/>
      <w:marBottom w:val="0"/>
      <w:divBdr>
        <w:top w:val="none" w:sz="0" w:space="0" w:color="auto"/>
        <w:left w:val="none" w:sz="0" w:space="0" w:color="auto"/>
        <w:bottom w:val="none" w:sz="0" w:space="0" w:color="auto"/>
        <w:right w:val="none" w:sz="0" w:space="0" w:color="auto"/>
      </w:divBdr>
    </w:div>
    <w:div w:id="2129860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oc/c/cfcc/b61b/f2aaa853d9ae0fe8c5cd05d5/ias-em-2017-01-01-add1-en.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c/3dcc/7ea1/348e884efbe151913ae5b64a/ias-em-2017-01-01-en.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peerj.com/articles/3104/" TargetMode="External"/><Relationship Id="rId2" Type="http://schemas.openxmlformats.org/officeDocument/2006/relationships/hyperlink" Target="https://www.nappo.org/files/4814/3781/8174/Climate_Change_Discussion_DocumentRev-07-08-12-e.pdf" TargetMode="External"/><Relationship Id="rId1" Type="http://schemas.openxmlformats.org/officeDocument/2006/relationships/hyperlink" Target="https://www.cbd.int/doc/notifications/2017/ntf-2017-056-ias-en.pdf" TargetMode="External"/><Relationship Id="rId5" Type="http://schemas.openxmlformats.org/officeDocument/2006/relationships/hyperlink" Target="https://www.cbd.int/doc/notifications/2017/ntf-2017-074-ias-en.pdf" TargetMode="External"/><Relationship Id="rId4" Type="http://schemas.openxmlformats.org/officeDocument/2006/relationships/hyperlink" Target="https://www.cbd.int/doc/notifications/2017/ntf-2017-056-ias-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Working%20Folders\Conference%20&amp;%20Editorial%20Services\NEW%20U\Documents\References&amp;Tools\Templat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F7076-EB9F-4510-8F66-52D3B386C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Template>
  <TotalTime>6</TotalTime>
  <Pages>17</Pages>
  <Words>7216</Words>
  <Characters>41135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Provisional agenda</vt:lpstr>
    </vt:vector>
  </TitlesOfParts>
  <Company>Biodiversity</Company>
  <LinksUpToDate>false</LinksUpToDate>
  <CharactersWithSpaces>48255</CharactersWithSpaces>
  <SharedDoc>false</SharedDoc>
  <HyperlinkBase/>
  <HLinks>
    <vt:vector size="12" baseType="variant">
      <vt:variant>
        <vt:i4>2883689</vt:i4>
      </vt:variant>
      <vt:variant>
        <vt:i4>3</vt:i4>
      </vt:variant>
      <vt:variant>
        <vt:i4>0</vt:i4>
      </vt:variant>
      <vt:variant>
        <vt:i4>5</vt:i4>
      </vt:variant>
      <vt:variant>
        <vt:lpwstr>https://www.cbd.int/doc/notifications/2017/ntf-2017-074-ias-en.pdf</vt:lpwstr>
      </vt:variant>
      <vt:variant>
        <vt:lpwstr/>
      </vt:variant>
      <vt:variant>
        <vt:i4>3014763</vt:i4>
      </vt:variant>
      <vt:variant>
        <vt:i4>0</vt:i4>
      </vt:variant>
      <vt:variant>
        <vt:i4>0</vt:i4>
      </vt:variant>
      <vt:variant>
        <vt:i4>5</vt:i4>
      </vt:variant>
      <vt:variant>
        <vt:lpwstr>https://www.cbd.int/doc/notifications/2017/ntf-2017-056-ias-en.pdf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Provisional agenda</dc:title>
  <dc:subject>CBD/EBSA/WS/2017/1/1</dc:subject>
  <dc:creator>SCBD</dc:creator>
  <cp:keywords/>
  <dc:description/>
  <cp:lastModifiedBy>veronique lefebvre</cp:lastModifiedBy>
  <cp:revision>4</cp:revision>
  <cp:lastPrinted>2017-12-19T20:31:00Z</cp:lastPrinted>
  <dcterms:created xsi:type="dcterms:W3CDTF">2018-06-26T03:53:00Z</dcterms:created>
  <dcterms:modified xsi:type="dcterms:W3CDTF">2018-06-26T03:59:00Z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
    <vt:lpwstr>CBD/XXX</vt:lpwstr>
  </property>
  <property fmtid="{D5CDD505-2E9C-101B-9397-08002B2CF9AE}" pid="3" name="Meeting" linkTarget="Meeting">
    <vt:lpwstr>Expert Workshop on Invasive Alien Species in Preparation for the twenty-second meeting of the Subsidiary Body on Scientific, Technical and Technological Advice </vt:lpwstr>
  </property>
</Properties>
</file>