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4B64F0" w:rsidRPr="006F4060" w14:paraId="004E0F31" w14:textId="77777777" w:rsidTr="004B64F0">
        <w:trPr>
          <w:trHeight w:val="715"/>
        </w:trPr>
        <w:tc>
          <w:tcPr>
            <w:tcW w:w="993" w:type="dxa"/>
            <w:tcBorders>
              <w:top w:val="nil"/>
              <w:bottom w:val="single" w:sz="12" w:space="0" w:color="000000"/>
              <w:right w:val="nil"/>
            </w:tcBorders>
          </w:tcPr>
          <w:p w14:paraId="4A35B072" w14:textId="1416C89D" w:rsidR="004B64F0" w:rsidRPr="006F4060" w:rsidRDefault="004B64F0" w:rsidP="004B64F0">
            <w:pPr>
              <w:pStyle w:val="BodyText2"/>
              <w:rPr>
                <w:b/>
                <w:noProof/>
                <w:snapToGrid w:val="0"/>
                <w:kern w:val="22"/>
                <w:lang w:eastAsia="en-CA"/>
              </w:rPr>
            </w:pPr>
            <w:bookmarkStart w:id="0" w:name="Meeting"/>
            <w:r w:rsidRPr="006F4060">
              <w:rPr>
                <w:b/>
                <w:noProof/>
                <w:snapToGrid w:val="0"/>
                <w:kern w:val="22"/>
                <w:lang w:eastAsia="en-CA"/>
              </w:rPr>
              <w:drawing>
                <wp:inline distT="0" distB="0" distL="0" distR="0" wp14:anchorId="64552FBD" wp14:editId="4949177C">
                  <wp:extent cx="480060"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40386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08BEF450" w14:textId="379A1654" w:rsidR="004B64F0" w:rsidRPr="006F4060" w:rsidRDefault="00283853" w:rsidP="004B64F0">
            <w:pPr>
              <w:rPr>
                <w:noProof/>
                <w:snapToGrid w:val="0"/>
                <w:kern w:val="22"/>
                <w:lang w:eastAsia="en-CA"/>
              </w:rPr>
            </w:pPr>
            <w:r>
              <w:rPr>
                <w:noProof/>
              </w:rPr>
              <w:pict w14:anchorId="416E1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2pt;height:27.2pt;mso-width-percent:0;mso-height-percent:0;mso-width-percent:0;mso-height-percent:0">
                  <v:imagedata r:id="rId12" o:title=""/>
                </v:shape>
              </w:pict>
            </w:r>
          </w:p>
        </w:tc>
        <w:tc>
          <w:tcPr>
            <w:tcW w:w="6741" w:type="dxa"/>
            <w:gridSpan w:val="3"/>
            <w:tcBorders>
              <w:top w:val="nil"/>
              <w:left w:val="nil"/>
              <w:bottom w:val="single" w:sz="12" w:space="0" w:color="000000"/>
            </w:tcBorders>
          </w:tcPr>
          <w:p w14:paraId="20AF4DF2" w14:textId="77777777" w:rsidR="004B64F0" w:rsidRPr="006F4060" w:rsidRDefault="004B64F0" w:rsidP="004B64F0">
            <w:pPr>
              <w:jc w:val="right"/>
              <w:rPr>
                <w:rFonts w:ascii="Univers" w:hAnsi="Univers"/>
                <w:b/>
                <w:snapToGrid w:val="0"/>
                <w:kern w:val="22"/>
                <w:sz w:val="32"/>
              </w:rPr>
            </w:pPr>
            <w:r w:rsidRPr="006F4060">
              <w:rPr>
                <w:rFonts w:ascii="Univers" w:hAnsi="Univers"/>
                <w:b/>
                <w:snapToGrid w:val="0"/>
                <w:kern w:val="22"/>
                <w:sz w:val="32"/>
              </w:rPr>
              <w:t>CBD</w:t>
            </w:r>
          </w:p>
        </w:tc>
      </w:tr>
      <w:tr w:rsidR="004B64F0" w:rsidRPr="006F4060" w14:paraId="5F1BDDBA" w14:textId="77777777" w:rsidTr="004B64F0">
        <w:trPr>
          <w:trHeight w:val="2242"/>
        </w:trPr>
        <w:tc>
          <w:tcPr>
            <w:tcW w:w="6227" w:type="dxa"/>
            <w:gridSpan w:val="3"/>
            <w:tcBorders>
              <w:top w:val="nil"/>
              <w:bottom w:val="single" w:sz="36" w:space="0" w:color="000000"/>
            </w:tcBorders>
          </w:tcPr>
          <w:p w14:paraId="4DA968D9" w14:textId="77777777" w:rsidR="004B64F0" w:rsidRPr="007A31F6" w:rsidRDefault="004B64F0" w:rsidP="004B64F0">
            <w:pPr>
              <w:rPr>
                <w:snapToGrid w:val="0"/>
                <w:kern w:val="22"/>
              </w:rPr>
            </w:pPr>
          </w:p>
          <w:p w14:paraId="77282073" w14:textId="5B6668AD" w:rsidR="004B64F0" w:rsidRPr="007A31F6" w:rsidRDefault="004B64F0" w:rsidP="004B64F0">
            <w:pPr>
              <w:rPr>
                <w:snapToGrid w:val="0"/>
                <w:kern w:val="22"/>
              </w:rPr>
            </w:pPr>
            <w:r>
              <w:rPr>
                <w:bCs/>
                <w:noProof/>
                <w:szCs w:val="22"/>
                <w:lang w:val="fr-FR"/>
              </w:rPr>
              <w:drawing>
                <wp:inline distT="0" distB="0" distL="0" distR="0" wp14:anchorId="02CA9522" wp14:editId="1B0284E7">
                  <wp:extent cx="2857500" cy="1143000"/>
                  <wp:effectExtent l="0" t="0" r="0" b="0"/>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inline>
              </w:drawing>
            </w:r>
          </w:p>
          <w:p w14:paraId="5971DF46" w14:textId="4F46270D" w:rsidR="004B64F0" w:rsidRPr="004F7BB3" w:rsidRDefault="004B64F0" w:rsidP="004B64F0">
            <w:pPr>
              <w:rPr>
                <w:rFonts w:ascii="Univers" w:hAnsi="Univers"/>
                <w:snapToGrid w:val="0"/>
                <w:kern w:val="22"/>
              </w:rPr>
            </w:pPr>
          </w:p>
        </w:tc>
        <w:tc>
          <w:tcPr>
            <w:tcW w:w="1144" w:type="dxa"/>
            <w:tcBorders>
              <w:top w:val="nil"/>
              <w:bottom w:val="single" w:sz="36" w:space="0" w:color="000000"/>
            </w:tcBorders>
          </w:tcPr>
          <w:p w14:paraId="008F783F" w14:textId="77777777" w:rsidR="004B64F0" w:rsidRPr="006F4060" w:rsidRDefault="004B64F0" w:rsidP="004B64F0">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1B04A703" w14:textId="77777777" w:rsidR="004B64F0" w:rsidRPr="004F63EC" w:rsidRDefault="004B64F0" w:rsidP="004B64F0">
            <w:pPr>
              <w:ind w:left="318"/>
              <w:rPr>
                <w:noProof/>
                <w:snapToGrid w:val="0"/>
                <w:kern w:val="22"/>
                <w:sz w:val="22"/>
                <w:szCs w:val="22"/>
                <w:lang w:val="fr-FR"/>
              </w:rPr>
            </w:pPr>
            <w:r w:rsidRPr="004F63EC">
              <w:rPr>
                <w:noProof/>
                <w:snapToGrid w:val="0"/>
                <w:kern w:val="22"/>
                <w:sz w:val="22"/>
                <w:szCs w:val="22"/>
                <w:lang w:val="fr-FR"/>
              </w:rPr>
              <w:t>Distr.</w:t>
            </w:r>
          </w:p>
          <w:p w14:paraId="1C87D252" w14:textId="42FDC5DF" w:rsidR="004B64F0" w:rsidRPr="004F63EC" w:rsidRDefault="004B64F0" w:rsidP="004B64F0">
            <w:pPr>
              <w:ind w:left="318"/>
              <w:rPr>
                <w:snapToGrid w:val="0"/>
                <w:kern w:val="22"/>
                <w:sz w:val="22"/>
                <w:szCs w:val="22"/>
                <w:lang w:val="fr-FR"/>
              </w:rPr>
            </w:pPr>
            <w:r w:rsidRPr="004F63EC">
              <w:rPr>
                <w:snapToGrid w:val="0"/>
                <w:kern w:val="22"/>
                <w:sz w:val="22"/>
                <w:szCs w:val="22"/>
                <w:lang w:val="fr-FR"/>
              </w:rPr>
              <w:t>GÉNÉRAL</w:t>
            </w:r>
            <w:r w:rsidR="007D0EBE">
              <w:rPr>
                <w:snapToGrid w:val="0"/>
                <w:kern w:val="22"/>
                <w:sz w:val="22"/>
                <w:szCs w:val="22"/>
                <w:lang w:val="fr-FR"/>
              </w:rPr>
              <w:t>E</w:t>
            </w:r>
          </w:p>
          <w:p w14:paraId="219C438F" w14:textId="77777777" w:rsidR="004B64F0" w:rsidRPr="004F63EC" w:rsidRDefault="004B64F0" w:rsidP="004B64F0">
            <w:pPr>
              <w:ind w:left="318"/>
              <w:rPr>
                <w:snapToGrid w:val="0"/>
                <w:kern w:val="22"/>
                <w:sz w:val="22"/>
                <w:szCs w:val="22"/>
                <w:lang w:val="fr-FR"/>
              </w:rPr>
            </w:pPr>
          </w:p>
          <w:bookmarkStart w:id="1" w:name="_Hlk22815168" w:displacedByCustomXml="next"/>
          <w:sdt>
            <w:sdtPr>
              <w:rPr>
                <w:snapToGrid w:val="0"/>
                <w:kern w:val="22"/>
                <w:sz w:val="22"/>
                <w:szCs w:val="22"/>
                <w:lang w:val="fr-FR"/>
              </w:rPr>
              <w:alias w:val="Subject"/>
              <w:tag w:val=""/>
              <w:id w:val="-1155982080"/>
              <w:placeholder>
                <w:docPart w:val="500CEBCD15684585BA98DE4CB9BED684"/>
              </w:placeholder>
              <w:dataBinding w:prefixMappings="xmlns:ns0='http://purl.org/dc/elements/1.1/' xmlns:ns1='http://schemas.openxmlformats.org/package/2006/metadata/core-properties' " w:xpath="/ns1:coreProperties[1]/ns0:subject[1]" w:storeItemID="{6C3C8BC8-F283-45AE-878A-BAB7291924A1}"/>
              <w:text/>
            </w:sdtPr>
            <w:sdtEndPr/>
            <w:sdtContent>
              <w:bookmarkEnd w:id="1" w:displacedByCustomXml="prev"/>
              <w:p w14:paraId="41EA3D8F" w14:textId="3DD5F25D" w:rsidR="004B64F0" w:rsidRPr="004F63EC" w:rsidRDefault="00B015B5" w:rsidP="004B64F0">
                <w:pPr>
                  <w:suppressLineNumbers/>
                  <w:suppressAutoHyphens/>
                  <w:ind w:left="318"/>
                  <w:rPr>
                    <w:snapToGrid w:val="0"/>
                    <w:kern w:val="22"/>
                    <w:sz w:val="22"/>
                    <w:szCs w:val="22"/>
                    <w:lang w:val="fr-FR"/>
                  </w:rPr>
                </w:pPr>
                <w:r>
                  <w:rPr>
                    <w:snapToGrid w:val="0"/>
                    <w:kern w:val="22"/>
                    <w:sz w:val="22"/>
                    <w:szCs w:val="22"/>
                    <w:lang w:val="fr-FR"/>
                  </w:rPr>
                  <w:t>CBD/SBI/3/1/Add.1/Rev.2</w:t>
                </w:r>
              </w:p>
            </w:sdtContent>
          </w:sdt>
          <w:p w14:paraId="47443BAD" w14:textId="3A2A829A" w:rsidR="004B64F0" w:rsidRPr="004F63EC" w:rsidRDefault="00B015B5" w:rsidP="004B64F0">
            <w:pPr>
              <w:ind w:left="318"/>
              <w:rPr>
                <w:snapToGrid w:val="0"/>
                <w:kern w:val="22"/>
                <w:sz w:val="22"/>
                <w:szCs w:val="22"/>
                <w:lang w:val="fr-FR"/>
              </w:rPr>
            </w:pPr>
            <w:r>
              <w:rPr>
                <w:snapToGrid w:val="0"/>
                <w:kern w:val="22"/>
                <w:sz w:val="22"/>
                <w:szCs w:val="22"/>
                <w:lang w:val="fr-FR"/>
              </w:rPr>
              <w:t>15</w:t>
            </w:r>
            <w:r w:rsidR="004B64F0" w:rsidRPr="004F63EC">
              <w:rPr>
                <w:snapToGrid w:val="0"/>
                <w:kern w:val="22"/>
                <w:sz w:val="22"/>
                <w:szCs w:val="22"/>
                <w:lang w:val="fr-FR"/>
              </w:rPr>
              <w:t xml:space="preserve"> </w:t>
            </w:r>
            <w:r>
              <w:rPr>
                <w:snapToGrid w:val="0"/>
                <w:kern w:val="22"/>
                <w:sz w:val="22"/>
                <w:szCs w:val="22"/>
                <w:lang w:val="fr-FR"/>
              </w:rPr>
              <w:t>juin</w:t>
            </w:r>
            <w:r w:rsidR="004B64F0" w:rsidRPr="004F63EC">
              <w:rPr>
                <w:snapToGrid w:val="0"/>
                <w:kern w:val="22"/>
                <w:sz w:val="22"/>
                <w:szCs w:val="22"/>
                <w:lang w:val="fr-FR"/>
              </w:rPr>
              <w:t xml:space="preserve"> 20</w:t>
            </w:r>
            <w:r w:rsidR="002F7E24">
              <w:rPr>
                <w:snapToGrid w:val="0"/>
                <w:kern w:val="22"/>
                <w:sz w:val="22"/>
                <w:szCs w:val="22"/>
                <w:lang w:val="fr-FR"/>
              </w:rPr>
              <w:t>20</w:t>
            </w:r>
          </w:p>
          <w:p w14:paraId="1FB23DE5" w14:textId="77777777" w:rsidR="004B64F0" w:rsidRPr="004F63EC" w:rsidRDefault="004B64F0" w:rsidP="004B64F0">
            <w:pPr>
              <w:ind w:left="318"/>
              <w:rPr>
                <w:snapToGrid w:val="0"/>
                <w:kern w:val="22"/>
                <w:sz w:val="22"/>
                <w:szCs w:val="22"/>
                <w:lang w:val="fr-FR"/>
              </w:rPr>
            </w:pPr>
          </w:p>
          <w:p w14:paraId="13FD4B6B" w14:textId="158DF88B" w:rsidR="004B64F0" w:rsidRPr="004F63EC" w:rsidRDefault="004B64F0" w:rsidP="004B64F0">
            <w:pPr>
              <w:ind w:left="318"/>
              <w:rPr>
                <w:snapToGrid w:val="0"/>
                <w:kern w:val="22"/>
                <w:sz w:val="22"/>
                <w:szCs w:val="22"/>
                <w:lang w:val="fr-FR"/>
              </w:rPr>
            </w:pPr>
            <w:r w:rsidRPr="004F63EC">
              <w:rPr>
                <w:snapToGrid w:val="0"/>
                <w:kern w:val="22"/>
                <w:sz w:val="22"/>
                <w:szCs w:val="22"/>
                <w:lang w:val="fr-FR"/>
              </w:rPr>
              <w:t>FRANÇAIS</w:t>
            </w:r>
          </w:p>
          <w:p w14:paraId="7742F773" w14:textId="77777777" w:rsidR="004B64F0" w:rsidRPr="006F4060" w:rsidRDefault="004B64F0" w:rsidP="004B64F0">
            <w:pPr>
              <w:ind w:left="318"/>
              <w:rPr>
                <w:snapToGrid w:val="0"/>
                <w:kern w:val="22"/>
                <w:szCs w:val="22"/>
                <w:u w:val="single"/>
              </w:rPr>
            </w:pPr>
            <w:r w:rsidRPr="004F63EC">
              <w:rPr>
                <w:snapToGrid w:val="0"/>
                <w:kern w:val="22"/>
                <w:sz w:val="22"/>
                <w:szCs w:val="22"/>
                <w:lang w:val="fr-FR"/>
              </w:rPr>
              <w:t>ORIGINAL : ANGLAIS</w:t>
            </w:r>
          </w:p>
        </w:tc>
      </w:tr>
    </w:tbl>
    <w:bookmarkEnd w:id="0"/>
    <w:p w14:paraId="3719B1F3" w14:textId="77777777" w:rsidR="002A5AEB" w:rsidRPr="00CA53B9" w:rsidRDefault="002A5AEB" w:rsidP="00D354D3">
      <w:pPr>
        <w:pStyle w:val="meetingname"/>
        <w:ind w:left="-180" w:right="4115" w:firstLine="0"/>
        <w:rPr>
          <w:kern w:val="22"/>
          <w:sz w:val="22"/>
          <w:szCs w:val="22"/>
          <w:lang w:val="fr-FR"/>
        </w:rPr>
      </w:pPr>
      <w:r w:rsidRPr="00CA53B9">
        <w:rPr>
          <w:kern w:val="22"/>
          <w:sz w:val="22"/>
          <w:szCs w:val="22"/>
          <w:lang w:val="fr-FR"/>
        </w:rPr>
        <w:t>ORGANE SUBSIDIAIRE CHARGÉ DE L’APPLICATION</w:t>
      </w:r>
    </w:p>
    <w:p w14:paraId="6FCC8F64" w14:textId="33AB4B4A" w:rsidR="002A5AEB" w:rsidRPr="00CA53B9" w:rsidRDefault="00496B66" w:rsidP="002A5AEB">
      <w:pPr>
        <w:rPr>
          <w:snapToGrid w:val="0"/>
          <w:kern w:val="22"/>
          <w:sz w:val="22"/>
          <w:szCs w:val="22"/>
          <w:lang w:val="fr-FR" w:eastAsia="nb-NO"/>
        </w:rPr>
      </w:pPr>
      <w:r w:rsidRPr="00CA53B9">
        <w:rPr>
          <w:snapToGrid w:val="0"/>
          <w:kern w:val="22"/>
          <w:sz w:val="22"/>
          <w:szCs w:val="22"/>
          <w:lang w:val="fr-FR" w:eastAsia="nb-NO"/>
        </w:rPr>
        <w:t>Trois</w:t>
      </w:r>
      <w:r w:rsidR="002A5AEB" w:rsidRPr="00CA53B9">
        <w:rPr>
          <w:snapToGrid w:val="0"/>
          <w:kern w:val="22"/>
          <w:sz w:val="22"/>
          <w:szCs w:val="22"/>
          <w:lang w:val="fr-FR" w:eastAsia="nb-NO"/>
        </w:rPr>
        <w:t>ième réunion</w:t>
      </w:r>
    </w:p>
    <w:p w14:paraId="15A5E08C" w14:textId="45301D28" w:rsidR="002A5AEB" w:rsidRPr="00CA53B9" w:rsidRDefault="00B015B5" w:rsidP="002A5AEB">
      <w:pPr>
        <w:rPr>
          <w:snapToGrid w:val="0"/>
          <w:kern w:val="22"/>
          <w:sz w:val="22"/>
          <w:szCs w:val="22"/>
          <w:lang w:val="fr-FR" w:eastAsia="nb-NO"/>
        </w:rPr>
      </w:pPr>
      <w:r>
        <w:rPr>
          <w:snapToGrid w:val="0"/>
          <w:kern w:val="22"/>
          <w:sz w:val="22"/>
          <w:szCs w:val="22"/>
          <w:lang w:val="fr-FR" w:eastAsia="nb-NO"/>
        </w:rPr>
        <w:t>Québec</w:t>
      </w:r>
      <w:r w:rsidR="00215D9C">
        <w:rPr>
          <w:snapToGrid w:val="0"/>
          <w:kern w:val="22"/>
          <w:sz w:val="22"/>
          <w:szCs w:val="22"/>
          <w:lang w:val="fr-FR" w:eastAsia="nb-NO"/>
        </w:rPr>
        <w:t xml:space="preserve"> (à confirmer)</w:t>
      </w:r>
      <w:r w:rsidR="0055042E">
        <w:rPr>
          <w:snapToGrid w:val="0"/>
          <w:kern w:val="22"/>
          <w:sz w:val="22"/>
          <w:szCs w:val="22"/>
          <w:lang w:val="fr-FR" w:eastAsia="nb-NO"/>
        </w:rPr>
        <w:t>, C</w:t>
      </w:r>
      <w:r w:rsidR="002A5AEB" w:rsidRPr="00CA53B9">
        <w:rPr>
          <w:snapToGrid w:val="0"/>
          <w:kern w:val="22"/>
          <w:sz w:val="22"/>
          <w:szCs w:val="22"/>
          <w:lang w:val="fr-FR" w:eastAsia="nb-NO"/>
        </w:rPr>
        <w:t xml:space="preserve">anada, </w:t>
      </w:r>
      <w:r>
        <w:rPr>
          <w:snapToGrid w:val="0"/>
          <w:kern w:val="22"/>
          <w:sz w:val="22"/>
          <w:szCs w:val="22"/>
          <w:lang w:val="fr-FR" w:eastAsia="nb-NO"/>
        </w:rPr>
        <w:t>9</w:t>
      </w:r>
      <w:r w:rsidR="00AB33AE">
        <w:rPr>
          <w:snapToGrid w:val="0"/>
          <w:kern w:val="22"/>
          <w:sz w:val="22"/>
          <w:szCs w:val="22"/>
          <w:lang w:val="fr-FR" w:eastAsia="nb-NO"/>
        </w:rPr>
        <w:t>-</w:t>
      </w:r>
      <w:r>
        <w:rPr>
          <w:snapToGrid w:val="0"/>
          <w:kern w:val="22"/>
          <w:sz w:val="22"/>
          <w:szCs w:val="22"/>
          <w:lang w:val="fr-FR" w:eastAsia="nb-NO"/>
        </w:rPr>
        <w:t>14</w:t>
      </w:r>
      <w:r w:rsidR="00AB33AE">
        <w:rPr>
          <w:snapToGrid w:val="0"/>
          <w:kern w:val="22"/>
          <w:sz w:val="22"/>
          <w:szCs w:val="22"/>
          <w:lang w:val="fr-FR" w:eastAsia="nb-NO"/>
        </w:rPr>
        <w:t xml:space="preserve"> </w:t>
      </w:r>
      <w:r>
        <w:rPr>
          <w:snapToGrid w:val="0"/>
          <w:kern w:val="22"/>
          <w:sz w:val="22"/>
          <w:szCs w:val="22"/>
          <w:lang w:val="fr-FR" w:eastAsia="nb-NO"/>
        </w:rPr>
        <w:t>novembre</w:t>
      </w:r>
      <w:r w:rsidR="00496B66" w:rsidRPr="00CA53B9">
        <w:rPr>
          <w:snapToGrid w:val="0"/>
          <w:kern w:val="22"/>
          <w:sz w:val="22"/>
          <w:szCs w:val="22"/>
          <w:lang w:val="fr-FR" w:eastAsia="nb-NO"/>
        </w:rPr>
        <w:t xml:space="preserve"> 2020</w:t>
      </w:r>
      <w:r w:rsidR="005C1654">
        <w:rPr>
          <w:snapToGrid w:val="0"/>
          <w:kern w:val="22"/>
          <w:sz w:val="22"/>
          <w:szCs w:val="22"/>
          <w:lang w:val="fr-FR" w:eastAsia="nb-NO"/>
        </w:rPr>
        <w:t xml:space="preserve"> </w:t>
      </w:r>
    </w:p>
    <w:p w14:paraId="2F21CD91" w14:textId="203D9B58" w:rsidR="00AD1731" w:rsidRPr="00B015B5" w:rsidRDefault="002A5AEB" w:rsidP="002A5AEB">
      <w:pPr>
        <w:pStyle w:val="Header"/>
        <w:suppressLineNumbers/>
        <w:tabs>
          <w:tab w:val="clear" w:pos="4320"/>
          <w:tab w:val="clear" w:pos="8640"/>
        </w:tabs>
        <w:suppressAutoHyphens/>
        <w:rPr>
          <w:snapToGrid w:val="0"/>
          <w:kern w:val="22"/>
          <w:sz w:val="22"/>
          <w:szCs w:val="22"/>
          <w:lang w:val="fr-FR"/>
        </w:rPr>
      </w:pPr>
      <w:r w:rsidRPr="00CA53B9">
        <w:rPr>
          <w:snapToGrid w:val="0"/>
          <w:kern w:val="22"/>
          <w:sz w:val="22"/>
          <w:szCs w:val="22"/>
          <w:lang w:val="fr-FR"/>
        </w:rPr>
        <w:t>Point 2 de l’ordre du jour provisoire</w:t>
      </w:r>
      <w:r w:rsidR="00A607E8" w:rsidRPr="00B015B5">
        <w:rPr>
          <w:rStyle w:val="FootnoteReference"/>
          <w:snapToGrid w:val="0"/>
          <w:kern w:val="22"/>
          <w:sz w:val="22"/>
          <w:szCs w:val="22"/>
          <w:u w:val="none"/>
          <w:lang w:val="fr-FR"/>
        </w:rPr>
        <w:footnoteReference w:customMarkFollows="1" w:id="2"/>
        <w:t>*</w:t>
      </w:r>
    </w:p>
    <w:sdt>
      <w:sdtPr>
        <w:rPr>
          <w:bCs/>
          <w:snapToGrid w:val="0"/>
          <w:kern w:val="22"/>
          <w:sz w:val="22"/>
          <w:szCs w:val="22"/>
          <w:lang w:val="fr-FR"/>
        </w:rPr>
        <w:alias w:val="Title"/>
        <w:tag w:val=""/>
        <w:id w:val="1423067625"/>
        <w:placeholder>
          <w:docPart w:val="FBFD1B4B41914470A1B04A4950C0279A"/>
        </w:placeholder>
        <w:dataBinding w:prefixMappings="xmlns:ns0='http://purl.org/dc/elements/1.1/' xmlns:ns1='http://schemas.openxmlformats.org/package/2006/metadata/core-properties' " w:xpath="/ns1:coreProperties[1]/ns0:title[1]" w:storeItemID="{6C3C8BC8-F283-45AE-878A-BAB7291924A1}"/>
        <w:text/>
      </w:sdtPr>
      <w:sdtEndPr/>
      <w:sdtContent>
        <w:p w14:paraId="3ED811C9" w14:textId="39ADCA11" w:rsidR="00933415" w:rsidRPr="00B015B5" w:rsidRDefault="00B015B5" w:rsidP="00ED543F">
          <w:pPr>
            <w:pStyle w:val="HEADINGNOTFORTOC"/>
            <w:keepNext w:val="0"/>
            <w:suppressLineNumbers/>
            <w:tabs>
              <w:tab w:val="clear" w:pos="720"/>
            </w:tabs>
            <w:suppressAutoHyphens/>
            <w:rPr>
              <w:snapToGrid w:val="0"/>
              <w:kern w:val="22"/>
              <w:sz w:val="22"/>
              <w:szCs w:val="22"/>
              <w:lang w:val="fr-FR"/>
            </w:rPr>
          </w:pPr>
          <w:r>
            <w:rPr>
              <w:bCs/>
              <w:snapToGrid w:val="0"/>
              <w:kern w:val="22"/>
              <w:sz w:val="22"/>
              <w:szCs w:val="22"/>
              <w:lang w:val="fr-FR"/>
            </w:rPr>
            <w:t>Ordre du jour provisoire annotÉ révisÉ</w:t>
          </w:r>
        </w:p>
      </w:sdtContent>
    </w:sdt>
    <w:p w14:paraId="022F2B42" w14:textId="77777777" w:rsidR="00933415" w:rsidRPr="00ED543F" w:rsidRDefault="00933415" w:rsidP="00ED543F">
      <w:pPr>
        <w:pStyle w:val="HEADINGNOTFORTOC"/>
        <w:suppressLineNumbers/>
        <w:tabs>
          <w:tab w:val="clear" w:pos="720"/>
        </w:tabs>
        <w:suppressAutoHyphens/>
        <w:spacing w:before="120"/>
        <w:rPr>
          <w:caps w:val="0"/>
          <w:snapToGrid w:val="0"/>
          <w:kern w:val="22"/>
          <w:sz w:val="22"/>
          <w:szCs w:val="22"/>
          <w:lang w:val="en-GB"/>
        </w:rPr>
      </w:pPr>
      <w:r w:rsidRPr="00ED543F">
        <w:rPr>
          <w:caps w:val="0"/>
          <w:snapToGrid w:val="0"/>
          <w:kern w:val="22"/>
          <w:sz w:val="22"/>
          <w:szCs w:val="22"/>
          <w:lang w:val="en-GB"/>
        </w:rPr>
        <w:t>INTRODUCTION</w:t>
      </w:r>
    </w:p>
    <w:p w14:paraId="669B3148" w14:textId="7F2026D3" w:rsidR="00CC399C" w:rsidRPr="00B015B5" w:rsidRDefault="00727744"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Pr>
          <w:rFonts w:eastAsia="Malgun Gothic"/>
          <w:kern w:val="22"/>
          <w:sz w:val="22"/>
          <w:szCs w:val="22"/>
          <w:lang w:val="fr-FR"/>
        </w:rPr>
        <w:t>À</w:t>
      </w:r>
      <w:r w:rsidR="006A5889" w:rsidRPr="006A5889">
        <w:rPr>
          <w:rFonts w:eastAsia="Malgun Gothic"/>
          <w:kern w:val="22"/>
          <w:sz w:val="22"/>
          <w:szCs w:val="22"/>
          <w:lang w:val="fr-FR"/>
        </w:rPr>
        <w:t xml:space="preserve"> sa douzième réunion, la Conférence des Parties a créé l’Organe subsidiaire chargé de l’application</w:t>
      </w:r>
      <w:r w:rsidR="006A5889" w:rsidRPr="00B015B5">
        <w:rPr>
          <w:kern w:val="22"/>
          <w:sz w:val="22"/>
          <w:szCs w:val="22"/>
          <w:lang w:val="fr-FR"/>
        </w:rPr>
        <w:t xml:space="preserve"> </w:t>
      </w:r>
      <w:r w:rsidR="00CC399C" w:rsidRPr="00B015B5">
        <w:rPr>
          <w:kern w:val="22"/>
          <w:sz w:val="22"/>
          <w:szCs w:val="22"/>
          <w:lang w:val="fr-FR"/>
        </w:rPr>
        <w:t>(</w:t>
      </w:r>
      <w:r w:rsidR="00CC399C" w:rsidRPr="005B6CD5">
        <w:rPr>
          <w:kern w:val="22"/>
          <w:sz w:val="22"/>
          <w:szCs w:val="22"/>
          <w:lang w:val="fr-FR"/>
        </w:rPr>
        <w:t>d</w:t>
      </w:r>
      <w:r w:rsidR="005B6CD5" w:rsidRPr="005B6CD5">
        <w:rPr>
          <w:kern w:val="22"/>
          <w:sz w:val="22"/>
          <w:szCs w:val="22"/>
          <w:lang w:val="fr-FR"/>
        </w:rPr>
        <w:t>é</w:t>
      </w:r>
      <w:r w:rsidR="00CC399C" w:rsidRPr="005B6CD5">
        <w:rPr>
          <w:kern w:val="22"/>
          <w:sz w:val="22"/>
          <w:szCs w:val="22"/>
          <w:lang w:val="fr-FR"/>
        </w:rPr>
        <w:t>cision</w:t>
      </w:r>
      <w:r w:rsidR="00CC399C" w:rsidRPr="00B015B5">
        <w:rPr>
          <w:kern w:val="22"/>
          <w:sz w:val="22"/>
          <w:szCs w:val="22"/>
          <w:lang w:val="fr-FR"/>
        </w:rPr>
        <w:t xml:space="preserve"> </w:t>
      </w:r>
      <w:hyperlink r:id="rId14" w:history="1">
        <w:r w:rsidR="00CC399C" w:rsidRPr="00B015B5">
          <w:rPr>
            <w:rStyle w:val="Hyperlink"/>
            <w:sz w:val="22"/>
            <w:szCs w:val="22"/>
            <w:lang w:val="fr-FR"/>
          </w:rPr>
          <w:t>XII/26</w:t>
        </w:r>
      </w:hyperlink>
      <w:r w:rsidR="00CC399C" w:rsidRPr="00B015B5">
        <w:rPr>
          <w:kern w:val="22"/>
          <w:sz w:val="22"/>
          <w:szCs w:val="22"/>
          <w:lang w:val="fr-FR"/>
        </w:rPr>
        <w:t xml:space="preserve">, par. 1) </w:t>
      </w:r>
      <w:r w:rsidR="005B6CD5" w:rsidRPr="005B6CD5">
        <w:rPr>
          <w:kern w:val="22"/>
          <w:sz w:val="22"/>
          <w:szCs w:val="22"/>
          <w:lang w:val="fr-FR"/>
        </w:rPr>
        <w:t xml:space="preserve">et arrêté son mandat (annexe de la décision XII/26). Elle a décidé que le règlement intérieur des réunions de la </w:t>
      </w:r>
      <w:r w:rsidR="005B6CD5" w:rsidRPr="005B6CD5">
        <w:rPr>
          <w:rFonts w:eastAsia="Malgun Gothic"/>
          <w:kern w:val="22"/>
          <w:sz w:val="22"/>
          <w:szCs w:val="22"/>
          <w:lang w:val="fr-FR"/>
        </w:rPr>
        <w:t xml:space="preserve">Conférence des Parties s’appliquerait, </w:t>
      </w:r>
      <w:r w:rsidR="005B6CD5" w:rsidRPr="005B6CD5">
        <w:rPr>
          <w:rFonts w:eastAsia="Malgun Gothic"/>
          <w:i/>
          <w:iCs/>
          <w:kern w:val="22"/>
          <w:sz w:val="22"/>
          <w:szCs w:val="22"/>
          <w:lang w:val="fr-FR"/>
        </w:rPr>
        <w:t>mutatis mutandis</w:t>
      </w:r>
      <w:r w:rsidR="005B6CD5" w:rsidRPr="005B6CD5">
        <w:rPr>
          <w:rFonts w:eastAsia="Malgun Gothic"/>
          <w:kern w:val="22"/>
          <w:sz w:val="22"/>
          <w:szCs w:val="22"/>
          <w:lang w:val="fr-FR"/>
        </w:rPr>
        <w:t xml:space="preserve">, aux réunions de cet organe, à l’exception de l’article 18 (pouvoirs des représentants), lequel ne s’appliquerait pas (paragraphe 2 b) de la </w:t>
      </w:r>
      <w:r w:rsidR="005B6CD5" w:rsidRPr="005B6CD5">
        <w:rPr>
          <w:kern w:val="22"/>
          <w:sz w:val="22"/>
          <w:szCs w:val="22"/>
          <w:lang w:val="fr-FR"/>
        </w:rPr>
        <w:t>décision XII/26)</w:t>
      </w:r>
      <w:r w:rsidR="005B6CD5" w:rsidRPr="005B6CD5">
        <w:rPr>
          <w:rFonts w:eastAsia="Malgun Gothic"/>
          <w:kern w:val="22"/>
          <w:sz w:val="22"/>
          <w:szCs w:val="22"/>
          <w:lang w:val="fr-FR"/>
        </w:rPr>
        <w:t>.</w:t>
      </w:r>
    </w:p>
    <w:p w14:paraId="6ABE7ABC" w14:textId="478715C2" w:rsidR="00246471" w:rsidRPr="00B015B5" w:rsidRDefault="00727744" w:rsidP="00A607E8">
      <w:pPr>
        <w:pStyle w:val="Para1"/>
        <w:numPr>
          <w:ilvl w:val="0"/>
          <w:numId w:val="14"/>
        </w:numPr>
        <w:suppressLineNumbers/>
        <w:tabs>
          <w:tab w:val="num" w:pos="720"/>
        </w:tabs>
        <w:suppressAutoHyphens/>
        <w:spacing w:before="120"/>
        <w:ind w:left="0" w:firstLine="0"/>
        <w:jc w:val="both"/>
        <w:rPr>
          <w:color w:val="000000"/>
          <w:kern w:val="22"/>
          <w:sz w:val="22"/>
          <w:szCs w:val="22"/>
          <w:lang w:val="fr-FR"/>
        </w:rPr>
      </w:pPr>
      <w:r>
        <w:rPr>
          <w:rFonts w:eastAsia="Malgun Gothic"/>
          <w:color w:val="000000"/>
          <w:kern w:val="22"/>
          <w:sz w:val="22"/>
          <w:szCs w:val="22"/>
          <w:lang w:val="fr-FR"/>
        </w:rPr>
        <w:t>À</w:t>
      </w:r>
      <w:r w:rsidR="005B6CD5" w:rsidRPr="005B6CD5">
        <w:rPr>
          <w:rFonts w:eastAsia="Malgun Gothic"/>
          <w:color w:val="000000"/>
          <w:kern w:val="22"/>
          <w:sz w:val="22"/>
          <w:szCs w:val="22"/>
          <w:lang w:val="fr-FR"/>
        </w:rPr>
        <w:t xml:space="preserve"> sa treizième réunion, la Conférence des Parties a adopté le mode de fonctionnement de l’Organe subsidiaire chargé de l’application, qui figure dans l’annexe de la</w:t>
      </w:r>
      <w:r w:rsidR="005B6CD5" w:rsidRPr="005B6CD5">
        <w:rPr>
          <w:color w:val="000000"/>
          <w:kern w:val="22"/>
          <w:sz w:val="22"/>
          <w:szCs w:val="22"/>
          <w:lang w:val="fr-FR"/>
        </w:rPr>
        <w:t xml:space="preserve"> décision XIII/25. </w:t>
      </w:r>
      <w:r w:rsidR="00F464CC">
        <w:rPr>
          <w:color w:val="000000"/>
          <w:kern w:val="22"/>
          <w:sz w:val="22"/>
          <w:szCs w:val="22"/>
          <w:lang w:val="fr-FR"/>
        </w:rPr>
        <w:t>À</w:t>
      </w:r>
      <w:r w:rsidR="005B6CD5" w:rsidRPr="005B6CD5">
        <w:rPr>
          <w:color w:val="000000"/>
          <w:kern w:val="22"/>
          <w:sz w:val="22"/>
          <w:szCs w:val="22"/>
          <w:lang w:val="fr-FR"/>
        </w:rPr>
        <w:t xml:space="preserve"> sa huitième réunion, la Conférence des Parties siégeant en tant que réunion des Parties au Protocole de Cartagena sur la prévention des risques biotechnologiques a approuvé le mode de fonctionnement de l’Organe subsidiaire chargé de l’application et décidé qu’il s’appliquerait, </w:t>
      </w:r>
      <w:r w:rsidR="005B6CD5" w:rsidRPr="005B6CD5">
        <w:rPr>
          <w:i/>
          <w:color w:val="000000"/>
          <w:kern w:val="22"/>
          <w:sz w:val="22"/>
          <w:szCs w:val="22"/>
          <w:lang w:val="fr-FR"/>
        </w:rPr>
        <w:t>mutatis mutandis</w:t>
      </w:r>
      <w:r w:rsidR="005B6CD5" w:rsidRPr="005B6CD5">
        <w:rPr>
          <w:color w:val="000000"/>
          <w:kern w:val="22"/>
          <w:sz w:val="22"/>
          <w:szCs w:val="22"/>
          <w:lang w:val="fr-FR"/>
        </w:rPr>
        <w:t xml:space="preserve">, lorsque cet organe </w:t>
      </w:r>
      <w:r w:rsidR="00F52BC8">
        <w:rPr>
          <w:color w:val="000000"/>
          <w:kern w:val="22"/>
          <w:sz w:val="22"/>
          <w:szCs w:val="22"/>
          <w:lang w:val="fr-FR"/>
        </w:rPr>
        <w:t>siège au titre du</w:t>
      </w:r>
      <w:r w:rsidR="005B6CD5" w:rsidRPr="005B6CD5">
        <w:rPr>
          <w:color w:val="000000"/>
          <w:kern w:val="22"/>
          <w:sz w:val="22"/>
          <w:szCs w:val="22"/>
          <w:lang w:val="fr-FR"/>
        </w:rPr>
        <w:t xml:space="preserve"> Protocole de Cartagena </w:t>
      </w:r>
      <w:r w:rsidR="002A0055" w:rsidRPr="005B6CD5">
        <w:rPr>
          <w:color w:val="000000"/>
          <w:kern w:val="22"/>
          <w:sz w:val="22"/>
          <w:szCs w:val="22"/>
          <w:lang w:val="fr-FR"/>
        </w:rPr>
        <w:t>(</w:t>
      </w:r>
      <w:r w:rsidR="00696DAE" w:rsidRPr="005B6CD5">
        <w:rPr>
          <w:color w:val="000000"/>
          <w:kern w:val="22"/>
          <w:sz w:val="22"/>
          <w:szCs w:val="22"/>
          <w:lang w:val="fr-FR"/>
        </w:rPr>
        <w:t>d</w:t>
      </w:r>
      <w:r w:rsidR="005B6CD5" w:rsidRPr="005B6CD5">
        <w:rPr>
          <w:color w:val="000000"/>
          <w:kern w:val="22"/>
          <w:sz w:val="22"/>
          <w:szCs w:val="22"/>
          <w:lang w:val="fr-FR"/>
        </w:rPr>
        <w:t>é</w:t>
      </w:r>
      <w:r w:rsidR="00696DAE" w:rsidRPr="005B6CD5">
        <w:rPr>
          <w:color w:val="000000"/>
          <w:kern w:val="22"/>
          <w:sz w:val="22"/>
          <w:szCs w:val="22"/>
          <w:lang w:val="fr-FR"/>
        </w:rPr>
        <w:t>cision</w:t>
      </w:r>
      <w:r w:rsidR="00696DAE" w:rsidRPr="00B015B5">
        <w:rPr>
          <w:color w:val="000000"/>
          <w:kern w:val="22"/>
          <w:sz w:val="22"/>
          <w:szCs w:val="22"/>
          <w:lang w:val="fr-FR"/>
        </w:rPr>
        <w:t xml:space="preserve"> </w:t>
      </w:r>
      <w:hyperlink r:id="rId15" w:history="1">
        <w:r w:rsidR="002A0055" w:rsidRPr="00B015B5">
          <w:rPr>
            <w:rStyle w:val="Hyperlink"/>
            <w:sz w:val="22"/>
            <w:szCs w:val="22"/>
            <w:lang w:val="fr-FR"/>
          </w:rPr>
          <w:t>CP-VIII/9</w:t>
        </w:r>
      </w:hyperlink>
      <w:r w:rsidR="002A0055" w:rsidRPr="00B015B5">
        <w:rPr>
          <w:color w:val="000000"/>
          <w:kern w:val="22"/>
          <w:sz w:val="22"/>
          <w:szCs w:val="22"/>
          <w:lang w:val="fr-FR"/>
        </w:rPr>
        <w:t>)</w:t>
      </w:r>
      <w:r w:rsidR="00246471" w:rsidRPr="00B015B5">
        <w:rPr>
          <w:color w:val="000000"/>
          <w:kern w:val="22"/>
          <w:sz w:val="22"/>
          <w:szCs w:val="22"/>
          <w:lang w:val="fr-FR"/>
        </w:rPr>
        <w:t xml:space="preserve">. </w:t>
      </w:r>
      <w:r w:rsidR="005B6CD5" w:rsidRPr="005B6CD5">
        <w:rPr>
          <w:color w:val="000000"/>
          <w:kern w:val="22"/>
          <w:sz w:val="22"/>
          <w:szCs w:val="22"/>
          <w:lang w:val="fr-FR"/>
        </w:rPr>
        <w:t xml:space="preserve">De même, la Conférence des Parties siégeant en tant que réunion des Parties au Protocole de Nagoya sur l’accès et le partage des avantages a approuvé le mode de fonctionnement de l’Organe subsidiaire chargé de l’application et décidé qu’il s’appliquerait, </w:t>
      </w:r>
      <w:r w:rsidR="005B6CD5" w:rsidRPr="005B6CD5">
        <w:rPr>
          <w:i/>
          <w:color w:val="000000"/>
          <w:kern w:val="22"/>
          <w:sz w:val="22"/>
          <w:szCs w:val="22"/>
          <w:lang w:val="fr-FR"/>
        </w:rPr>
        <w:t>mutatis mutandis</w:t>
      </w:r>
      <w:r w:rsidR="005B6CD5" w:rsidRPr="005B6CD5">
        <w:rPr>
          <w:color w:val="000000"/>
          <w:kern w:val="22"/>
          <w:sz w:val="22"/>
          <w:szCs w:val="22"/>
          <w:lang w:val="fr-FR"/>
        </w:rPr>
        <w:t xml:space="preserve">, lorsque cet organe </w:t>
      </w:r>
      <w:r w:rsidR="00F52BC8">
        <w:rPr>
          <w:color w:val="000000"/>
          <w:kern w:val="22"/>
          <w:sz w:val="22"/>
          <w:szCs w:val="22"/>
          <w:lang w:val="fr-FR"/>
        </w:rPr>
        <w:t>siège au titre du</w:t>
      </w:r>
      <w:r w:rsidR="005B6CD5" w:rsidRPr="005B6CD5">
        <w:rPr>
          <w:color w:val="000000"/>
          <w:kern w:val="22"/>
          <w:sz w:val="22"/>
          <w:szCs w:val="22"/>
          <w:lang w:val="fr-FR"/>
        </w:rPr>
        <w:t xml:space="preserve"> Protocole de Nagoya</w:t>
      </w:r>
      <w:r w:rsidR="005B6CD5" w:rsidRPr="00C2597A">
        <w:rPr>
          <w:color w:val="000000"/>
          <w:kern w:val="22"/>
          <w:szCs w:val="22"/>
          <w:lang w:val="fr-FR"/>
        </w:rPr>
        <w:t xml:space="preserve"> </w:t>
      </w:r>
      <w:r w:rsidR="005B6CD5" w:rsidRPr="005B6CD5">
        <w:rPr>
          <w:color w:val="000000"/>
          <w:kern w:val="22"/>
          <w:sz w:val="22"/>
          <w:szCs w:val="22"/>
          <w:lang w:val="fr-FR"/>
        </w:rPr>
        <w:t>(décision</w:t>
      </w:r>
      <w:r w:rsidR="005B6CD5">
        <w:rPr>
          <w:color w:val="000000"/>
          <w:kern w:val="22"/>
          <w:sz w:val="22"/>
          <w:szCs w:val="22"/>
          <w:lang w:val="fr-FR"/>
        </w:rPr>
        <w:t xml:space="preserve"> </w:t>
      </w:r>
      <w:hyperlink r:id="rId16" w:history="1">
        <w:r w:rsidR="002A0055" w:rsidRPr="00B015B5">
          <w:rPr>
            <w:rStyle w:val="Hyperlink"/>
            <w:sz w:val="22"/>
            <w:szCs w:val="22"/>
            <w:lang w:val="fr-FR"/>
          </w:rPr>
          <w:t>NP-2/11</w:t>
        </w:r>
      </w:hyperlink>
      <w:r w:rsidR="002A0055" w:rsidRPr="00B015B5">
        <w:rPr>
          <w:color w:val="000000"/>
          <w:kern w:val="22"/>
          <w:sz w:val="22"/>
          <w:szCs w:val="22"/>
          <w:lang w:val="fr-FR"/>
        </w:rPr>
        <w:t>).</w:t>
      </w:r>
    </w:p>
    <w:p w14:paraId="28777E80" w14:textId="208EF90B" w:rsidR="00CC399C" w:rsidRPr="00B015B5" w:rsidRDefault="005B6CD5" w:rsidP="00A941B0">
      <w:pPr>
        <w:pStyle w:val="Para1"/>
        <w:numPr>
          <w:ilvl w:val="0"/>
          <w:numId w:val="14"/>
        </w:numPr>
        <w:suppressLineNumbers/>
        <w:tabs>
          <w:tab w:val="num" w:pos="720"/>
        </w:tabs>
        <w:suppressAutoHyphens/>
        <w:spacing w:before="120"/>
        <w:ind w:left="0" w:firstLine="0"/>
        <w:jc w:val="both"/>
        <w:rPr>
          <w:rFonts w:eastAsia="Malgun Gothic"/>
          <w:kern w:val="22"/>
          <w:sz w:val="22"/>
          <w:szCs w:val="22"/>
          <w:lang w:val="fr-FR"/>
        </w:rPr>
      </w:pPr>
      <w:r w:rsidRPr="005B6CD5">
        <w:rPr>
          <w:rFonts w:eastAsia="Malgun Gothic"/>
          <w:kern w:val="22"/>
          <w:sz w:val="22"/>
          <w:szCs w:val="22"/>
          <w:lang w:val="fr-FR"/>
        </w:rPr>
        <w:t xml:space="preserve">La Conférence des Parties a reconnu les avantages de méthodes intégrées d’examen et de soutien de l’application de la Convention et de ses </w:t>
      </w:r>
      <w:r w:rsidR="00491533">
        <w:rPr>
          <w:rFonts w:eastAsia="Malgun Gothic"/>
          <w:kern w:val="22"/>
          <w:sz w:val="22"/>
          <w:szCs w:val="22"/>
          <w:lang w:val="fr-FR"/>
        </w:rPr>
        <w:t>p</w:t>
      </w:r>
      <w:r w:rsidRPr="005B6CD5">
        <w:rPr>
          <w:rFonts w:eastAsia="Malgun Gothic"/>
          <w:kern w:val="22"/>
          <w:sz w:val="22"/>
          <w:szCs w:val="22"/>
          <w:lang w:val="fr-FR"/>
        </w:rPr>
        <w:t xml:space="preserve">rotocoles et demandé à l’Organe subsidiaire d’entreprendre toutes les tâches qui relèvent de son mandat comme </w:t>
      </w:r>
      <w:r w:rsidR="00F52BC8">
        <w:rPr>
          <w:rFonts w:eastAsia="Malgun Gothic"/>
          <w:kern w:val="22"/>
          <w:sz w:val="22"/>
          <w:szCs w:val="22"/>
          <w:lang w:val="fr-FR"/>
        </w:rPr>
        <w:t>indiqué par</w:t>
      </w:r>
      <w:r w:rsidRPr="005B6CD5">
        <w:rPr>
          <w:rFonts w:eastAsia="Malgun Gothic"/>
          <w:kern w:val="22"/>
          <w:sz w:val="22"/>
          <w:szCs w:val="22"/>
          <w:lang w:val="fr-FR"/>
        </w:rPr>
        <w:t xml:space="preserve"> la Conférence des Parties ou la Conférence des Parties siégeant en tant que réunions des Parties aux Protocoles, et de faire rapport sur ses travaux à ces organes. Lorsque l’</w:t>
      </w:r>
      <w:r w:rsidRPr="005B6CD5">
        <w:rPr>
          <w:kern w:val="22"/>
          <w:sz w:val="22"/>
          <w:szCs w:val="22"/>
          <w:lang w:val="fr-FR"/>
        </w:rPr>
        <w:t>Organe subsidiaire chargé de l’application dessert un Protocole à la Convention, seules les Parties à ce protocole pourront prendre des décisions y relatives.</w:t>
      </w:r>
    </w:p>
    <w:p w14:paraId="0B3CC62D" w14:textId="6124F28A" w:rsidR="00CC399C" w:rsidRPr="00B015B5" w:rsidRDefault="005B6CD5" w:rsidP="00A941B0">
      <w:pPr>
        <w:pStyle w:val="Para1"/>
        <w:numPr>
          <w:ilvl w:val="0"/>
          <w:numId w:val="14"/>
        </w:numPr>
        <w:suppressLineNumbers/>
        <w:tabs>
          <w:tab w:val="num" w:pos="720"/>
        </w:tabs>
        <w:suppressAutoHyphens/>
        <w:spacing w:before="120"/>
        <w:ind w:left="0" w:firstLine="0"/>
        <w:jc w:val="both"/>
        <w:rPr>
          <w:rFonts w:eastAsia="Malgun Gothic"/>
          <w:kern w:val="22"/>
          <w:sz w:val="22"/>
          <w:szCs w:val="22"/>
          <w:lang w:val="fr-FR"/>
        </w:rPr>
      </w:pPr>
      <w:r w:rsidRPr="005B6CD5">
        <w:rPr>
          <w:kern w:val="22"/>
          <w:sz w:val="22"/>
          <w:szCs w:val="22"/>
          <w:lang w:val="fr-FR"/>
        </w:rPr>
        <w:t>Conformément au</w:t>
      </w:r>
      <w:r w:rsidRPr="005B6CD5">
        <w:rPr>
          <w:color w:val="000000"/>
          <w:kern w:val="22"/>
          <w:sz w:val="22"/>
          <w:szCs w:val="22"/>
          <w:lang w:val="fr-FR"/>
        </w:rPr>
        <w:t xml:space="preserve"> mode de fonctionnement de l’O</w:t>
      </w:r>
      <w:r>
        <w:rPr>
          <w:color w:val="000000"/>
          <w:kern w:val="22"/>
          <w:sz w:val="22"/>
          <w:szCs w:val="22"/>
          <w:lang w:val="fr-FR"/>
        </w:rPr>
        <w:t>rgane subsidiaire</w:t>
      </w:r>
      <w:r w:rsidRPr="005B6CD5">
        <w:rPr>
          <w:color w:val="000000"/>
          <w:kern w:val="22"/>
          <w:sz w:val="22"/>
          <w:szCs w:val="22"/>
          <w:lang w:val="fr-FR"/>
        </w:rPr>
        <w:t xml:space="preserve"> (</w:t>
      </w:r>
      <w:r>
        <w:rPr>
          <w:color w:val="000000"/>
          <w:kern w:val="22"/>
          <w:sz w:val="22"/>
          <w:szCs w:val="22"/>
          <w:lang w:val="fr-FR"/>
        </w:rPr>
        <w:t xml:space="preserve">annexe de la </w:t>
      </w:r>
      <w:r w:rsidRPr="005B6CD5">
        <w:rPr>
          <w:color w:val="000000"/>
          <w:kern w:val="22"/>
          <w:sz w:val="22"/>
          <w:szCs w:val="22"/>
          <w:lang w:val="fr-FR"/>
        </w:rPr>
        <w:t>décision</w:t>
      </w:r>
      <w:r w:rsidRPr="00B015B5">
        <w:rPr>
          <w:sz w:val="22"/>
          <w:szCs w:val="22"/>
          <w:lang w:val="fr-FR"/>
        </w:rPr>
        <w:t xml:space="preserve"> </w:t>
      </w:r>
      <w:hyperlink r:id="rId17" w:history="1">
        <w:r w:rsidR="003218FC" w:rsidRPr="00B015B5">
          <w:rPr>
            <w:rStyle w:val="Hyperlink"/>
            <w:rFonts w:eastAsia="Malgun Gothic"/>
            <w:sz w:val="22"/>
            <w:szCs w:val="22"/>
            <w:lang w:val="fr-FR"/>
          </w:rPr>
          <w:t>XIII/25</w:t>
        </w:r>
      </w:hyperlink>
      <w:r w:rsidR="003218FC" w:rsidRPr="00B015B5">
        <w:rPr>
          <w:rFonts w:eastAsia="Malgun Gothic"/>
          <w:kern w:val="22"/>
          <w:sz w:val="22"/>
          <w:szCs w:val="22"/>
          <w:lang w:val="fr-FR"/>
        </w:rPr>
        <w:t>)</w:t>
      </w:r>
      <w:r w:rsidR="00402E07" w:rsidRPr="00B015B5">
        <w:rPr>
          <w:rFonts w:eastAsia="Malgun Gothic"/>
          <w:kern w:val="22"/>
          <w:sz w:val="22"/>
          <w:szCs w:val="22"/>
          <w:lang w:val="fr-FR"/>
        </w:rPr>
        <w:t xml:space="preserve">, </w:t>
      </w:r>
      <w:r w:rsidR="0086547A" w:rsidRPr="0086547A">
        <w:rPr>
          <w:kern w:val="22"/>
          <w:sz w:val="22"/>
          <w:szCs w:val="22"/>
          <w:lang w:val="fr-FR"/>
        </w:rPr>
        <w:t>le président de l’Organe subsidiaire chargé de l’application doit être élu par la Conférence des Parties pour ainsi garantir une participation active au processus de préparation et faciliter le bon déroulement de la réunion. L</w:t>
      </w:r>
      <w:r w:rsidR="00491533">
        <w:rPr>
          <w:kern w:val="22"/>
          <w:sz w:val="22"/>
          <w:szCs w:val="22"/>
          <w:lang w:val="fr-FR"/>
        </w:rPr>
        <w:t>a</w:t>
      </w:r>
      <w:r w:rsidR="0086547A" w:rsidRPr="0086547A">
        <w:rPr>
          <w:kern w:val="22"/>
          <w:sz w:val="22"/>
          <w:szCs w:val="22"/>
          <w:lang w:val="fr-FR"/>
        </w:rPr>
        <w:t xml:space="preserve"> président</w:t>
      </w:r>
      <w:r w:rsidR="00491533">
        <w:rPr>
          <w:kern w:val="22"/>
          <w:sz w:val="22"/>
          <w:szCs w:val="22"/>
          <w:lang w:val="fr-FR"/>
        </w:rPr>
        <w:t>e</w:t>
      </w:r>
      <w:r w:rsidR="0086547A" w:rsidRPr="0086547A">
        <w:rPr>
          <w:kern w:val="22"/>
          <w:sz w:val="22"/>
          <w:szCs w:val="22"/>
          <w:lang w:val="fr-FR"/>
        </w:rPr>
        <w:t xml:space="preserve"> élu</w:t>
      </w:r>
      <w:r w:rsidR="00491533">
        <w:rPr>
          <w:kern w:val="22"/>
          <w:sz w:val="22"/>
          <w:szCs w:val="22"/>
          <w:lang w:val="fr-FR"/>
        </w:rPr>
        <w:t>e</w:t>
      </w:r>
      <w:r w:rsidR="0086547A" w:rsidRPr="0086547A">
        <w:rPr>
          <w:kern w:val="22"/>
          <w:sz w:val="22"/>
          <w:szCs w:val="22"/>
          <w:lang w:val="fr-FR"/>
        </w:rPr>
        <w:t xml:space="preserve"> pour présider la </w:t>
      </w:r>
      <w:r w:rsidR="00491533">
        <w:rPr>
          <w:kern w:val="22"/>
          <w:sz w:val="22"/>
          <w:szCs w:val="22"/>
          <w:lang w:val="fr-FR"/>
        </w:rPr>
        <w:t>trois</w:t>
      </w:r>
      <w:r w:rsidR="0086547A" w:rsidRPr="0086547A">
        <w:rPr>
          <w:kern w:val="22"/>
          <w:sz w:val="22"/>
          <w:szCs w:val="22"/>
          <w:lang w:val="fr-FR"/>
        </w:rPr>
        <w:t>ième réunion de l’Organe subsidiaire chargé de l’application est M</w:t>
      </w:r>
      <w:r w:rsidR="00653808">
        <w:rPr>
          <w:kern w:val="22"/>
          <w:sz w:val="22"/>
          <w:szCs w:val="22"/>
          <w:lang w:val="fr-FR"/>
        </w:rPr>
        <w:t xml:space="preserve">me </w:t>
      </w:r>
      <w:r w:rsidR="00653808">
        <w:rPr>
          <w:noProof/>
          <w:kern w:val="22"/>
          <w:sz w:val="22"/>
          <w:szCs w:val="22"/>
          <w:lang w:val="fr-FR"/>
        </w:rPr>
        <w:t>Charlotta Sörqvist</w:t>
      </w:r>
      <w:r w:rsidR="0086547A" w:rsidRPr="0086547A">
        <w:rPr>
          <w:kern w:val="22"/>
          <w:sz w:val="22"/>
          <w:szCs w:val="22"/>
          <w:lang w:val="fr-FR"/>
        </w:rPr>
        <w:t xml:space="preserve"> </w:t>
      </w:r>
      <w:r w:rsidR="00653808">
        <w:rPr>
          <w:noProof/>
          <w:kern w:val="22"/>
          <w:sz w:val="22"/>
          <w:szCs w:val="22"/>
          <w:lang w:val="fr-FR"/>
        </w:rPr>
        <w:t>(Suède)</w:t>
      </w:r>
      <w:r w:rsidR="0086547A" w:rsidRPr="0086547A">
        <w:rPr>
          <w:kern w:val="22"/>
          <w:sz w:val="22"/>
          <w:szCs w:val="22"/>
          <w:lang w:val="fr-FR"/>
        </w:rPr>
        <w:t>. Conformément au paragraphe 2 a) de la d</w:t>
      </w:r>
      <w:r w:rsidR="0086547A" w:rsidRPr="0086547A">
        <w:rPr>
          <w:rFonts w:eastAsia="Malgun Gothic"/>
          <w:kern w:val="22"/>
          <w:sz w:val="22"/>
          <w:szCs w:val="22"/>
          <w:lang w:val="fr-FR"/>
        </w:rPr>
        <w:t>écision XII/26, le Bureau de la Conférence des Parties siégera en tant que Bureau de l’Organe subsidiaire.</w:t>
      </w:r>
      <w:r w:rsidR="00DE6253">
        <w:rPr>
          <w:rFonts w:eastAsia="Malgun Gothic"/>
          <w:kern w:val="22"/>
          <w:sz w:val="22"/>
          <w:szCs w:val="22"/>
          <w:lang w:val="fr-FR"/>
        </w:rPr>
        <w:t xml:space="preserve"> </w:t>
      </w:r>
    </w:p>
    <w:p w14:paraId="358B5F60" w14:textId="0D45378B" w:rsidR="00BB4A36" w:rsidRPr="00B015B5" w:rsidRDefault="0086547A" w:rsidP="00ED543F">
      <w:pPr>
        <w:pStyle w:val="Para1"/>
        <w:numPr>
          <w:ilvl w:val="0"/>
          <w:numId w:val="14"/>
        </w:numPr>
        <w:suppressLineNumbers/>
        <w:tabs>
          <w:tab w:val="num" w:pos="720"/>
        </w:tabs>
        <w:suppressAutoHyphens/>
        <w:spacing w:before="120"/>
        <w:ind w:left="0" w:firstLine="0"/>
        <w:jc w:val="both"/>
        <w:rPr>
          <w:kern w:val="22"/>
          <w:sz w:val="22"/>
          <w:szCs w:val="22"/>
          <w:lang w:val="fr-FR"/>
        </w:rPr>
      </w:pPr>
      <w:r w:rsidRPr="0086547A">
        <w:rPr>
          <w:kern w:val="22"/>
          <w:sz w:val="22"/>
          <w:szCs w:val="22"/>
          <w:lang w:val="fr-FR"/>
        </w:rPr>
        <w:t xml:space="preserve">La </w:t>
      </w:r>
      <w:r w:rsidR="00441C3F">
        <w:rPr>
          <w:kern w:val="22"/>
          <w:sz w:val="22"/>
          <w:szCs w:val="22"/>
          <w:lang w:val="fr-FR"/>
        </w:rPr>
        <w:t>troisi</w:t>
      </w:r>
      <w:r w:rsidRPr="0086547A">
        <w:rPr>
          <w:kern w:val="22"/>
          <w:sz w:val="22"/>
          <w:szCs w:val="22"/>
          <w:lang w:val="fr-FR"/>
        </w:rPr>
        <w:t xml:space="preserve">ème réunion de l’Organe subsidiaire chargé de l’application se tiendra du </w:t>
      </w:r>
      <w:r w:rsidR="00D354D3">
        <w:rPr>
          <w:kern w:val="22"/>
          <w:sz w:val="22"/>
          <w:szCs w:val="22"/>
          <w:lang w:val="fr-FR"/>
        </w:rPr>
        <w:t>9</w:t>
      </w:r>
      <w:r w:rsidR="00AB33AE">
        <w:rPr>
          <w:kern w:val="22"/>
          <w:sz w:val="22"/>
          <w:szCs w:val="22"/>
          <w:lang w:val="fr-FR"/>
        </w:rPr>
        <w:t xml:space="preserve"> au </w:t>
      </w:r>
      <w:r w:rsidR="00D354D3">
        <w:rPr>
          <w:kern w:val="22"/>
          <w:sz w:val="22"/>
          <w:szCs w:val="22"/>
          <w:lang w:val="fr-FR"/>
        </w:rPr>
        <w:t>14</w:t>
      </w:r>
      <w:r w:rsidR="00AB33AE">
        <w:rPr>
          <w:kern w:val="22"/>
          <w:sz w:val="22"/>
          <w:szCs w:val="22"/>
          <w:lang w:val="fr-FR"/>
        </w:rPr>
        <w:t xml:space="preserve"> </w:t>
      </w:r>
      <w:r w:rsidR="00D354D3">
        <w:rPr>
          <w:kern w:val="22"/>
          <w:sz w:val="22"/>
          <w:szCs w:val="22"/>
          <w:lang w:val="fr-FR"/>
        </w:rPr>
        <w:t>novembre</w:t>
      </w:r>
      <w:r w:rsidRPr="0086547A">
        <w:rPr>
          <w:kern w:val="22"/>
          <w:sz w:val="22"/>
          <w:szCs w:val="22"/>
          <w:lang w:val="fr-FR"/>
        </w:rPr>
        <w:t xml:space="preserve"> 20</w:t>
      </w:r>
      <w:r w:rsidR="00441C3F">
        <w:rPr>
          <w:kern w:val="22"/>
          <w:sz w:val="22"/>
          <w:szCs w:val="22"/>
          <w:lang w:val="fr-FR"/>
        </w:rPr>
        <w:t>20</w:t>
      </w:r>
      <w:r w:rsidRPr="0086547A">
        <w:rPr>
          <w:kern w:val="22"/>
          <w:sz w:val="22"/>
          <w:szCs w:val="22"/>
          <w:lang w:val="fr-FR"/>
        </w:rPr>
        <w:t>.</w:t>
      </w:r>
      <w:r w:rsidR="008C5F65">
        <w:rPr>
          <w:kern w:val="22"/>
          <w:sz w:val="22"/>
          <w:szCs w:val="22"/>
          <w:lang w:val="fr-FR"/>
        </w:rPr>
        <w:t xml:space="preserve"> </w:t>
      </w:r>
      <w:r w:rsidRPr="0086547A">
        <w:rPr>
          <w:rFonts w:eastAsia="Malgun Gothic"/>
          <w:kern w:val="22"/>
          <w:sz w:val="22"/>
          <w:szCs w:val="22"/>
          <w:lang w:val="fr-FR"/>
        </w:rPr>
        <w:t xml:space="preserve">Le Secrétariat </w:t>
      </w:r>
      <w:r w:rsidR="00653808">
        <w:rPr>
          <w:rFonts w:eastAsia="Malgun Gothic"/>
          <w:kern w:val="22"/>
          <w:sz w:val="22"/>
          <w:szCs w:val="22"/>
          <w:lang w:val="fr-FR"/>
        </w:rPr>
        <w:t>diffusera</w:t>
      </w:r>
      <w:r w:rsidRPr="0086547A">
        <w:rPr>
          <w:rFonts w:eastAsia="Malgun Gothic"/>
          <w:kern w:val="22"/>
          <w:sz w:val="22"/>
          <w:szCs w:val="22"/>
          <w:lang w:val="fr-FR"/>
        </w:rPr>
        <w:t xml:space="preserve"> une note d’information contenant les détails d’inscription et autres </w:t>
      </w:r>
      <w:r w:rsidRPr="0086547A">
        <w:rPr>
          <w:rFonts w:eastAsia="Malgun Gothic"/>
          <w:kern w:val="22"/>
          <w:sz w:val="22"/>
          <w:szCs w:val="22"/>
          <w:lang w:val="fr-FR"/>
        </w:rPr>
        <w:lastRenderedPageBreak/>
        <w:t xml:space="preserve">dispositions logistiques pour la réunion, y compris des renseignements sur les voyages, les formalités de visa, l’hébergement et autres questions. </w:t>
      </w:r>
      <w:r w:rsidR="00441C3F">
        <w:rPr>
          <w:rFonts w:eastAsia="Malgun Gothic"/>
          <w:kern w:val="22"/>
          <w:sz w:val="22"/>
          <w:szCs w:val="22"/>
          <w:lang w:val="fr-FR"/>
        </w:rPr>
        <w:t>Les présentes</w:t>
      </w:r>
      <w:r w:rsidRPr="0086547A">
        <w:rPr>
          <w:kern w:val="22"/>
          <w:sz w:val="22"/>
          <w:szCs w:val="22"/>
          <w:lang w:val="fr-FR"/>
        </w:rPr>
        <w:t xml:space="preserve"> annotations à l’ordre du jour provisoire ont été </w:t>
      </w:r>
      <w:r w:rsidR="00441C3F">
        <w:rPr>
          <w:kern w:val="22"/>
          <w:sz w:val="22"/>
          <w:szCs w:val="22"/>
          <w:lang w:val="fr-FR"/>
        </w:rPr>
        <w:t>élaborées</w:t>
      </w:r>
      <w:r w:rsidRPr="0086547A">
        <w:rPr>
          <w:kern w:val="22"/>
          <w:sz w:val="22"/>
          <w:szCs w:val="22"/>
          <w:lang w:val="fr-FR"/>
        </w:rPr>
        <w:t xml:space="preserve"> et </w:t>
      </w:r>
      <w:r w:rsidR="00406F30">
        <w:rPr>
          <w:kern w:val="22"/>
          <w:sz w:val="22"/>
          <w:szCs w:val="22"/>
          <w:lang w:val="fr-FR"/>
        </w:rPr>
        <w:t>diffusées</w:t>
      </w:r>
      <w:r w:rsidRPr="0086547A">
        <w:rPr>
          <w:kern w:val="22"/>
          <w:sz w:val="22"/>
          <w:szCs w:val="22"/>
          <w:lang w:val="fr-FR"/>
        </w:rPr>
        <w:t xml:space="preserve"> pour faciliter les préparatifs des Parties et observateurs à la réunion.</w:t>
      </w:r>
    </w:p>
    <w:p w14:paraId="3ED6B41A" w14:textId="57649FA6" w:rsidR="00933415" w:rsidRPr="00441C3F" w:rsidRDefault="00441C3F" w:rsidP="00ED543F">
      <w:pPr>
        <w:keepNext/>
        <w:suppressLineNumbers/>
        <w:tabs>
          <w:tab w:val="left" w:pos="993"/>
        </w:tabs>
        <w:suppressAutoHyphens/>
        <w:spacing w:before="120" w:after="120"/>
        <w:jc w:val="center"/>
        <w:rPr>
          <w:b/>
          <w:caps/>
          <w:snapToGrid w:val="0"/>
          <w:kern w:val="22"/>
          <w:sz w:val="22"/>
          <w:szCs w:val="22"/>
          <w:lang w:val="fr-FR"/>
        </w:rPr>
      </w:pPr>
      <w:r w:rsidRPr="00441C3F">
        <w:rPr>
          <w:b/>
          <w:caps/>
          <w:snapToGrid w:val="0"/>
          <w:kern w:val="22"/>
          <w:sz w:val="22"/>
          <w:szCs w:val="22"/>
          <w:lang w:val="fr-FR"/>
        </w:rPr>
        <w:t>point</w:t>
      </w:r>
      <w:r w:rsidR="001B6130" w:rsidRPr="00441C3F">
        <w:rPr>
          <w:b/>
          <w:caps/>
          <w:snapToGrid w:val="0"/>
          <w:kern w:val="22"/>
          <w:sz w:val="22"/>
          <w:szCs w:val="22"/>
          <w:lang w:val="fr-FR"/>
        </w:rPr>
        <w:t xml:space="preserve"> </w:t>
      </w:r>
      <w:r w:rsidR="00D27FAF" w:rsidRPr="00441C3F">
        <w:rPr>
          <w:b/>
          <w:caps/>
          <w:snapToGrid w:val="0"/>
          <w:kern w:val="22"/>
          <w:sz w:val="22"/>
          <w:szCs w:val="22"/>
          <w:lang w:val="fr-FR"/>
        </w:rPr>
        <w:t>1.</w:t>
      </w:r>
      <w:r w:rsidR="00D27FAF" w:rsidRPr="00441C3F">
        <w:rPr>
          <w:b/>
          <w:caps/>
          <w:snapToGrid w:val="0"/>
          <w:kern w:val="22"/>
          <w:sz w:val="22"/>
          <w:szCs w:val="22"/>
          <w:lang w:val="fr-FR"/>
        </w:rPr>
        <w:tab/>
      </w:r>
      <w:r w:rsidR="00F73A9F" w:rsidRPr="00441C3F">
        <w:rPr>
          <w:b/>
          <w:caps/>
          <w:snapToGrid w:val="0"/>
          <w:kern w:val="22"/>
          <w:sz w:val="22"/>
          <w:szCs w:val="22"/>
          <w:lang w:val="fr-FR"/>
        </w:rPr>
        <w:t>O</w:t>
      </w:r>
      <w:r w:rsidRPr="00441C3F">
        <w:rPr>
          <w:b/>
          <w:caps/>
          <w:snapToGrid w:val="0"/>
          <w:kern w:val="22"/>
          <w:sz w:val="22"/>
          <w:szCs w:val="22"/>
          <w:lang w:val="fr-FR"/>
        </w:rPr>
        <w:t>uverture de la rÉunion</w:t>
      </w:r>
    </w:p>
    <w:p w14:paraId="4DC81533" w14:textId="36FF83A5" w:rsidR="00CC399C" w:rsidRPr="00441C3F" w:rsidRDefault="00441C3F" w:rsidP="00A607E8">
      <w:pPr>
        <w:pStyle w:val="Para1"/>
        <w:numPr>
          <w:ilvl w:val="0"/>
          <w:numId w:val="14"/>
        </w:numPr>
        <w:suppressLineNumbers/>
        <w:tabs>
          <w:tab w:val="num" w:pos="720"/>
        </w:tabs>
        <w:suppressAutoHyphens/>
        <w:spacing w:before="120"/>
        <w:ind w:left="0" w:firstLine="0"/>
        <w:jc w:val="both"/>
        <w:rPr>
          <w:rFonts w:eastAsia="Malgun Gothic"/>
          <w:kern w:val="22"/>
          <w:sz w:val="22"/>
          <w:szCs w:val="22"/>
          <w:lang w:val="fr-FR"/>
        </w:rPr>
      </w:pPr>
      <w:r w:rsidRPr="00441C3F">
        <w:rPr>
          <w:rFonts w:eastAsia="Malgun Gothic"/>
          <w:kern w:val="22"/>
          <w:sz w:val="22"/>
          <w:szCs w:val="22"/>
          <w:lang w:val="fr-FR"/>
        </w:rPr>
        <w:t>L</w:t>
      </w:r>
      <w:r w:rsidR="00653808">
        <w:rPr>
          <w:rFonts w:eastAsia="Malgun Gothic"/>
          <w:kern w:val="22"/>
          <w:sz w:val="22"/>
          <w:szCs w:val="22"/>
          <w:lang w:val="fr-FR"/>
        </w:rPr>
        <w:t>a</w:t>
      </w:r>
      <w:r w:rsidRPr="00441C3F">
        <w:rPr>
          <w:rFonts w:eastAsia="Malgun Gothic"/>
          <w:kern w:val="22"/>
          <w:sz w:val="22"/>
          <w:szCs w:val="22"/>
          <w:lang w:val="fr-FR"/>
        </w:rPr>
        <w:t xml:space="preserve"> président</w:t>
      </w:r>
      <w:r w:rsidR="00653808">
        <w:rPr>
          <w:rFonts w:eastAsia="Malgun Gothic"/>
          <w:kern w:val="22"/>
          <w:sz w:val="22"/>
          <w:szCs w:val="22"/>
          <w:lang w:val="fr-FR"/>
        </w:rPr>
        <w:t>e</w:t>
      </w:r>
      <w:r w:rsidRPr="00441C3F">
        <w:rPr>
          <w:rFonts w:eastAsia="Malgun Gothic"/>
          <w:kern w:val="22"/>
          <w:sz w:val="22"/>
          <w:szCs w:val="22"/>
          <w:lang w:val="fr-FR"/>
        </w:rPr>
        <w:t xml:space="preserve"> ouvrira la réunion le lundi </w:t>
      </w:r>
      <w:r w:rsidR="00C63F85">
        <w:rPr>
          <w:rFonts w:eastAsia="Malgun Gothic"/>
          <w:kern w:val="22"/>
          <w:sz w:val="22"/>
          <w:szCs w:val="22"/>
          <w:lang w:val="fr-FR"/>
        </w:rPr>
        <w:t>9 novembre</w:t>
      </w:r>
      <w:r w:rsidRPr="00441C3F">
        <w:rPr>
          <w:rFonts w:eastAsia="Malgun Gothic"/>
          <w:kern w:val="22"/>
          <w:sz w:val="22"/>
          <w:szCs w:val="22"/>
          <w:lang w:val="fr-FR"/>
        </w:rPr>
        <w:t xml:space="preserve"> 2020 à 10 heures. La Secrétaire exécutive fera une déclaration.</w:t>
      </w:r>
    </w:p>
    <w:p w14:paraId="0FE21182" w14:textId="2B84920D" w:rsidR="00933415" w:rsidRPr="00441C3F" w:rsidRDefault="00441C3F" w:rsidP="00ED543F">
      <w:pPr>
        <w:keepNext/>
        <w:suppressLineNumbers/>
        <w:tabs>
          <w:tab w:val="left" w:pos="993"/>
        </w:tabs>
        <w:suppressAutoHyphens/>
        <w:spacing w:before="120" w:after="120"/>
        <w:jc w:val="center"/>
        <w:rPr>
          <w:b/>
          <w:caps/>
          <w:snapToGrid w:val="0"/>
          <w:kern w:val="22"/>
          <w:sz w:val="22"/>
          <w:szCs w:val="22"/>
          <w:lang w:val="fr-FR"/>
        </w:rPr>
      </w:pPr>
      <w:r w:rsidRPr="00441C3F">
        <w:rPr>
          <w:b/>
          <w:caps/>
          <w:snapToGrid w:val="0"/>
          <w:kern w:val="22"/>
          <w:sz w:val="22"/>
          <w:szCs w:val="22"/>
          <w:lang w:val="fr-FR"/>
        </w:rPr>
        <w:t>point</w:t>
      </w:r>
      <w:r w:rsidR="001B6130" w:rsidRPr="00441C3F">
        <w:rPr>
          <w:b/>
          <w:caps/>
          <w:snapToGrid w:val="0"/>
          <w:kern w:val="22"/>
          <w:sz w:val="22"/>
          <w:szCs w:val="22"/>
          <w:lang w:val="fr-FR"/>
        </w:rPr>
        <w:t xml:space="preserve"> </w:t>
      </w:r>
      <w:r w:rsidR="00F73A9F" w:rsidRPr="00441C3F">
        <w:rPr>
          <w:b/>
          <w:caps/>
          <w:snapToGrid w:val="0"/>
          <w:kern w:val="22"/>
          <w:sz w:val="22"/>
          <w:szCs w:val="22"/>
          <w:lang w:val="fr-FR"/>
        </w:rPr>
        <w:t>2.</w:t>
      </w:r>
      <w:r w:rsidR="00D27FAF" w:rsidRPr="00441C3F">
        <w:rPr>
          <w:b/>
          <w:caps/>
          <w:snapToGrid w:val="0"/>
          <w:kern w:val="22"/>
          <w:sz w:val="22"/>
          <w:szCs w:val="22"/>
          <w:lang w:val="fr-FR"/>
        </w:rPr>
        <w:tab/>
      </w:r>
      <w:r w:rsidR="00F73A9F" w:rsidRPr="00441C3F">
        <w:rPr>
          <w:b/>
          <w:caps/>
          <w:snapToGrid w:val="0"/>
          <w:kern w:val="22"/>
          <w:sz w:val="22"/>
          <w:szCs w:val="22"/>
          <w:lang w:val="fr-FR"/>
        </w:rPr>
        <w:t xml:space="preserve">Adoption </w:t>
      </w:r>
      <w:r w:rsidRPr="00441C3F">
        <w:rPr>
          <w:b/>
          <w:caps/>
          <w:snapToGrid w:val="0"/>
          <w:kern w:val="22"/>
          <w:sz w:val="22"/>
          <w:szCs w:val="22"/>
          <w:lang w:val="fr-FR"/>
        </w:rPr>
        <w:t>de l’ordre du jour et organis</w:t>
      </w:r>
      <w:r w:rsidR="00CC0A24">
        <w:rPr>
          <w:b/>
          <w:caps/>
          <w:snapToGrid w:val="0"/>
          <w:kern w:val="22"/>
          <w:sz w:val="22"/>
          <w:szCs w:val="22"/>
          <w:lang w:val="fr-FR"/>
        </w:rPr>
        <w:t>a</w:t>
      </w:r>
      <w:r w:rsidRPr="00441C3F">
        <w:rPr>
          <w:b/>
          <w:caps/>
          <w:snapToGrid w:val="0"/>
          <w:kern w:val="22"/>
          <w:sz w:val="22"/>
          <w:szCs w:val="22"/>
          <w:lang w:val="fr-FR"/>
        </w:rPr>
        <w:t>tion des travaux</w:t>
      </w:r>
    </w:p>
    <w:p w14:paraId="6EC662BE" w14:textId="24A38A1C" w:rsidR="002D3270" w:rsidRPr="00342F57" w:rsidRDefault="00342F57"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sidRPr="00342F57">
        <w:rPr>
          <w:kern w:val="22"/>
          <w:sz w:val="22"/>
          <w:szCs w:val="22"/>
          <w:lang w:val="fr-FR"/>
        </w:rPr>
        <w:t xml:space="preserve">L’ordre du jour provisoire de la </w:t>
      </w:r>
      <w:r>
        <w:rPr>
          <w:kern w:val="22"/>
          <w:sz w:val="22"/>
          <w:szCs w:val="22"/>
          <w:lang w:val="fr-FR"/>
        </w:rPr>
        <w:t>trois</w:t>
      </w:r>
      <w:r w:rsidRPr="00342F57">
        <w:rPr>
          <w:kern w:val="22"/>
          <w:sz w:val="22"/>
          <w:szCs w:val="22"/>
          <w:lang w:val="fr-FR"/>
        </w:rPr>
        <w:t>ième réunion de l’Organe subsidiaire chargé de l’application a été établi par l</w:t>
      </w:r>
      <w:r w:rsidR="00CC0A24">
        <w:rPr>
          <w:kern w:val="22"/>
          <w:sz w:val="22"/>
          <w:szCs w:val="22"/>
          <w:lang w:val="fr-FR"/>
        </w:rPr>
        <w:t>a</w:t>
      </w:r>
      <w:r w:rsidRPr="00342F57">
        <w:rPr>
          <w:kern w:val="22"/>
          <w:sz w:val="22"/>
          <w:szCs w:val="22"/>
          <w:lang w:val="fr-FR"/>
        </w:rPr>
        <w:t xml:space="preserve"> Secrétaire exécuti</w:t>
      </w:r>
      <w:r w:rsidR="00CC0A24">
        <w:rPr>
          <w:kern w:val="22"/>
          <w:sz w:val="22"/>
          <w:szCs w:val="22"/>
          <w:lang w:val="fr-FR"/>
        </w:rPr>
        <w:t>ve</w:t>
      </w:r>
      <w:r w:rsidRPr="00342F57">
        <w:rPr>
          <w:kern w:val="22"/>
          <w:sz w:val="22"/>
          <w:szCs w:val="22"/>
          <w:lang w:val="fr-FR"/>
        </w:rPr>
        <w:t xml:space="preserve"> en consultation avec le Bureau et ce, conformément aux </w:t>
      </w:r>
      <w:r w:rsidRPr="00342F57">
        <w:rPr>
          <w:rFonts w:eastAsia="Malgun Gothic"/>
          <w:kern w:val="22"/>
          <w:sz w:val="22"/>
          <w:szCs w:val="22"/>
          <w:lang w:val="fr-FR"/>
        </w:rPr>
        <w:t xml:space="preserve">paragraphes 8 et 9 du règlement intérieur des réunions de la Conférence of Parties, compte tenu du mandat de l’Organe subsidiaire chargé de l’application et des demandes spécifiques que lui ont été adressées la Conférence des Parties à sa </w:t>
      </w:r>
      <w:r w:rsidR="00CC0A24">
        <w:rPr>
          <w:rFonts w:eastAsia="Malgun Gothic"/>
          <w:kern w:val="22"/>
          <w:sz w:val="22"/>
          <w:szCs w:val="22"/>
          <w:lang w:val="fr-FR"/>
        </w:rPr>
        <w:t>quator</w:t>
      </w:r>
      <w:r w:rsidRPr="00342F57">
        <w:rPr>
          <w:rFonts w:eastAsia="Malgun Gothic"/>
          <w:kern w:val="22"/>
          <w:sz w:val="22"/>
          <w:szCs w:val="22"/>
          <w:lang w:val="fr-FR"/>
        </w:rPr>
        <w:t xml:space="preserve">zième réunion, la Conférence des Parties siégeant en tant que réunion des Parties au Protocole de Cartagena sur la prévention des risques biotechnologiques à sa </w:t>
      </w:r>
      <w:r w:rsidR="00CC0A24">
        <w:rPr>
          <w:rFonts w:eastAsia="Malgun Gothic"/>
          <w:kern w:val="22"/>
          <w:sz w:val="22"/>
          <w:szCs w:val="22"/>
          <w:lang w:val="fr-FR"/>
        </w:rPr>
        <w:t>neuv</w:t>
      </w:r>
      <w:r w:rsidRPr="00342F57">
        <w:rPr>
          <w:rFonts w:eastAsia="Malgun Gothic"/>
          <w:kern w:val="22"/>
          <w:sz w:val="22"/>
          <w:szCs w:val="22"/>
          <w:lang w:val="fr-FR"/>
        </w:rPr>
        <w:t xml:space="preserve">ième réunion et la Conférence des Parties siégeant en tant que réunion des Parties au Protocole de Nagoya sur l’accès aux ressources génétiques et le partage juste et équitable des avantages découlant de leur utilisation à la Convention sur la diversité biologique à sa </w:t>
      </w:r>
      <w:r w:rsidR="00CC0A24">
        <w:rPr>
          <w:rFonts w:eastAsia="Malgun Gothic"/>
          <w:kern w:val="22"/>
          <w:sz w:val="22"/>
          <w:szCs w:val="22"/>
          <w:lang w:val="fr-FR"/>
        </w:rPr>
        <w:t>trois</w:t>
      </w:r>
      <w:r w:rsidRPr="00342F57">
        <w:rPr>
          <w:rFonts w:eastAsia="Malgun Gothic"/>
          <w:kern w:val="22"/>
          <w:sz w:val="22"/>
          <w:szCs w:val="22"/>
          <w:lang w:val="fr-FR"/>
        </w:rPr>
        <w:t>ième réunion.</w:t>
      </w:r>
    </w:p>
    <w:p w14:paraId="4BC70DE8" w14:textId="042B7783" w:rsidR="007128BA" w:rsidRPr="00441C3F" w:rsidRDefault="00CC0A24"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sidRPr="00CC0A24">
        <w:rPr>
          <w:rFonts w:eastAsia="Malgun Gothic"/>
          <w:kern w:val="22"/>
          <w:sz w:val="22"/>
          <w:szCs w:val="22"/>
          <w:lang w:val="fr-FR"/>
        </w:rPr>
        <w:t>L’Organe subsidiaire chargé de l’application sera invité à examiner l’ordre du jour provisoire révisé aux fins de son adoption (CBD/SBI/</w:t>
      </w:r>
      <w:r>
        <w:rPr>
          <w:rFonts w:eastAsia="Malgun Gothic"/>
          <w:kern w:val="22"/>
          <w:sz w:val="22"/>
          <w:szCs w:val="22"/>
          <w:lang w:val="fr-FR"/>
        </w:rPr>
        <w:t>3</w:t>
      </w:r>
      <w:r w:rsidRPr="00CC0A24">
        <w:rPr>
          <w:rFonts w:eastAsia="Malgun Gothic"/>
          <w:kern w:val="22"/>
          <w:sz w:val="22"/>
          <w:szCs w:val="22"/>
          <w:lang w:val="fr-FR"/>
        </w:rPr>
        <w:t>/1)</w:t>
      </w:r>
      <w:r w:rsidR="007128BA" w:rsidRPr="00441C3F">
        <w:rPr>
          <w:rFonts w:eastAsia="Malgun Gothic"/>
          <w:kern w:val="22"/>
          <w:sz w:val="22"/>
          <w:szCs w:val="22"/>
          <w:lang w:val="fr-FR"/>
        </w:rPr>
        <w:t>.</w:t>
      </w:r>
    </w:p>
    <w:p w14:paraId="2E6D52ED" w14:textId="13C14B07" w:rsidR="00565197" w:rsidRPr="00441C3F" w:rsidRDefault="00CC0A24"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sidRPr="00CC0A24">
        <w:rPr>
          <w:kern w:val="22"/>
          <w:sz w:val="22"/>
          <w:szCs w:val="22"/>
          <w:lang w:val="fr-FR"/>
        </w:rPr>
        <w:t>L’Organe subsidiaire chargé de l’application</w:t>
      </w:r>
      <w:r w:rsidRPr="00CC0A24">
        <w:rPr>
          <w:rFonts w:eastAsia="Malgun Gothic"/>
          <w:kern w:val="22"/>
          <w:sz w:val="22"/>
          <w:szCs w:val="22"/>
          <w:lang w:val="fr-FR"/>
        </w:rPr>
        <w:t xml:space="preserve"> sera invité à adopter l’organisation proposée des travaux qui figure dans l’annexe I</w:t>
      </w:r>
      <w:r>
        <w:rPr>
          <w:rFonts w:eastAsia="Malgun Gothic"/>
          <w:kern w:val="22"/>
          <w:sz w:val="22"/>
          <w:szCs w:val="22"/>
          <w:lang w:val="fr-FR"/>
        </w:rPr>
        <w:t xml:space="preserve"> ci-dessous</w:t>
      </w:r>
      <w:r w:rsidR="00A6285D" w:rsidRPr="00441C3F">
        <w:rPr>
          <w:rFonts w:eastAsia="Malgun Gothic"/>
          <w:kern w:val="22"/>
          <w:sz w:val="22"/>
          <w:szCs w:val="22"/>
          <w:lang w:val="fr-FR"/>
        </w:rPr>
        <w:t>.</w:t>
      </w:r>
    </w:p>
    <w:p w14:paraId="3313192D" w14:textId="5D629F42" w:rsidR="005D261E" w:rsidRPr="00441C3F" w:rsidRDefault="00CC0A24" w:rsidP="00A941B0">
      <w:pPr>
        <w:pStyle w:val="Para1"/>
        <w:numPr>
          <w:ilvl w:val="0"/>
          <w:numId w:val="14"/>
        </w:numPr>
        <w:suppressLineNumbers/>
        <w:tabs>
          <w:tab w:val="num" w:pos="720"/>
        </w:tabs>
        <w:suppressAutoHyphens/>
        <w:spacing w:before="120"/>
        <w:ind w:left="0" w:firstLine="0"/>
        <w:jc w:val="both"/>
        <w:rPr>
          <w:iCs/>
          <w:kern w:val="22"/>
          <w:sz w:val="22"/>
          <w:szCs w:val="22"/>
          <w:lang w:val="fr-FR"/>
        </w:rPr>
      </w:pPr>
      <w:r w:rsidRPr="00CC0A24">
        <w:rPr>
          <w:kern w:val="22"/>
          <w:sz w:val="22"/>
          <w:szCs w:val="22"/>
          <w:lang w:val="fr-FR"/>
        </w:rPr>
        <w:t xml:space="preserve">On trouvera à l’annexe II une liste des documents </w:t>
      </w:r>
      <w:r>
        <w:rPr>
          <w:kern w:val="22"/>
          <w:sz w:val="22"/>
          <w:szCs w:val="22"/>
          <w:lang w:val="fr-FR"/>
        </w:rPr>
        <w:t>d’avant-session destinés à</w:t>
      </w:r>
      <w:r w:rsidRPr="00CC0A24">
        <w:rPr>
          <w:kern w:val="22"/>
          <w:sz w:val="22"/>
          <w:szCs w:val="22"/>
          <w:lang w:val="fr-FR"/>
        </w:rPr>
        <w:t xml:space="preserve"> la réunion</w:t>
      </w:r>
      <w:r w:rsidR="00565197" w:rsidRPr="00441C3F">
        <w:rPr>
          <w:iCs/>
          <w:kern w:val="22"/>
          <w:sz w:val="22"/>
          <w:szCs w:val="22"/>
          <w:lang w:val="fr-FR"/>
        </w:rPr>
        <w:t>.</w:t>
      </w:r>
    </w:p>
    <w:p w14:paraId="7EB9AD55" w14:textId="19652781" w:rsidR="005D261E" w:rsidRPr="00CC0A24" w:rsidRDefault="00CC0A24" w:rsidP="00ED543F">
      <w:pPr>
        <w:suppressLineNumbers/>
        <w:suppressAutoHyphens/>
        <w:spacing w:before="120" w:after="120"/>
        <w:ind w:left="1276" w:hanging="992"/>
        <w:rPr>
          <w:b/>
          <w:caps/>
          <w:snapToGrid w:val="0"/>
          <w:kern w:val="22"/>
          <w:sz w:val="22"/>
          <w:szCs w:val="22"/>
          <w:lang w:val="fr-FR"/>
        </w:rPr>
      </w:pPr>
      <w:r w:rsidRPr="00CC0A24">
        <w:rPr>
          <w:b/>
          <w:caps/>
          <w:snapToGrid w:val="0"/>
          <w:kern w:val="22"/>
          <w:sz w:val="22"/>
          <w:szCs w:val="22"/>
          <w:lang w:val="fr-FR"/>
        </w:rPr>
        <w:t>point</w:t>
      </w:r>
      <w:r w:rsidR="00A941B0" w:rsidRPr="00CC0A24">
        <w:rPr>
          <w:b/>
          <w:caps/>
          <w:snapToGrid w:val="0"/>
          <w:kern w:val="22"/>
          <w:sz w:val="22"/>
          <w:szCs w:val="22"/>
          <w:lang w:val="fr-FR"/>
        </w:rPr>
        <w:t xml:space="preserve"> </w:t>
      </w:r>
      <w:r w:rsidR="005D261E" w:rsidRPr="00CC0A24">
        <w:rPr>
          <w:b/>
          <w:caps/>
          <w:snapToGrid w:val="0"/>
          <w:kern w:val="22"/>
          <w:sz w:val="22"/>
          <w:szCs w:val="22"/>
          <w:lang w:val="fr-FR"/>
        </w:rPr>
        <w:t>3.</w:t>
      </w:r>
      <w:r w:rsidR="005D261E" w:rsidRPr="00CC0A24">
        <w:rPr>
          <w:b/>
          <w:caps/>
          <w:snapToGrid w:val="0"/>
          <w:kern w:val="22"/>
          <w:sz w:val="22"/>
          <w:szCs w:val="22"/>
          <w:lang w:val="fr-FR"/>
        </w:rPr>
        <w:tab/>
      </w:r>
      <w:r w:rsidR="001F216B">
        <w:rPr>
          <w:b/>
          <w:caps/>
          <w:snapToGrid w:val="0"/>
          <w:kern w:val="22"/>
          <w:sz w:val="22"/>
          <w:szCs w:val="22"/>
          <w:lang w:val="fr-FR"/>
        </w:rPr>
        <w:t>examen des progrÈs accomplis dans l’application de la convention et la mise en œuvre du plan stratÉgique</w:t>
      </w:r>
      <w:r w:rsidR="00CC59A9">
        <w:rPr>
          <w:b/>
          <w:caps/>
          <w:snapToGrid w:val="0"/>
          <w:kern w:val="22"/>
          <w:sz w:val="22"/>
          <w:szCs w:val="22"/>
          <w:lang w:val="fr-FR"/>
        </w:rPr>
        <w:t xml:space="preserve"> pour la diversitÉ biologique </w:t>
      </w:r>
      <w:r w:rsidR="005D261E" w:rsidRPr="00CC0A24">
        <w:rPr>
          <w:b/>
          <w:caps/>
          <w:snapToGrid w:val="0"/>
          <w:kern w:val="22"/>
          <w:sz w:val="22"/>
          <w:szCs w:val="22"/>
          <w:lang w:val="fr-FR"/>
        </w:rPr>
        <w:t>2011-2020</w:t>
      </w:r>
    </w:p>
    <w:p w14:paraId="343B9BDA" w14:textId="3E681A7C" w:rsidR="005D261E" w:rsidRPr="00CC0A24" w:rsidRDefault="00CC59A9" w:rsidP="00A607E8">
      <w:pPr>
        <w:pStyle w:val="Para1"/>
        <w:numPr>
          <w:ilvl w:val="0"/>
          <w:numId w:val="14"/>
        </w:numPr>
        <w:suppressLineNumbers/>
        <w:tabs>
          <w:tab w:val="num" w:pos="720"/>
        </w:tabs>
        <w:suppressAutoHyphens/>
        <w:spacing w:before="120"/>
        <w:ind w:left="0" w:firstLine="0"/>
        <w:jc w:val="both"/>
        <w:rPr>
          <w:spacing w:val="-2"/>
          <w:kern w:val="22"/>
          <w:sz w:val="22"/>
          <w:szCs w:val="22"/>
          <w:lang w:val="fr-FR"/>
        </w:rPr>
      </w:pPr>
      <w:r w:rsidRPr="00CC59A9">
        <w:rPr>
          <w:spacing w:val="-2"/>
          <w:kern w:val="22"/>
          <w:sz w:val="22"/>
          <w:szCs w:val="22"/>
          <w:lang w:val="fr-FR"/>
        </w:rPr>
        <w:t>Dans la décision</w:t>
      </w:r>
      <w:r w:rsidR="005D261E" w:rsidRPr="00CC59A9">
        <w:rPr>
          <w:spacing w:val="-2"/>
          <w:kern w:val="22"/>
          <w:sz w:val="22"/>
          <w:szCs w:val="22"/>
          <w:lang w:val="fr-FR"/>
        </w:rPr>
        <w:t xml:space="preserve"> </w:t>
      </w:r>
      <w:hyperlink r:id="rId18" w:history="1">
        <w:r w:rsidR="005D261E" w:rsidRPr="00CC59A9">
          <w:rPr>
            <w:rStyle w:val="Hyperlink"/>
            <w:spacing w:val="-2"/>
            <w:sz w:val="22"/>
            <w:szCs w:val="22"/>
            <w:lang w:val="fr-FR"/>
          </w:rPr>
          <w:t>X/2</w:t>
        </w:r>
      </w:hyperlink>
      <w:r w:rsidR="005D261E" w:rsidRPr="00CC59A9">
        <w:rPr>
          <w:spacing w:val="-2"/>
          <w:kern w:val="22"/>
          <w:sz w:val="22"/>
          <w:szCs w:val="22"/>
          <w:lang w:val="fr-FR"/>
        </w:rPr>
        <w:t xml:space="preserve">, </w:t>
      </w:r>
      <w:r w:rsidRPr="00CC59A9">
        <w:rPr>
          <w:kern w:val="22"/>
          <w:sz w:val="22"/>
          <w:szCs w:val="22"/>
          <w:lang w:val="fr-FR"/>
        </w:rPr>
        <w:t>la Conférence des Parties a exhorté les Parties à e</w:t>
      </w:r>
      <w:r w:rsidRPr="00CC59A9">
        <w:rPr>
          <w:sz w:val="22"/>
          <w:szCs w:val="22"/>
          <w:lang w:val="fr-FR"/>
        </w:rPr>
        <w:t xml:space="preserve">xaminer et, selon qu’il convient, actualiser </w:t>
      </w:r>
      <w:r w:rsidRPr="00CC59A9">
        <w:rPr>
          <w:noProof/>
          <w:sz w:val="22"/>
          <w:szCs w:val="22"/>
          <w:lang w:val="fr-FR"/>
        </w:rPr>
        <w:t>et réviser leurs stratégies et plans d’action nationaux pour la diversité biologique, conformément au Plan stratégique 2011-2020 pour la diversité biologique et aux orientations adoptées dans la décision</w:t>
      </w:r>
      <w:r>
        <w:rPr>
          <w:noProof/>
          <w:sz w:val="22"/>
          <w:szCs w:val="22"/>
          <w:lang w:val="fr-FR"/>
        </w:rPr>
        <w:t xml:space="preserve"> </w:t>
      </w:r>
      <w:hyperlink r:id="rId19" w:history="1">
        <w:r w:rsidR="005D261E" w:rsidRPr="00CC59A9">
          <w:rPr>
            <w:rStyle w:val="Hyperlink"/>
            <w:spacing w:val="-2"/>
            <w:sz w:val="22"/>
            <w:szCs w:val="22"/>
            <w:lang w:val="fr-FR"/>
          </w:rPr>
          <w:t>IX/</w:t>
        </w:r>
        <w:r w:rsidR="00AC4434" w:rsidRPr="00CC59A9">
          <w:rPr>
            <w:rStyle w:val="Hyperlink"/>
            <w:spacing w:val="-2"/>
            <w:sz w:val="22"/>
            <w:szCs w:val="22"/>
            <w:lang w:val="fr-FR"/>
          </w:rPr>
          <w:t>8</w:t>
        </w:r>
      </w:hyperlink>
      <w:r w:rsidR="005D261E" w:rsidRPr="00CC0A24">
        <w:rPr>
          <w:spacing w:val="-2"/>
          <w:kern w:val="22"/>
          <w:sz w:val="22"/>
          <w:szCs w:val="22"/>
          <w:lang w:val="fr-FR"/>
        </w:rPr>
        <w:t>,</w:t>
      </w:r>
      <w:r w:rsidRPr="00CC59A9">
        <w:rPr>
          <w:noProof/>
          <w:szCs w:val="22"/>
          <w:lang w:val="fr-FR"/>
        </w:rPr>
        <w:t xml:space="preserve"> </w:t>
      </w:r>
      <w:r w:rsidRPr="00CC59A9">
        <w:rPr>
          <w:noProof/>
          <w:sz w:val="22"/>
          <w:szCs w:val="22"/>
          <w:lang w:val="fr-FR"/>
        </w:rPr>
        <w:t xml:space="preserve">intégrant leurs objectifs nationaux élaborés dans le cadre du Plan stratégique et de ses </w:t>
      </w:r>
      <w:r>
        <w:rPr>
          <w:noProof/>
          <w:sz w:val="22"/>
          <w:szCs w:val="22"/>
          <w:lang w:val="fr-FR"/>
        </w:rPr>
        <w:t>O</w:t>
      </w:r>
      <w:r w:rsidRPr="00CC59A9">
        <w:rPr>
          <w:noProof/>
          <w:sz w:val="22"/>
          <w:szCs w:val="22"/>
          <w:lang w:val="fr-FR"/>
        </w:rPr>
        <w:t>bjectifs d’Aichi pour la biodiversité</w:t>
      </w:r>
      <w:r w:rsidR="005D261E" w:rsidRPr="00CC59A9">
        <w:rPr>
          <w:spacing w:val="-2"/>
          <w:kern w:val="22"/>
          <w:sz w:val="22"/>
          <w:szCs w:val="22"/>
          <w:lang w:val="fr-FR"/>
        </w:rPr>
        <w:t>.</w:t>
      </w:r>
      <w:r w:rsidR="005D261E" w:rsidRPr="00CC0A24">
        <w:rPr>
          <w:spacing w:val="-2"/>
          <w:kern w:val="22"/>
          <w:sz w:val="22"/>
          <w:szCs w:val="22"/>
          <w:lang w:val="fr-FR"/>
        </w:rPr>
        <w:t xml:space="preserve"> </w:t>
      </w:r>
      <w:r w:rsidRPr="00653808">
        <w:rPr>
          <w:spacing w:val="-2"/>
          <w:kern w:val="22"/>
          <w:sz w:val="22"/>
          <w:szCs w:val="22"/>
          <w:lang w:val="fr-FR"/>
        </w:rPr>
        <w:t>Dans la décision</w:t>
      </w:r>
      <w:r w:rsidR="005D261E" w:rsidRPr="00653808">
        <w:rPr>
          <w:spacing w:val="-2"/>
          <w:kern w:val="22"/>
          <w:sz w:val="22"/>
          <w:szCs w:val="22"/>
          <w:lang w:val="fr-FR"/>
        </w:rPr>
        <w:t xml:space="preserve"> XII/26, </w:t>
      </w:r>
      <w:r w:rsidRPr="00653808">
        <w:rPr>
          <w:rFonts w:eastAsia="Malgun Gothic"/>
          <w:kern w:val="22"/>
          <w:sz w:val="22"/>
          <w:szCs w:val="22"/>
          <w:lang w:val="fr-FR"/>
        </w:rPr>
        <w:t xml:space="preserve">la Conférence des Parties, rappelant </w:t>
      </w:r>
      <w:r w:rsidRPr="00653808">
        <w:rPr>
          <w:sz w:val="22"/>
          <w:szCs w:val="22"/>
          <w:lang w:val="fr-FR" w:eastAsia="en-GB"/>
        </w:rPr>
        <w:t xml:space="preserve">le paragraphe 14 de la décision X/2, a demandé à l’Organe subsidiaire chargé de l’application de soutenir la Conférence des Parties dans son examen des progrès accomplis dans la mise en œuvre du Plan stratégique pour la diversité biologique 2011-2020 pour la diversité biologique et la réalisation des Objectifs d’Aichi pour la biodiversité pour la période allant jusqu’à 2020, compte tenu également du </w:t>
      </w:r>
      <w:hyperlink r:id="rId20" w:history="1">
        <w:r w:rsidRPr="002157A3">
          <w:rPr>
            <w:rStyle w:val="Hyperlink"/>
            <w:sz w:val="22"/>
            <w:szCs w:val="22"/>
            <w:lang w:val="fr-FR" w:eastAsia="en-GB"/>
          </w:rPr>
          <w:t>programme de travail pluriannuel de la Conférence des Parties jusqu’en 2020</w:t>
        </w:r>
      </w:hyperlink>
      <w:r w:rsidRPr="00653808">
        <w:rPr>
          <w:rFonts w:eastAsia="Malgun Gothic"/>
          <w:kern w:val="22"/>
          <w:sz w:val="22"/>
          <w:szCs w:val="22"/>
          <w:lang w:val="fr-FR"/>
        </w:rPr>
        <w:t>.</w:t>
      </w:r>
    </w:p>
    <w:p w14:paraId="6DD6CB57" w14:textId="0E217D4D" w:rsidR="00123EFB" w:rsidRPr="00CC0A24" w:rsidRDefault="00113DB1" w:rsidP="00A607E8">
      <w:pPr>
        <w:pStyle w:val="Para1"/>
        <w:numPr>
          <w:ilvl w:val="0"/>
          <w:numId w:val="14"/>
        </w:numPr>
        <w:suppressLineNumbers/>
        <w:tabs>
          <w:tab w:val="num" w:pos="720"/>
        </w:tabs>
        <w:suppressAutoHyphens/>
        <w:spacing w:before="120"/>
        <w:ind w:left="0" w:firstLine="0"/>
        <w:jc w:val="both"/>
        <w:rPr>
          <w:iCs/>
          <w:kern w:val="22"/>
          <w:sz w:val="22"/>
          <w:szCs w:val="22"/>
          <w:lang w:val="fr-FR"/>
        </w:rPr>
      </w:pPr>
      <w:r w:rsidRPr="00113DB1">
        <w:rPr>
          <w:rFonts w:eastAsia="Malgun Gothic"/>
          <w:kern w:val="22"/>
          <w:sz w:val="22"/>
          <w:szCs w:val="22"/>
          <w:lang w:val="fr-FR"/>
        </w:rPr>
        <w:t>Après un examen des progrès accomplis dans l</w:t>
      </w:r>
      <w:r>
        <w:rPr>
          <w:rFonts w:eastAsia="Malgun Gothic"/>
          <w:kern w:val="22"/>
          <w:sz w:val="22"/>
          <w:szCs w:val="22"/>
          <w:lang w:val="fr-FR"/>
        </w:rPr>
        <w:t>’application</w:t>
      </w:r>
      <w:r w:rsidRPr="00113DB1">
        <w:rPr>
          <w:rFonts w:eastAsia="Malgun Gothic"/>
          <w:kern w:val="22"/>
          <w:sz w:val="22"/>
          <w:szCs w:val="22"/>
          <w:lang w:val="fr-FR"/>
        </w:rPr>
        <w:t xml:space="preserve"> par l’Organe subsidiaire à </w:t>
      </w:r>
      <w:r>
        <w:rPr>
          <w:rFonts w:eastAsia="Malgun Gothic"/>
          <w:kern w:val="22"/>
          <w:sz w:val="22"/>
          <w:szCs w:val="22"/>
          <w:lang w:val="fr-FR"/>
        </w:rPr>
        <w:t>ses</w:t>
      </w:r>
      <w:r w:rsidRPr="00113DB1">
        <w:rPr>
          <w:rFonts w:eastAsia="Malgun Gothic"/>
          <w:kern w:val="22"/>
          <w:sz w:val="22"/>
          <w:szCs w:val="22"/>
          <w:lang w:val="fr-FR"/>
        </w:rPr>
        <w:t xml:space="preserve"> première</w:t>
      </w:r>
      <w:r>
        <w:rPr>
          <w:rFonts w:eastAsia="Malgun Gothic"/>
          <w:kern w:val="22"/>
          <w:sz w:val="22"/>
          <w:szCs w:val="22"/>
          <w:lang w:val="fr-FR"/>
        </w:rPr>
        <w:t xml:space="preserve"> et deuxième</w:t>
      </w:r>
      <w:r w:rsidRPr="00113DB1">
        <w:rPr>
          <w:rFonts w:eastAsia="Malgun Gothic"/>
          <w:kern w:val="22"/>
          <w:sz w:val="22"/>
          <w:szCs w:val="22"/>
          <w:lang w:val="fr-FR"/>
        </w:rPr>
        <w:t xml:space="preserve"> réunion</w:t>
      </w:r>
      <w:r>
        <w:rPr>
          <w:rFonts w:eastAsia="Malgun Gothic"/>
          <w:kern w:val="22"/>
          <w:sz w:val="22"/>
          <w:szCs w:val="22"/>
          <w:lang w:val="fr-FR"/>
        </w:rPr>
        <w:t>s</w:t>
      </w:r>
      <w:r w:rsidRPr="00113DB1">
        <w:rPr>
          <w:rFonts w:eastAsia="Malgun Gothic"/>
          <w:kern w:val="22"/>
          <w:sz w:val="22"/>
          <w:szCs w:val="22"/>
          <w:lang w:val="fr-FR"/>
        </w:rPr>
        <w:t>, la Conférence des Parties, dans sa décision</w:t>
      </w:r>
      <w:r>
        <w:rPr>
          <w:lang w:val="fr-FR"/>
        </w:rPr>
        <w:t xml:space="preserve"> </w:t>
      </w:r>
      <w:hyperlink r:id="rId21" w:history="1">
        <w:r w:rsidR="002E1EE5" w:rsidRPr="00CC0A24">
          <w:rPr>
            <w:rStyle w:val="Hyperlink"/>
            <w:sz w:val="22"/>
            <w:szCs w:val="22"/>
            <w:lang w:val="fr-FR"/>
          </w:rPr>
          <w:t>14</w:t>
        </w:r>
        <w:r w:rsidR="00BE0749" w:rsidRPr="00CC0A24">
          <w:rPr>
            <w:rStyle w:val="Hyperlink"/>
            <w:sz w:val="22"/>
            <w:szCs w:val="22"/>
            <w:lang w:val="fr-FR"/>
          </w:rPr>
          <w:t>/1</w:t>
        </w:r>
      </w:hyperlink>
      <w:r w:rsidR="002E1EE5" w:rsidRPr="00CC0A24">
        <w:rPr>
          <w:bCs/>
          <w:kern w:val="22"/>
          <w:sz w:val="22"/>
          <w:szCs w:val="22"/>
          <w:lang w:val="fr-FR"/>
        </w:rPr>
        <w:t>,</w:t>
      </w:r>
      <w:r w:rsidR="00BE0749" w:rsidRPr="00CC0A24">
        <w:rPr>
          <w:bCs/>
          <w:kern w:val="22"/>
          <w:sz w:val="22"/>
          <w:szCs w:val="22"/>
          <w:lang w:val="fr-FR"/>
        </w:rPr>
        <w:t xml:space="preserve"> </w:t>
      </w:r>
      <w:r>
        <w:rPr>
          <w:bCs/>
          <w:kern w:val="22"/>
          <w:sz w:val="22"/>
          <w:szCs w:val="22"/>
          <w:lang w:val="fr-FR"/>
        </w:rPr>
        <w:t xml:space="preserve">a prié la Secrétaire exécutive de </w:t>
      </w:r>
      <w:r w:rsidR="00210FC3">
        <w:rPr>
          <w:bCs/>
          <w:kern w:val="22"/>
          <w:sz w:val="22"/>
          <w:szCs w:val="22"/>
          <w:lang w:val="fr-FR"/>
        </w:rPr>
        <w:t>continuer à actualiser</w:t>
      </w:r>
      <w:r>
        <w:rPr>
          <w:bCs/>
          <w:kern w:val="22"/>
          <w:sz w:val="22"/>
          <w:szCs w:val="22"/>
          <w:lang w:val="fr-FR"/>
        </w:rPr>
        <w:t xml:space="preserve"> l’analyse des progrès accomplis dans la mise en œuvre du Plan stratégique pour la diversité biologique </w:t>
      </w:r>
      <w:r w:rsidR="002E1EE5" w:rsidRPr="00CC0A24">
        <w:rPr>
          <w:bCs/>
          <w:kern w:val="22"/>
          <w:sz w:val="22"/>
          <w:szCs w:val="22"/>
          <w:lang w:val="fr-FR"/>
        </w:rPr>
        <w:t>2011</w:t>
      </w:r>
      <w:r w:rsidR="002F49DA" w:rsidRPr="00CC0A24">
        <w:rPr>
          <w:bCs/>
          <w:kern w:val="22"/>
          <w:sz w:val="22"/>
          <w:szCs w:val="22"/>
          <w:lang w:val="fr-FR"/>
        </w:rPr>
        <w:noBreakHyphen/>
      </w:r>
      <w:r w:rsidR="002E1EE5" w:rsidRPr="00CC0A24">
        <w:rPr>
          <w:bCs/>
          <w:kern w:val="22"/>
          <w:sz w:val="22"/>
          <w:szCs w:val="22"/>
          <w:lang w:val="fr-FR"/>
        </w:rPr>
        <w:t xml:space="preserve">2020 </w:t>
      </w:r>
      <w:r>
        <w:rPr>
          <w:bCs/>
          <w:kern w:val="22"/>
          <w:sz w:val="22"/>
          <w:szCs w:val="22"/>
          <w:lang w:val="fr-FR"/>
        </w:rPr>
        <w:t>sur la base des informations contenues dans les sixièmes rapports nationaux.</w:t>
      </w:r>
    </w:p>
    <w:p w14:paraId="6443BDF1" w14:textId="78FC7505" w:rsidR="005D261E" w:rsidRPr="00CC0A24" w:rsidRDefault="00210FC3" w:rsidP="00A607E8">
      <w:pPr>
        <w:pStyle w:val="Para1"/>
        <w:numPr>
          <w:ilvl w:val="0"/>
          <w:numId w:val="14"/>
        </w:numPr>
        <w:suppressLineNumbers/>
        <w:tabs>
          <w:tab w:val="num" w:pos="720"/>
        </w:tabs>
        <w:suppressAutoHyphens/>
        <w:spacing w:before="120"/>
        <w:ind w:left="0" w:firstLine="0"/>
        <w:jc w:val="both"/>
        <w:rPr>
          <w:iCs/>
          <w:kern w:val="22"/>
          <w:sz w:val="22"/>
          <w:szCs w:val="22"/>
          <w:lang w:val="fr-FR"/>
        </w:rPr>
      </w:pPr>
      <w:r>
        <w:rPr>
          <w:bCs/>
          <w:kern w:val="22"/>
          <w:sz w:val="22"/>
          <w:szCs w:val="22"/>
          <w:lang w:val="fr-FR"/>
        </w:rPr>
        <w:t>Au titre de ce point de l’ordre du jour</w:t>
      </w:r>
      <w:r w:rsidR="000157BF" w:rsidRPr="00CC0A24">
        <w:rPr>
          <w:bCs/>
          <w:kern w:val="22"/>
          <w:sz w:val="22"/>
          <w:szCs w:val="22"/>
          <w:lang w:val="fr-FR"/>
        </w:rPr>
        <w:t xml:space="preserve">, </w:t>
      </w:r>
      <w:r>
        <w:rPr>
          <w:bCs/>
          <w:kern w:val="22"/>
          <w:sz w:val="22"/>
          <w:szCs w:val="22"/>
          <w:lang w:val="fr-FR"/>
        </w:rPr>
        <w:t xml:space="preserve">l’Organe subsidiaire sera saisi de l’analyse des progrès élaborée par la Secrétaire exécutive </w:t>
      </w:r>
      <w:r w:rsidR="000157BF" w:rsidRPr="00CC0A24">
        <w:rPr>
          <w:bCs/>
          <w:kern w:val="22"/>
          <w:sz w:val="22"/>
          <w:szCs w:val="22"/>
          <w:lang w:val="fr-FR"/>
        </w:rPr>
        <w:t>(CBD/SBI/</w:t>
      </w:r>
      <w:r w:rsidR="002E1EE5" w:rsidRPr="00CC0A24">
        <w:rPr>
          <w:bCs/>
          <w:kern w:val="22"/>
          <w:sz w:val="22"/>
          <w:szCs w:val="22"/>
          <w:lang w:val="fr-FR"/>
        </w:rPr>
        <w:t>3</w:t>
      </w:r>
      <w:r w:rsidR="000157BF" w:rsidRPr="00CC0A24">
        <w:rPr>
          <w:bCs/>
          <w:kern w:val="22"/>
          <w:sz w:val="22"/>
          <w:szCs w:val="22"/>
          <w:lang w:val="fr-FR"/>
        </w:rPr>
        <w:t>/</w:t>
      </w:r>
      <w:r w:rsidR="00310201" w:rsidRPr="00CC0A24">
        <w:rPr>
          <w:bCs/>
          <w:kern w:val="22"/>
          <w:sz w:val="22"/>
          <w:szCs w:val="22"/>
          <w:lang w:val="fr-FR"/>
        </w:rPr>
        <w:t>2</w:t>
      </w:r>
      <w:r w:rsidR="002E1EE5" w:rsidRPr="00CC0A24">
        <w:rPr>
          <w:bCs/>
          <w:kern w:val="22"/>
          <w:sz w:val="22"/>
          <w:szCs w:val="22"/>
          <w:lang w:val="fr-FR"/>
        </w:rPr>
        <w:t>).</w:t>
      </w:r>
      <w:r w:rsidR="00B20966" w:rsidRPr="00CC0A24">
        <w:rPr>
          <w:bCs/>
          <w:kern w:val="22"/>
          <w:sz w:val="22"/>
          <w:szCs w:val="22"/>
          <w:lang w:val="fr-FR"/>
        </w:rPr>
        <w:t xml:space="preserve"> </w:t>
      </w:r>
      <w:r>
        <w:rPr>
          <w:bCs/>
          <w:kern w:val="22"/>
          <w:sz w:val="22"/>
          <w:szCs w:val="22"/>
          <w:lang w:val="fr-FR"/>
        </w:rPr>
        <w:t>Des documents additionnels seront élaborés, décrivant l’état d’avancement et fournissant une analyse des stratégies et plans d’actions nationaux pour la diversité biologique révisés ainsi qu’une analyse de la contribution des objectifs nationaux fixés par les Parties, des progrès accomplis dans la réalisation des Objectifs d’Aichi pour la biodiversité</w:t>
      </w:r>
      <w:r w:rsidR="00406F30">
        <w:rPr>
          <w:bCs/>
          <w:kern w:val="22"/>
          <w:sz w:val="22"/>
          <w:szCs w:val="22"/>
          <w:lang w:val="fr-FR"/>
        </w:rPr>
        <w:t xml:space="preserve">, des progrès réalisés dans </w:t>
      </w:r>
      <w:r w:rsidR="00406F30">
        <w:rPr>
          <w:bCs/>
          <w:kern w:val="22"/>
          <w:sz w:val="22"/>
          <w:szCs w:val="22"/>
          <w:lang w:val="fr-FR"/>
        </w:rPr>
        <w:lastRenderedPageBreak/>
        <w:t xml:space="preserve">l’intégration des questions </w:t>
      </w:r>
      <w:r w:rsidR="000D781C">
        <w:rPr>
          <w:bCs/>
          <w:kern w:val="22"/>
          <w:sz w:val="22"/>
          <w:szCs w:val="22"/>
          <w:lang w:val="fr-FR"/>
        </w:rPr>
        <w:t>d’égalité des sexes et l’application du Plan d’action pour l’égalité des sexes 2015-2020,</w:t>
      </w:r>
      <w:r>
        <w:rPr>
          <w:bCs/>
          <w:kern w:val="22"/>
          <w:sz w:val="22"/>
          <w:szCs w:val="22"/>
          <w:lang w:val="fr-FR"/>
        </w:rPr>
        <w:t xml:space="preserve"> et les informations demandées </w:t>
      </w:r>
      <w:r w:rsidR="00267A85">
        <w:rPr>
          <w:bCs/>
          <w:kern w:val="22"/>
          <w:sz w:val="22"/>
          <w:szCs w:val="22"/>
          <w:lang w:val="fr-FR"/>
        </w:rPr>
        <w:t>concernant l’application de l’article 8j) et des dispositions connexes.</w:t>
      </w:r>
    </w:p>
    <w:p w14:paraId="15DAB1C7" w14:textId="143E4B77" w:rsidR="000157BF" w:rsidRPr="00B015B5" w:rsidRDefault="00267A85" w:rsidP="00A607E8">
      <w:pPr>
        <w:pStyle w:val="Para1"/>
        <w:numPr>
          <w:ilvl w:val="0"/>
          <w:numId w:val="14"/>
        </w:numPr>
        <w:suppressLineNumbers/>
        <w:tabs>
          <w:tab w:val="num" w:pos="720"/>
        </w:tabs>
        <w:suppressAutoHyphens/>
        <w:spacing w:before="120"/>
        <w:ind w:left="0" w:firstLine="0"/>
        <w:jc w:val="both"/>
        <w:rPr>
          <w:iCs/>
          <w:kern w:val="22"/>
          <w:sz w:val="22"/>
          <w:szCs w:val="22"/>
          <w:lang w:val="fr-FR"/>
        </w:rPr>
      </w:pPr>
      <w:r w:rsidRPr="00267A85">
        <w:rPr>
          <w:rFonts w:eastAsia="Malgun Gothic"/>
          <w:kern w:val="22"/>
          <w:sz w:val="22"/>
          <w:szCs w:val="22"/>
          <w:lang w:val="fr-FR"/>
        </w:rPr>
        <w:t xml:space="preserve">Il est prévu que l’Organe subsidiaire chargé de l’application examinera les progrès accomplis dans la mise en </w:t>
      </w:r>
      <w:r w:rsidR="00B66CB5">
        <w:rPr>
          <w:rFonts w:eastAsia="Malgun Gothic"/>
          <w:kern w:val="22"/>
          <w:sz w:val="22"/>
          <w:szCs w:val="22"/>
          <w:lang w:val="fr-FR"/>
        </w:rPr>
        <w:t>œuvre</w:t>
      </w:r>
      <w:r w:rsidRPr="00267A85">
        <w:rPr>
          <w:rFonts w:eastAsia="Malgun Gothic"/>
          <w:kern w:val="22"/>
          <w:sz w:val="22"/>
          <w:szCs w:val="22"/>
          <w:lang w:val="fr-FR"/>
        </w:rPr>
        <w:t xml:space="preserve"> sur la base des informations susmentionnées et qu’il formulera des recommandations à la Conférence des Parties à sa qu</w:t>
      </w:r>
      <w:r>
        <w:rPr>
          <w:rFonts w:eastAsia="Malgun Gothic"/>
          <w:kern w:val="22"/>
          <w:sz w:val="22"/>
          <w:szCs w:val="22"/>
          <w:lang w:val="fr-FR"/>
        </w:rPr>
        <w:t>in</w:t>
      </w:r>
      <w:r w:rsidRPr="00267A85">
        <w:rPr>
          <w:rFonts w:eastAsia="Malgun Gothic"/>
          <w:kern w:val="22"/>
          <w:sz w:val="22"/>
          <w:szCs w:val="22"/>
          <w:lang w:val="fr-FR"/>
        </w:rPr>
        <w:t>zième réunion</w:t>
      </w:r>
      <w:r w:rsidR="000157BF" w:rsidRPr="00267A85">
        <w:rPr>
          <w:bCs/>
          <w:kern w:val="22"/>
          <w:sz w:val="22"/>
          <w:szCs w:val="22"/>
          <w:lang w:val="fr-FR"/>
        </w:rPr>
        <w:t>.</w:t>
      </w:r>
      <w:r w:rsidR="00B20966" w:rsidRPr="00CC0A24">
        <w:rPr>
          <w:bCs/>
          <w:kern w:val="22"/>
          <w:sz w:val="22"/>
          <w:szCs w:val="22"/>
          <w:lang w:val="fr-FR"/>
        </w:rPr>
        <w:t xml:space="preserve"> </w:t>
      </w:r>
      <w:r>
        <w:rPr>
          <w:bCs/>
          <w:kern w:val="22"/>
          <w:sz w:val="22"/>
          <w:szCs w:val="22"/>
          <w:lang w:val="fr-FR"/>
        </w:rPr>
        <w:t xml:space="preserve">L’Organe subsidiaire prendra aussi en considération la cinquième édition des </w:t>
      </w:r>
      <w:r>
        <w:rPr>
          <w:bCs/>
          <w:i/>
          <w:iCs/>
          <w:kern w:val="22"/>
          <w:sz w:val="22"/>
          <w:szCs w:val="22"/>
          <w:lang w:val="fr-FR"/>
        </w:rPr>
        <w:t>Perspectives mondiales de la diversité biologique</w:t>
      </w:r>
      <w:r>
        <w:rPr>
          <w:bCs/>
          <w:kern w:val="22"/>
          <w:sz w:val="22"/>
          <w:szCs w:val="22"/>
          <w:lang w:val="fr-FR"/>
        </w:rPr>
        <w:t xml:space="preserve">, en application de la décision </w:t>
      </w:r>
      <w:hyperlink r:id="rId22" w:history="1">
        <w:r w:rsidR="00C16CF2" w:rsidRPr="00CC0A24">
          <w:rPr>
            <w:rStyle w:val="Hyperlink"/>
            <w:sz w:val="22"/>
            <w:szCs w:val="22"/>
            <w:lang w:val="fr-FR"/>
          </w:rPr>
          <w:t>14/35</w:t>
        </w:r>
      </w:hyperlink>
      <w:r w:rsidR="00B20966" w:rsidRPr="00CC0A24">
        <w:rPr>
          <w:bCs/>
          <w:kern w:val="22"/>
          <w:sz w:val="22"/>
          <w:szCs w:val="22"/>
          <w:lang w:val="fr-FR"/>
        </w:rPr>
        <w:t>.</w:t>
      </w:r>
    </w:p>
    <w:p w14:paraId="01E2D000" w14:textId="50EC89EE" w:rsidR="00BC48EE" w:rsidRPr="00C3440E" w:rsidRDefault="00267A85" w:rsidP="00ED543F">
      <w:pPr>
        <w:pStyle w:val="Heading1"/>
        <w:suppressLineNumbers/>
        <w:tabs>
          <w:tab w:val="clear" w:pos="720"/>
        </w:tabs>
        <w:suppressAutoHyphens/>
        <w:spacing w:before="120"/>
        <w:ind w:left="1559" w:hanging="992"/>
        <w:jc w:val="left"/>
        <w:rPr>
          <w:rFonts w:eastAsia="Malgun Gothic"/>
          <w:kern w:val="22"/>
          <w:sz w:val="22"/>
          <w:szCs w:val="22"/>
          <w:lang w:val="fr-FR"/>
        </w:rPr>
      </w:pPr>
      <w:r w:rsidRPr="00C3440E">
        <w:rPr>
          <w:rFonts w:eastAsia="Malgun Gothic"/>
          <w:kern w:val="22"/>
          <w:sz w:val="22"/>
          <w:szCs w:val="22"/>
          <w:lang w:val="fr-FR"/>
        </w:rPr>
        <w:t>Point</w:t>
      </w:r>
      <w:r w:rsidR="009F38F0" w:rsidRPr="00C3440E">
        <w:rPr>
          <w:rFonts w:eastAsia="Malgun Gothic"/>
          <w:kern w:val="22"/>
          <w:sz w:val="22"/>
          <w:szCs w:val="22"/>
          <w:lang w:val="fr-FR"/>
        </w:rPr>
        <w:t xml:space="preserve"> </w:t>
      </w:r>
      <w:r w:rsidR="00BC48EE" w:rsidRPr="00C3440E">
        <w:rPr>
          <w:rFonts w:eastAsia="Malgun Gothic"/>
          <w:kern w:val="22"/>
          <w:sz w:val="22"/>
          <w:szCs w:val="22"/>
          <w:lang w:val="fr-FR"/>
        </w:rPr>
        <w:t>4.</w:t>
      </w:r>
      <w:r w:rsidR="00BC48EE" w:rsidRPr="00C3440E">
        <w:rPr>
          <w:rFonts w:eastAsia="Malgun Gothic"/>
          <w:kern w:val="22"/>
          <w:sz w:val="22"/>
          <w:szCs w:val="22"/>
          <w:lang w:val="fr-FR"/>
        </w:rPr>
        <w:tab/>
      </w:r>
      <w:r w:rsidRPr="00C3440E">
        <w:rPr>
          <w:rFonts w:eastAsia="Malgun Gothic"/>
          <w:kern w:val="22"/>
          <w:sz w:val="22"/>
          <w:szCs w:val="22"/>
          <w:lang w:val="fr-FR"/>
        </w:rPr>
        <w:t>Évaluation et examen de l’efficacitÉ du protocole de cartagena sur la prÉvention des risques biotechnologiques</w:t>
      </w:r>
    </w:p>
    <w:p w14:paraId="75524605" w14:textId="7F63FA17" w:rsidR="00CB590D" w:rsidRPr="00C3440E" w:rsidRDefault="00C3440E" w:rsidP="00ED543F">
      <w:pPr>
        <w:pStyle w:val="Para1"/>
        <w:numPr>
          <w:ilvl w:val="0"/>
          <w:numId w:val="14"/>
        </w:numPr>
        <w:suppressLineNumbers/>
        <w:suppressAutoHyphens/>
        <w:spacing w:before="120"/>
        <w:ind w:left="0" w:firstLine="0"/>
        <w:jc w:val="both"/>
        <w:rPr>
          <w:bCs/>
          <w:kern w:val="22"/>
          <w:sz w:val="22"/>
          <w:szCs w:val="22"/>
          <w:lang w:val="fr-FR"/>
        </w:rPr>
      </w:pPr>
      <w:r w:rsidRPr="00C3440E">
        <w:rPr>
          <w:bCs/>
          <w:kern w:val="22"/>
          <w:sz w:val="22"/>
          <w:szCs w:val="22"/>
          <w:lang w:val="fr-FR"/>
        </w:rPr>
        <w:t>Dans sa décision</w:t>
      </w:r>
      <w:r w:rsidR="00DE56A0" w:rsidRPr="00C3440E">
        <w:rPr>
          <w:bCs/>
          <w:kern w:val="22"/>
          <w:sz w:val="22"/>
          <w:szCs w:val="22"/>
          <w:lang w:val="fr-FR"/>
        </w:rPr>
        <w:t xml:space="preserve"> </w:t>
      </w:r>
      <w:hyperlink r:id="rId23" w:history="1">
        <w:r w:rsidR="00DE56A0" w:rsidRPr="00C3440E">
          <w:rPr>
            <w:rStyle w:val="Hyperlink"/>
            <w:bCs/>
            <w:kern w:val="22"/>
            <w:sz w:val="22"/>
            <w:szCs w:val="22"/>
            <w:lang w:val="fr-FR"/>
          </w:rPr>
          <w:t>CP/9</w:t>
        </w:r>
        <w:r w:rsidR="000D781C">
          <w:rPr>
            <w:rStyle w:val="Hyperlink"/>
            <w:bCs/>
            <w:kern w:val="22"/>
            <w:sz w:val="22"/>
            <w:szCs w:val="22"/>
            <w:lang w:val="fr-FR"/>
          </w:rPr>
          <w:t>/</w:t>
        </w:r>
        <w:r w:rsidR="00DE56A0" w:rsidRPr="00C3440E">
          <w:rPr>
            <w:rStyle w:val="Hyperlink"/>
            <w:bCs/>
            <w:kern w:val="22"/>
            <w:sz w:val="22"/>
            <w:szCs w:val="22"/>
            <w:lang w:val="fr-FR"/>
          </w:rPr>
          <w:t>6</w:t>
        </w:r>
      </w:hyperlink>
      <w:r w:rsidR="00DE56A0" w:rsidRPr="00C3440E">
        <w:rPr>
          <w:bCs/>
          <w:kern w:val="22"/>
          <w:sz w:val="22"/>
          <w:szCs w:val="22"/>
          <w:lang w:val="fr-FR"/>
        </w:rPr>
        <w:t xml:space="preserve">, </w:t>
      </w:r>
      <w:r w:rsidR="000B1788">
        <w:rPr>
          <w:bCs/>
          <w:kern w:val="22"/>
          <w:sz w:val="22"/>
          <w:szCs w:val="22"/>
          <w:lang w:val="fr-FR"/>
        </w:rPr>
        <w:t xml:space="preserve">la Conférence des Parties siégeant en tant que réunion des Parties au Protocole de Cartagena sur la prévention des risques biotechnologique a décidé que la quatrième évaluation et examen du Protocole de Cartagena serait effectuée en même temps que l’évaluation finale du </w:t>
      </w:r>
      <w:hyperlink r:id="rId24" w:history="1">
        <w:r w:rsidR="000B1788" w:rsidRPr="0029717B">
          <w:rPr>
            <w:rStyle w:val="Hyperlink"/>
            <w:bCs/>
            <w:kern w:val="22"/>
            <w:sz w:val="22"/>
            <w:szCs w:val="22"/>
            <w:lang w:val="fr-FR"/>
          </w:rPr>
          <w:t>Plan stratégique du Protocole de Cartagena</w:t>
        </w:r>
      </w:hyperlink>
      <w:r w:rsidR="000B1788">
        <w:rPr>
          <w:bCs/>
          <w:kern w:val="22"/>
          <w:sz w:val="22"/>
          <w:szCs w:val="22"/>
          <w:lang w:val="fr-FR"/>
        </w:rPr>
        <w:t xml:space="preserve"> pour la période </w:t>
      </w:r>
      <w:r w:rsidR="00610FD9" w:rsidRPr="00C3440E">
        <w:rPr>
          <w:bCs/>
          <w:kern w:val="22"/>
          <w:sz w:val="22"/>
          <w:szCs w:val="22"/>
          <w:lang w:val="fr-FR"/>
        </w:rPr>
        <w:t>2011-2020</w:t>
      </w:r>
      <w:r w:rsidR="000B1788">
        <w:rPr>
          <w:bCs/>
          <w:kern w:val="22"/>
          <w:sz w:val="22"/>
          <w:szCs w:val="22"/>
          <w:lang w:val="fr-FR"/>
        </w:rPr>
        <w:t xml:space="preserve"> et a</w:t>
      </w:r>
      <w:r w:rsidR="00481A0E">
        <w:rPr>
          <w:bCs/>
          <w:kern w:val="22"/>
          <w:sz w:val="22"/>
          <w:szCs w:val="22"/>
          <w:lang w:val="fr-FR"/>
        </w:rPr>
        <w:t xml:space="preserve"> établi un processus à cette fin, notamment un examen par l’Organe subsidiaire chargé de l’application. L’Organe subsidiaire sera saisi </w:t>
      </w:r>
      <w:r w:rsidR="000D781C">
        <w:rPr>
          <w:bCs/>
          <w:kern w:val="22"/>
          <w:sz w:val="22"/>
          <w:szCs w:val="22"/>
          <w:lang w:val="fr-FR"/>
        </w:rPr>
        <w:t>d’un résumé de l’</w:t>
      </w:r>
      <w:r w:rsidR="00481A0E">
        <w:rPr>
          <w:bCs/>
          <w:kern w:val="22"/>
          <w:sz w:val="22"/>
          <w:szCs w:val="22"/>
          <w:lang w:val="fr-FR"/>
        </w:rPr>
        <w:t>analyse et synthèse des informations fournies élaborée par la Secrétaire exécutive, y compris les informations contenues dans les quatrièmes rapports nationaux et le Centre d’échange pour la prévention des risques biotechnologiques, et les conclusions dégagées par le Groupe de liaison et le Comité chargé du respect des obligations sur la question (</w:t>
      </w:r>
      <w:r w:rsidR="00AC4434" w:rsidRPr="00C3440E">
        <w:rPr>
          <w:bCs/>
          <w:kern w:val="22"/>
          <w:sz w:val="22"/>
          <w:szCs w:val="22"/>
          <w:lang w:val="fr-FR"/>
        </w:rPr>
        <w:t>CBD/SBI/3/3)</w:t>
      </w:r>
      <w:r w:rsidR="00361111" w:rsidRPr="00C3440E">
        <w:rPr>
          <w:bCs/>
          <w:kern w:val="22"/>
          <w:sz w:val="22"/>
          <w:szCs w:val="22"/>
          <w:lang w:val="fr-FR"/>
        </w:rPr>
        <w:t>.</w:t>
      </w:r>
      <w:r w:rsidR="0029717B">
        <w:rPr>
          <w:bCs/>
          <w:kern w:val="22"/>
          <w:sz w:val="22"/>
          <w:szCs w:val="22"/>
          <w:lang w:val="fr-FR"/>
        </w:rPr>
        <w:t xml:space="preserve"> L’analyse intégrale des informations pour l’évaluation et examen de l’efficacité du Protocole de Cartagena sur la prévention des risques biotechnologiques et l’évaluation finale du Plan stratégique du Protocole de Cartagena pour la période 2011-2020 seront diffusées dans le document CBD/SBI/3/3/Add.1.</w:t>
      </w:r>
    </w:p>
    <w:p w14:paraId="70552C98" w14:textId="60D8FC2C" w:rsidR="00B20966" w:rsidRPr="00C3440E" w:rsidRDefault="00535D22"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L’Organe subsidiaire sera invité à examiner ces informations et à formuler et présenter des recommandations à la Conférence des Parties siégeant en tant que réunion des Parties au Protocole de Cartagena pour examen à sa dixième réunion.</w:t>
      </w:r>
    </w:p>
    <w:p w14:paraId="0E9CC107" w14:textId="2DBB92AC" w:rsidR="00F421F7" w:rsidRPr="00B015B5" w:rsidRDefault="00757EA9" w:rsidP="00ED543F">
      <w:pPr>
        <w:pStyle w:val="Heading1"/>
        <w:suppressLineNumbers/>
        <w:tabs>
          <w:tab w:val="clear" w:pos="720"/>
          <w:tab w:val="left" w:pos="993"/>
        </w:tabs>
        <w:suppressAutoHyphens/>
        <w:spacing w:before="120"/>
        <w:rPr>
          <w:snapToGrid w:val="0"/>
          <w:kern w:val="22"/>
          <w:sz w:val="22"/>
          <w:szCs w:val="22"/>
          <w:lang w:val="fr-FR"/>
        </w:rPr>
      </w:pPr>
      <w:r w:rsidRPr="00B015B5">
        <w:rPr>
          <w:snapToGrid w:val="0"/>
          <w:kern w:val="22"/>
          <w:sz w:val="22"/>
          <w:szCs w:val="22"/>
          <w:lang w:val="fr-FR"/>
        </w:rPr>
        <w:t>point</w:t>
      </w:r>
      <w:r w:rsidR="00F421F7" w:rsidRPr="00B015B5">
        <w:rPr>
          <w:snapToGrid w:val="0"/>
          <w:kern w:val="22"/>
          <w:sz w:val="22"/>
          <w:szCs w:val="22"/>
          <w:lang w:val="fr-FR"/>
        </w:rPr>
        <w:t xml:space="preserve"> 5.</w:t>
      </w:r>
      <w:r w:rsidR="00F421F7" w:rsidRPr="00B015B5">
        <w:rPr>
          <w:snapToGrid w:val="0"/>
          <w:kern w:val="22"/>
          <w:sz w:val="22"/>
          <w:szCs w:val="22"/>
          <w:lang w:val="fr-FR"/>
        </w:rPr>
        <w:tab/>
      </w:r>
      <w:r w:rsidRPr="00B015B5">
        <w:rPr>
          <w:snapToGrid w:val="0"/>
          <w:kern w:val="22"/>
          <w:sz w:val="22"/>
          <w:szCs w:val="22"/>
          <w:lang w:val="fr-FR"/>
        </w:rPr>
        <w:t>cadre mondial de la biodiversitÉ pour l’aprÈs-2020</w:t>
      </w:r>
    </w:p>
    <w:p w14:paraId="319EAE45" w14:textId="0715C0DA" w:rsidR="000D45E9" w:rsidRDefault="00535D22" w:rsidP="00A607E8">
      <w:pPr>
        <w:pStyle w:val="Para1"/>
        <w:numPr>
          <w:ilvl w:val="0"/>
          <w:numId w:val="14"/>
        </w:numPr>
        <w:suppressLineNumbers/>
        <w:tabs>
          <w:tab w:val="num" w:pos="720"/>
        </w:tabs>
        <w:suppressAutoHyphens/>
        <w:spacing w:before="120"/>
        <w:ind w:left="0" w:firstLine="0"/>
        <w:jc w:val="both"/>
        <w:rPr>
          <w:bCs/>
          <w:spacing w:val="-2"/>
          <w:kern w:val="22"/>
          <w:sz w:val="22"/>
          <w:szCs w:val="22"/>
          <w:lang w:val="fr-FR"/>
        </w:rPr>
      </w:pPr>
      <w:bookmarkStart w:id="2" w:name="_Ref22830376"/>
      <w:r w:rsidRPr="003D7CD8">
        <w:rPr>
          <w:bCs/>
          <w:spacing w:val="-2"/>
          <w:kern w:val="22"/>
          <w:sz w:val="22"/>
          <w:szCs w:val="22"/>
          <w:lang w:val="fr-FR"/>
        </w:rPr>
        <w:t>A sa quatorzième r</w:t>
      </w:r>
      <w:r w:rsidR="00A75F6F">
        <w:rPr>
          <w:bCs/>
          <w:spacing w:val="-2"/>
          <w:kern w:val="22"/>
          <w:sz w:val="22"/>
          <w:szCs w:val="22"/>
          <w:lang w:val="fr-FR"/>
        </w:rPr>
        <w:t>é</w:t>
      </w:r>
      <w:r w:rsidRPr="003D7CD8">
        <w:rPr>
          <w:bCs/>
          <w:spacing w:val="-2"/>
          <w:kern w:val="22"/>
          <w:sz w:val="22"/>
          <w:szCs w:val="22"/>
          <w:lang w:val="fr-FR"/>
        </w:rPr>
        <w:t xml:space="preserve">union, la Conférence des Parties a adopté une décision sur un processus complet pour l’élaboration du </w:t>
      </w:r>
      <w:r w:rsidR="00A75F6F">
        <w:rPr>
          <w:bCs/>
          <w:spacing w:val="-2"/>
          <w:kern w:val="22"/>
          <w:sz w:val="22"/>
          <w:szCs w:val="22"/>
          <w:lang w:val="fr-FR"/>
        </w:rPr>
        <w:t xml:space="preserve">cadre mondial de la biodiversité pour l’après-2020 (décision </w:t>
      </w:r>
      <w:hyperlink r:id="rId25" w:history="1">
        <w:r w:rsidR="007074E3" w:rsidRPr="003D7CD8">
          <w:rPr>
            <w:rStyle w:val="Hyperlink"/>
            <w:spacing w:val="-2"/>
            <w:sz w:val="22"/>
            <w:szCs w:val="22"/>
            <w:lang w:val="fr-FR"/>
          </w:rPr>
          <w:t>14/34</w:t>
        </w:r>
      </w:hyperlink>
      <w:r w:rsidR="00F421F7" w:rsidRPr="003D7CD8">
        <w:rPr>
          <w:bCs/>
          <w:spacing w:val="-2"/>
          <w:kern w:val="22"/>
          <w:sz w:val="22"/>
          <w:szCs w:val="22"/>
          <w:lang w:val="fr-FR"/>
        </w:rPr>
        <w:t xml:space="preserve">). </w:t>
      </w:r>
      <w:r w:rsidR="00A75F6F">
        <w:rPr>
          <w:bCs/>
          <w:spacing w:val="-2"/>
          <w:kern w:val="22"/>
          <w:sz w:val="22"/>
          <w:szCs w:val="22"/>
          <w:lang w:val="fr-FR"/>
        </w:rPr>
        <w:t xml:space="preserve">En vertu de cette décision, la Conférence des Parties a </w:t>
      </w:r>
      <w:r w:rsidR="00A75F6F" w:rsidRPr="00A75F6F">
        <w:rPr>
          <w:iCs/>
          <w:kern w:val="22"/>
          <w:sz w:val="22"/>
          <w:szCs w:val="22"/>
          <w:lang w:val="fr-FR"/>
        </w:rPr>
        <w:t>constitu</w:t>
      </w:r>
      <w:r w:rsidR="00A75F6F">
        <w:rPr>
          <w:iCs/>
          <w:kern w:val="22"/>
          <w:sz w:val="22"/>
          <w:szCs w:val="22"/>
          <w:lang w:val="fr-FR"/>
        </w:rPr>
        <w:t>é</w:t>
      </w:r>
      <w:r w:rsidR="00A75F6F" w:rsidRPr="00A75F6F">
        <w:rPr>
          <w:iCs/>
          <w:kern w:val="22"/>
          <w:sz w:val="22"/>
          <w:szCs w:val="22"/>
          <w:lang w:val="fr-FR"/>
        </w:rPr>
        <w:t xml:space="preserve"> un groupe de travail intersessions à composition non limitée afin de soutenir l’élaboration du cadre mondial de la biodiversité pour l’après-2020</w:t>
      </w:r>
      <w:r w:rsidR="00A75F6F">
        <w:rPr>
          <w:iCs/>
          <w:kern w:val="22"/>
          <w:sz w:val="22"/>
          <w:szCs w:val="22"/>
          <w:lang w:val="fr-FR"/>
        </w:rPr>
        <w:t xml:space="preserve">. L’Organe subsidiaire chargé de l’application a été prié </w:t>
      </w:r>
      <w:r w:rsidR="00A75F6F" w:rsidRPr="00D229BA">
        <w:rPr>
          <w:iCs/>
          <w:kern w:val="22"/>
          <w:szCs w:val="22"/>
          <w:lang w:val="fr-FR"/>
        </w:rPr>
        <w:t xml:space="preserve">de </w:t>
      </w:r>
      <w:r w:rsidR="00A75F6F" w:rsidRPr="00A75F6F">
        <w:rPr>
          <w:iCs/>
          <w:kern w:val="22"/>
          <w:sz w:val="22"/>
          <w:szCs w:val="22"/>
          <w:lang w:val="fr-FR"/>
        </w:rPr>
        <w:t xml:space="preserve">contribuer, à sa troisième réunion, à l’élaboration du cadre mondial de la diversité biologique pour l’après 2020 préparé par le groupe de travail intersessions à composition non limitée, et de le compléter </w:t>
      </w:r>
      <w:r w:rsidR="00C63F85">
        <w:rPr>
          <w:iCs/>
          <w:kern w:val="22"/>
          <w:sz w:val="22"/>
          <w:szCs w:val="22"/>
          <w:lang w:val="fr-FR"/>
        </w:rPr>
        <w:t xml:space="preserve">par des </w:t>
      </w:r>
      <w:r w:rsidR="00A75F6F" w:rsidRPr="00A75F6F">
        <w:rPr>
          <w:iCs/>
          <w:kern w:val="22"/>
          <w:sz w:val="22"/>
          <w:szCs w:val="22"/>
          <w:lang w:val="fr-FR"/>
        </w:rPr>
        <w:t xml:space="preserve">éléments </w:t>
      </w:r>
      <w:r w:rsidR="00C63F85">
        <w:rPr>
          <w:iCs/>
          <w:kern w:val="22"/>
          <w:sz w:val="22"/>
          <w:szCs w:val="22"/>
          <w:lang w:val="fr-FR"/>
        </w:rPr>
        <w:t>relatifs</w:t>
      </w:r>
      <w:r w:rsidR="00A75F6F" w:rsidRPr="00A75F6F">
        <w:rPr>
          <w:iCs/>
          <w:kern w:val="22"/>
          <w:sz w:val="22"/>
          <w:szCs w:val="22"/>
          <w:lang w:val="fr-FR"/>
        </w:rPr>
        <w:t xml:space="preserve"> </w:t>
      </w:r>
      <w:r w:rsidR="00C63F85">
        <w:rPr>
          <w:iCs/>
          <w:kern w:val="22"/>
          <w:sz w:val="22"/>
          <w:szCs w:val="22"/>
          <w:lang w:val="fr-FR"/>
        </w:rPr>
        <w:t>aux</w:t>
      </w:r>
      <w:r w:rsidR="00A75F6F" w:rsidRPr="00A75F6F">
        <w:rPr>
          <w:iCs/>
          <w:kern w:val="22"/>
          <w:sz w:val="22"/>
          <w:szCs w:val="22"/>
          <w:lang w:val="fr-FR"/>
        </w:rPr>
        <w:t xml:space="preserve"> moyens de soutenir et d’analyser sa mise en œuvre</w:t>
      </w:r>
      <w:r w:rsidR="00C63F85">
        <w:rPr>
          <w:iCs/>
          <w:kern w:val="22"/>
          <w:sz w:val="22"/>
          <w:szCs w:val="22"/>
          <w:lang w:val="fr-FR"/>
        </w:rPr>
        <w:t xml:space="preserve">, y compris </w:t>
      </w:r>
      <w:r w:rsidR="00707FDA">
        <w:rPr>
          <w:iCs/>
          <w:kern w:val="22"/>
          <w:sz w:val="22"/>
          <w:szCs w:val="22"/>
          <w:lang w:val="fr-FR"/>
        </w:rPr>
        <w:t>des questions liées au Protocole de Cartagena, au Protocole de Nagoya et au Groupe de travail sur l’article 8j) et les dispositions connexes.</w:t>
      </w:r>
      <w:r w:rsidR="00FA064A" w:rsidRPr="003D7CD8">
        <w:rPr>
          <w:bCs/>
          <w:spacing w:val="-2"/>
          <w:kern w:val="22"/>
          <w:sz w:val="22"/>
          <w:szCs w:val="22"/>
          <w:lang w:val="fr-FR"/>
        </w:rPr>
        <w:t xml:space="preserve"> </w:t>
      </w:r>
    </w:p>
    <w:p w14:paraId="2EA5DC1F" w14:textId="3AD251F3" w:rsidR="007C5D84" w:rsidRPr="003D7CD8" w:rsidRDefault="00A75F6F" w:rsidP="00A607E8">
      <w:pPr>
        <w:pStyle w:val="Para1"/>
        <w:numPr>
          <w:ilvl w:val="0"/>
          <w:numId w:val="14"/>
        </w:numPr>
        <w:suppressLineNumbers/>
        <w:tabs>
          <w:tab w:val="num" w:pos="720"/>
        </w:tabs>
        <w:suppressAutoHyphens/>
        <w:spacing w:before="120"/>
        <w:ind w:left="0" w:firstLine="0"/>
        <w:jc w:val="both"/>
        <w:rPr>
          <w:bCs/>
          <w:spacing w:val="-2"/>
          <w:kern w:val="22"/>
          <w:sz w:val="22"/>
          <w:szCs w:val="22"/>
          <w:lang w:val="fr-FR"/>
        </w:rPr>
      </w:pPr>
      <w:r>
        <w:rPr>
          <w:bCs/>
          <w:spacing w:val="-2"/>
          <w:kern w:val="22"/>
          <w:sz w:val="22"/>
          <w:szCs w:val="22"/>
          <w:lang w:val="fr-FR"/>
        </w:rPr>
        <w:t>Dans la décision</w:t>
      </w:r>
      <w:r w:rsidR="007C5D84" w:rsidRPr="003D7CD8">
        <w:rPr>
          <w:bCs/>
          <w:spacing w:val="-2"/>
          <w:kern w:val="22"/>
          <w:sz w:val="22"/>
          <w:szCs w:val="22"/>
          <w:lang w:val="fr-FR"/>
        </w:rPr>
        <w:t xml:space="preserve"> </w:t>
      </w:r>
      <w:hyperlink r:id="rId26" w:history="1">
        <w:r w:rsidR="007C5D84" w:rsidRPr="003D7CD8">
          <w:rPr>
            <w:rStyle w:val="Hyperlink"/>
            <w:spacing w:val="-2"/>
            <w:sz w:val="22"/>
            <w:szCs w:val="22"/>
            <w:lang w:val="fr-FR"/>
          </w:rPr>
          <w:t>CP-9/7</w:t>
        </w:r>
      </w:hyperlink>
      <w:r w:rsidR="001F4230" w:rsidRPr="003D7CD8">
        <w:rPr>
          <w:bCs/>
          <w:spacing w:val="-2"/>
          <w:kern w:val="22"/>
          <w:sz w:val="22"/>
          <w:szCs w:val="22"/>
          <w:lang w:val="fr-FR"/>
        </w:rPr>
        <w:t>,</w:t>
      </w:r>
      <w:r w:rsidR="007C5D84" w:rsidRPr="003D7CD8">
        <w:rPr>
          <w:bCs/>
          <w:spacing w:val="-2"/>
          <w:kern w:val="22"/>
          <w:sz w:val="22"/>
          <w:szCs w:val="22"/>
          <w:lang w:val="fr-FR"/>
        </w:rPr>
        <w:t xml:space="preserve"> </w:t>
      </w:r>
      <w:r>
        <w:rPr>
          <w:bCs/>
          <w:spacing w:val="-2"/>
          <w:kern w:val="22"/>
          <w:sz w:val="22"/>
          <w:szCs w:val="22"/>
          <w:lang w:val="fr-FR"/>
        </w:rPr>
        <w:t xml:space="preserve">la Conférence des Parties siégeant en tant que réunion des Parties au Protocole de Cartagena sur la prévention des risques biotechnologiques a souligné </w:t>
      </w:r>
      <w:r w:rsidR="00B33BE0" w:rsidRPr="00B33BE0">
        <w:rPr>
          <w:color w:val="000000" w:themeColor="text1"/>
          <w:kern w:val="22"/>
          <w:sz w:val="22"/>
          <w:szCs w:val="22"/>
          <w:lang w:val="fr-FR" w:eastAsia="fr-FR"/>
        </w:rPr>
        <w:t xml:space="preserve">l'importance d'inclure la prévention des risques biotechnologiques dans le cadre mondial de la biodiversité pour l’après-2020 </w:t>
      </w:r>
      <w:r w:rsidR="00B33BE0">
        <w:rPr>
          <w:color w:val="000000" w:themeColor="text1"/>
          <w:kern w:val="22"/>
          <w:sz w:val="22"/>
          <w:szCs w:val="22"/>
          <w:lang w:val="fr-FR" w:eastAsia="fr-FR"/>
        </w:rPr>
        <w:t>et défini les mesures à prendre pour l’élaboration de l’élément prévention des risques biotechnologiques du cadre mondial de la biodiversité pour l’après-2020</w:t>
      </w:r>
      <w:r w:rsidR="00FC17C4">
        <w:rPr>
          <w:color w:val="000000" w:themeColor="text1"/>
          <w:kern w:val="22"/>
          <w:sz w:val="22"/>
          <w:szCs w:val="22"/>
          <w:lang w:val="fr-FR" w:eastAsia="fr-FR"/>
        </w:rPr>
        <w:t>.</w:t>
      </w:r>
      <w:bookmarkEnd w:id="2"/>
    </w:p>
    <w:p w14:paraId="1D84E1EA" w14:textId="4D17FEF8" w:rsidR="00F37257" w:rsidRPr="003D7CD8" w:rsidRDefault="00FC17C4"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bookmarkStart w:id="3" w:name="_Ref22830391"/>
      <w:r>
        <w:rPr>
          <w:bCs/>
          <w:kern w:val="22"/>
          <w:sz w:val="22"/>
          <w:szCs w:val="22"/>
          <w:lang w:val="fr-FR"/>
        </w:rPr>
        <w:t>Dans la décision</w:t>
      </w:r>
      <w:r w:rsidR="007C5D84" w:rsidRPr="003D7CD8">
        <w:rPr>
          <w:bCs/>
          <w:kern w:val="22"/>
          <w:sz w:val="22"/>
          <w:szCs w:val="22"/>
          <w:lang w:val="fr-FR"/>
        </w:rPr>
        <w:t xml:space="preserve"> </w:t>
      </w:r>
      <w:hyperlink r:id="rId27" w:history="1">
        <w:r w:rsidR="007C5D84" w:rsidRPr="003D7CD8">
          <w:rPr>
            <w:rStyle w:val="Hyperlink"/>
            <w:sz w:val="22"/>
            <w:szCs w:val="22"/>
            <w:lang w:val="fr-FR"/>
          </w:rPr>
          <w:t>NP-3/15</w:t>
        </w:r>
      </w:hyperlink>
      <w:r w:rsidR="005D0A75" w:rsidRPr="003D7CD8">
        <w:rPr>
          <w:bCs/>
          <w:kern w:val="22"/>
          <w:sz w:val="22"/>
          <w:szCs w:val="22"/>
          <w:lang w:val="fr-FR"/>
        </w:rPr>
        <w:t>,</w:t>
      </w:r>
      <w:r w:rsidR="007C5D84" w:rsidRPr="003D7CD8">
        <w:rPr>
          <w:bCs/>
          <w:kern w:val="22"/>
          <w:sz w:val="22"/>
          <w:szCs w:val="22"/>
          <w:lang w:val="fr-FR"/>
        </w:rPr>
        <w:t xml:space="preserve"> </w:t>
      </w:r>
      <w:r>
        <w:rPr>
          <w:bCs/>
          <w:kern w:val="22"/>
          <w:sz w:val="22"/>
          <w:szCs w:val="22"/>
          <w:lang w:val="fr-FR"/>
        </w:rPr>
        <w:t xml:space="preserve">la Conférence des Parties siégeant en tant que réunion des Parties au Protocole de Nagoya a accueilli avec satisfaction la décision </w:t>
      </w:r>
      <w:r w:rsidR="007C5D84" w:rsidRPr="003D7CD8">
        <w:rPr>
          <w:bCs/>
          <w:kern w:val="22"/>
          <w:sz w:val="22"/>
          <w:szCs w:val="22"/>
          <w:lang w:val="fr-FR"/>
        </w:rPr>
        <w:t xml:space="preserve">14/34 </w:t>
      </w:r>
      <w:r>
        <w:rPr>
          <w:bCs/>
          <w:kern w:val="22"/>
          <w:sz w:val="22"/>
          <w:szCs w:val="22"/>
          <w:lang w:val="fr-FR"/>
        </w:rPr>
        <w:t>de la Conférence des Parties et invité les Parties au Protocole à participer au processus d’élaboration du cadre mondial de la biodiversité pour l’après-2020.</w:t>
      </w:r>
      <w:bookmarkEnd w:id="3"/>
    </w:p>
    <w:p w14:paraId="00827F17" w14:textId="53286113" w:rsidR="00F37257" w:rsidRPr="003D7CD8" w:rsidRDefault="00025ECA"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bookmarkStart w:id="4" w:name="_Ref22830402"/>
      <w:r>
        <w:rPr>
          <w:bCs/>
          <w:kern w:val="22"/>
          <w:sz w:val="22"/>
          <w:szCs w:val="22"/>
          <w:lang w:val="fr-FR"/>
        </w:rPr>
        <w:lastRenderedPageBreak/>
        <w:t>Dans la décision</w:t>
      </w:r>
      <w:r w:rsidR="00737ED5" w:rsidRPr="003D7CD8">
        <w:rPr>
          <w:bCs/>
          <w:kern w:val="22"/>
          <w:sz w:val="22"/>
          <w:szCs w:val="22"/>
          <w:lang w:val="fr-FR"/>
        </w:rPr>
        <w:t xml:space="preserve"> </w:t>
      </w:r>
      <w:hyperlink r:id="rId28" w:history="1">
        <w:r w:rsidR="00737ED5" w:rsidRPr="003D7CD8">
          <w:rPr>
            <w:rStyle w:val="Hyperlink"/>
            <w:sz w:val="22"/>
            <w:szCs w:val="22"/>
            <w:lang w:val="fr-FR"/>
          </w:rPr>
          <w:t>14/17</w:t>
        </w:r>
      </w:hyperlink>
      <w:r w:rsidR="00737ED5" w:rsidRPr="003D7CD8">
        <w:rPr>
          <w:bCs/>
          <w:kern w:val="22"/>
          <w:sz w:val="22"/>
          <w:szCs w:val="22"/>
          <w:lang w:val="fr-FR"/>
        </w:rPr>
        <w:t xml:space="preserve">, </w:t>
      </w:r>
      <w:r>
        <w:rPr>
          <w:bCs/>
          <w:kern w:val="22"/>
          <w:sz w:val="22"/>
          <w:szCs w:val="22"/>
          <w:lang w:val="fr-FR"/>
        </w:rPr>
        <w:t xml:space="preserve">la Conférence des Parties a prié </w:t>
      </w:r>
      <w:r w:rsidRPr="00025ECA">
        <w:rPr>
          <w:rFonts w:eastAsia="Batang"/>
          <w:kern w:val="22"/>
          <w:sz w:val="22"/>
          <w:szCs w:val="22"/>
          <w:lang w:val="fr-FR"/>
        </w:rPr>
        <w:t>le Groupe de travail spécial à composition non limitée sur l’article 8 j) et les dispositions connexes d’élaborer, à sa onzième réunion, des propositions portant sur d’éventuels futurs travau</w:t>
      </w:r>
      <w:r>
        <w:rPr>
          <w:rFonts w:eastAsia="Batang"/>
          <w:kern w:val="22"/>
          <w:sz w:val="22"/>
          <w:szCs w:val="22"/>
          <w:lang w:val="fr-FR"/>
        </w:rPr>
        <w:t xml:space="preserve">x </w:t>
      </w:r>
      <w:r w:rsidRPr="00025ECA">
        <w:rPr>
          <w:rFonts w:eastAsia="Batang"/>
          <w:kern w:val="22"/>
          <w:sz w:val="22"/>
          <w:szCs w:val="22"/>
          <w:lang w:val="fr-FR"/>
        </w:rPr>
        <w:t>ainsi que des arrangements institutionnels et leur mode de fonctionnement</w:t>
      </w:r>
      <w:r>
        <w:rPr>
          <w:rFonts w:eastAsia="Batang"/>
          <w:kern w:val="22"/>
          <w:sz w:val="22"/>
          <w:szCs w:val="22"/>
          <w:lang w:val="fr-FR"/>
        </w:rPr>
        <w:t>. Dans d’autres décisions, notamment sur la mobilisation des ressources, le mécanisme de financement et le renforcement des capacités, la Conférence des Parties a établi un processus pour les questions relatives au cadre mondial de la biodiversité pour l’après-2020.</w:t>
      </w:r>
      <w:bookmarkEnd w:id="4"/>
    </w:p>
    <w:p w14:paraId="1A0951C7" w14:textId="053AE196" w:rsidR="00F37257" w:rsidRDefault="00707FDA"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À</w:t>
      </w:r>
      <w:r w:rsidR="006608E5">
        <w:rPr>
          <w:bCs/>
          <w:kern w:val="22"/>
          <w:sz w:val="22"/>
          <w:szCs w:val="22"/>
          <w:lang w:val="fr-FR"/>
        </w:rPr>
        <w:t xml:space="preserve"> sa première réunion, le Groupe de travail à composition non limitée sur le cadre mondial de la biodiversité pour l’après-2020 a invité l’Organe subsidiaire chargé de l’application à porter à son attention toute recommandation additionnelle</w:t>
      </w:r>
      <w:r w:rsidR="00DB0F35" w:rsidRPr="00DB0F35">
        <w:rPr>
          <w:rFonts w:eastAsia="Malgun Gothic"/>
          <w:kern w:val="22"/>
          <w:szCs w:val="22"/>
          <w:lang w:val="fr-FR"/>
        </w:rPr>
        <w:t xml:space="preserve"> </w:t>
      </w:r>
      <w:r w:rsidR="00DB0F35" w:rsidRPr="00DB0F35">
        <w:rPr>
          <w:rFonts w:eastAsia="Malgun Gothic"/>
          <w:kern w:val="22"/>
          <w:sz w:val="22"/>
          <w:szCs w:val="22"/>
          <w:lang w:val="fr-FR"/>
        </w:rPr>
        <w:t>pertinente pour le cadre mondial de la biodiversité pour l’après</w:t>
      </w:r>
      <w:r w:rsidR="00DB0F35" w:rsidRPr="00DB0F35">
        <w:rPr>
          <w:rFonts w:eastAsia="Malgun Gothic"/>
          <w:kern w:val="22"/>
          <w:sz w:val="22"/>
          <w:szCs w:val="22"/>
          <w:lang w:val="fr-FR"/>
        </w:rPr>
        <w:noBreakHyphen/>
        <w:t>2020</w:t>
      </w:r>
      <w:r w:rsidR="006608E5" w:rsidRPr="00DB0F35">
        <w:rPr>
          <w:bCs/>
          <w:kern w:val="22"/>
          <w:sz w:val="22"/>
          <w:szCs w:val="22"/>
          <w:lang w:val="fr-FR"/>
        </w:rPr>
        <w:t xml:space="preserve"> </w:t>
      </w:r>
      <w:r w:rsidR="00606E84" w:rsidRPr="003D7CD8">
        <w:rPr>
          <w:bCs/>
          <w:kern w:val="22"/>
          <w:sz w:val="22"/>
          <w:szCs w:val="22"/>
          <w:lang w:val="fr-FR"/>
        </w:rPr>
        <w:t>(</w:t>
      </w:r>
      <w:r w:rsidR="00DB0F35">
        <w:rPr>
          <w:bCs/>
          <w:kern w:val="22"/>
          <w:sz w:val="22"/>
          <w:szCs w:val="22"/>
          <w:lang w:val="fr-FR"/>
        </w:rPr>
        <w:t>voir</w:t>
      </w:r>
      <w:r w:rsidR="0031237C" w:rsidRPr="003D7CD8">
        <w:rPr>
          <w:bCs/>
          <w:kern w:val="22"/>
          <w:sz w:val="22"/>
          <w:szCs w:val="22"/>
          <w:lang w:val="fr-FR"/>
        </w:rPr>
        <w:t xml:space="preserve"> </w:t>
      </w:r>
      <w:r w:rsidR="00903136" w:rsidRPr="00DB0F35">
        <w:rPr>
          <w:bCs/>
          <w:kern w:val="22"/>
          <w:sz w:val="22"/>
          <w:szCs w:val="22"/>
          <w:lang w:val="fr-FR"/>
        </w:rPr>
        <w:t>CBD/WG2020/1/5</w:t>
      </w:r>
      <w:r w:rsidR="00903136" w:rsidRPr="003D7CD8">
        <w:rPr>
          <w:bCs/>
          <w:kern w:val="22"/>
          <w:sz w:val="22"/>
          <w:szCs w:val="22"/>
          <w:lang w:val="fr-FR"/>
        </w:rPr>
        <w:t xml:space="preserve">, </w:t>
      </w:r>
      <w:r w:rsidR="007D3AD6" w:rsidRPr="003D7CD8">
        <w:rPr>
          <w:bCs/>
          <w:kern w:val="22"/>
          <w:sz w:val="22"/>
          <w:szCs w:val="22"/>
          <w:lang w:val="fr-FR"/>
        </w:rPr>
        <w:t>sect</w:t>
      </w:r>
      <w:r w:rsidR="00DB0F35">
        <w:rPr>
          <w:bCs/>
          <w:kern w:val="22"/>
          <w:sz w:val="22"/>
          <w:szCs w:val="22"/>
          <w:lang w:val="fr-FR"/>
        </w:rPr>
        <w:t>ion</w:t>
      </w:r>
      <w:r w:rsidR="007D3AD6" w:rsidRPr="003D7CD8">
        <w:rPr>
          <w:bCs/>
          <w:kern w:val="22"/>
          <w:sz w:val="22"/>
          <w:szCs w:val="22"/>
          <w:lang w:val="fr-FR"/>
        </w:rPr>
        <w:t> I)</w:t>
      </w:r>
      <w:r w:rsidR="00BC69EC" w:rsidRPr="003D7CD8">
        <w:rPr>
          <w:bCs/>
          <w:kern w:val="22"/>
          <w:sz w:val="22"/>
          <w:szCs w:val="22"/>
          <w:lang w:val="fr-FR"/>
        </w:rPr>
        <w:t>.</w:t>
      </w:r>
    </w:p>
    <w:p w14:paraId="443E98BA" w14:textId="1A57D904" w:rsidR="00707FDA" w:rsidRPr="003D7CD8" w:rsidRDefault="00707FDA"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À sa deuxième réunion, le Groupe de travail à composition non limitée sur le cadre mondial de la biodiversité pour l’après-2020 a invité </w:t>
      </w:r>
      <w:r w:rsidR="00663EFA">
        <w:rPr>
          <w:bCs/>
          <w:kern w:val="22"/>
          <w:sz w:val="22"/>
          <w:szCs w:val="22"/>
          <w:lang w:val="fr-FR"/>
        </w:rPr>
        <w:t>l’Organe subsidiaire chargé de l’application</w:t>
      </w:r>
      <w:r w:rsidR="00F969D3">
        <w:rPr>
          <w:bCs/>
          <w:kern w:val="22"/>
          <w:sz w:val="22"/>
          <w:szCs w:val="22"/>
          <w:lang w:val="fr-FR"/>
        </w:rPr>
        <w:t>, à sa troisième réunion, « conform</w:t>
      </w:r>
      <w:r w:rsidR="00F6713E">
        <w:rPr>
          <w:bCs/>
          <w:kern w:val="22"/>
          <w:sz w:val="22"/>
          <w:szCs w:val="22"/>
          <w:lang w:val="fr-FR"/>
        </w:rPr>
        <w:t xml:space="preserve">ément </w:t>
      </w:r>
      <w:r w:rsidR="00663EFA">
        <w:rPr>
          <w:bCs/>
          <w:kern w:val="22"/>
          <w:sz w:val="22"/>
          <w:szCs w:val="22"/>
          <w:lang w:val="fr-FR"/>
        </w:rPr>
        <w:t>au paragraphe 18 de la décision 14/34</w:t>
      </w:r>
      <w:r w:rsidR="00F6713E">
        <w:rPr>
          <w:bCs/>
          <w:kern w:val="22"/>
          <w:sz w:val="22"/>
          <w:szCs w:val="22"/>
          <w:lang w:val="fr-FR"/>
        </w:rPr>
        <w:t>, de fournir des éléments relatifs à l’élaboration du cadre mondial de la biodiversité pour l’après-2020, en particulier en ce qui concerne des moyens de soutenir et d’analyser la mise en œuvre, y compris les mécanismes de soutien, les conditions habilitantes, la responsabilité et la transparence, et le rayonnement et la sensibilisation, compte tenu du rapport [de la réunion]</w:t>
      </w:r>
      <w:r w:rsidR="007C1EE1">
        <w:rPr>
          <w:bCs/>
          <w:kern w:val="22"/>
          <w:sz w:val="22"/>
          <w:szCs w:val="22"/>
          <w:lang w:val="fr-FR"/>
        </w:rPr>
        <w:t xml:space="preserve"> et du projet de cadre mondial de la biodiversité pour l’après-2020.</w:t>
      </w:r>
      <w:r w:rsidR="00663EFA">
        <w:rPr>
          <w:bCs/>
          <w:kern w:val="22"/>
          <w:sz w:val="22"/>
          <w:szCs w:val="22"/>
          <w:lang w:val="fr-FR"/>
        </w:rPr>
        <w:t xml:space="preserve"> </w:t>
      </w:r>
      <w:r>
        <w:rPr>
          <w:bCs/>
          <w:kern w:val="22"/>
          <w:sz w:val="22"/>
          <w:szCs w:val="22"/>
          <w:lang w:val="fr-FR"/>
        </w:rPr>
        <w:t xml:space="preserve"> </w:t>
      </w:r>
    </w:p>
    <w:p w14:paraId="3D40AA5A" w14:textId="4702B112" w:rsidR="00246A8A" w:rsidRPr="00911E76" w:rsidRDefault="00AD3B22"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Par conséquent</w:t>
      </w:r>
      <w:r w:rsidR="007C5D84" w:rsidRPr="003D7CD8">
        <w:rPr>
          <w:bCs/>
          <w:kern w:val="22"/>
          <w:sz w:val="22"/>
          <w:szCs w:val="22"/>
          <w:lang w:val="fr-FR"/>
        </w:rPr>
        <w:t xml:space="preserve">, </w:t>
      </w:r>
      <w:r>
        <w:rPr>
          <w:bCs/>
          <w:kern w:val="22"/>
          <w:sz w:val="22"/>
          <w:szCs w:val="22"/>
          <w:lang w:val="fr-FR"/>
        </w:rPr>
        <w:t>les points</w:t>
      </w:r>
      <w:r w:rsidR="007C5D84" w:rsidRPr="003D7CD8">
        <w:rPr>
          <w:bCs/>
          <w:kern w:val="22"/>
          <w:sz w:val="22"/>
          <w:szCs w:val="22"/>
          <w:lang w:val="fr-FR"/>
        </w:rPr>
        <w:t xml:space="preserve"> </w:t>
      </w:r>
      <w:r w:rsidR="00246A8A" w:rsidRPr="003D7CD8">
        <w:rPr>
          <w:bCs/>
          <w:kern w:val="22"/>
          <w:sz w:val="22"/>
          <w:szCs w:val="22"/>
          <w:lang w:val="fr-FR"/>
        </w:rPr>
        <w:t xml:space="preserve">6, 7, 8, 9 </w:t>
      </w:r>
      <w:r>
        <w:rPr>
          <w:bCs/>
          <w:kern w:val="22"/>
          <w:sz w:val="22"/>
          <w:szCs w:val="22"/>
          <w:lang w:val="fr-FR"/>
        </w:rPr>
        <w:t>et</w:t>
      </w:r>
      <w:r w:rsidR="00246A8A" w:rsidRPr="003D7CD8">
        <w:rPr>
          <w:bCs/>
          <w:kern w:val="22"/>
          <w:sz w:val="22"/>
          <w:szCs w:val="22"/>
          <w:lang w:val="fr-FR"/>
        </w:rPr>
        <w:t xml:space="preserve"> 11 </w:t>
      </w:r>
      <w:r>
        <w:rPr>
          <w:bCs/>
          <w:kern w:val="22"/>
          <w:sz w:val="22"/>
          <w:szCs w:val="22"/>
          <w:lang w:val="fr-FR"/>
        </w:rPr>
        <w:t xml:space="preserve">de l’ordre du jour provisoire couvrent également les travaux relatifs à ce processus. Au titre de ce point-ci, l’Organe subsidiaire chargé de l’application examinera les éléments du cadre mondial de la biodiversité pour l’après-2020 relatifs à la prévention des risques biotechnologiques, à l’accès et au partage des avantages et à l’article 8 j) et aux dispositions connexes, conformément aux décisions mentionnées aux paragraphes </w:t>
      </w:r>
      <w:r w:rsidR="00F30494">
        <w:rPr>
          <w:bCs/>
          <w:kern w:val="22"/>
          <w:sz w:val="22"/>
          <w:szCs w:val="22"/>
          <w:lang w:val="fr-FR"/>
        </w:rPr>
        <w:t xml:space="preserve">18, </w:t>
      </w:r>
      <w:r w:rsidR="00530F77" w:rsidRPr="003D7CD8">
        <w:rPr>
          <w:bCs/>
          <w:kern w:val="22"/>
          <w:sz w:val="22"/>
          <w:szCs w:val="22"/>
          <w:lang w:val="fr-FR"/>
        </w:rPr>
        <w:fldChar w:fldCharType="begin"/>
      </w:r>
      <w:r w:rsidR="00530F77" w:rsidRPr="003D7CD8">
        <w:rPr>
          <w:bCs/>
          <w:kern w:val="22"/>
          <w:sz w:val="22"/>
          <w:szCs w:val="22"/>
          <w:lang w:val="fr-FR"/>
        </w:rPr>
        <w:instrText xml:space="preserve"> REF _Ref22830402 \r \h </w:instrText>
      </w:r>
      <w:r w:rsidR="00442662" w:rsidRPr="003D7CD8">
        <w:rPr>
          <w:bCs/>
          <w:kern w:val="22"/>
          <w:sz w:val="22"/>
          <w:szCs w:val="22"/>
          <w:lang w:val="fr-FR"/>
        </w:rPr>
        <w:instrText xml:space="preserve"> \* MERGEFORMAT </w:instrText>
      </w:r>
      <w:r w:rsidR="00530F77" w:rsidRPr="003D7CD8">
        <w:rPr>
          <w:bCs/>
          <w:kern w:val="22"/>
          <w:sz w:val="22"/>
          <w:szCs w:val="22"/>
          <w:lang w:val="fr-FR"/>
        </w:rPr>
      </w:r>
      <w:r w:rsidR="00530F77" w:rsidRPr="003D7CD8">
        <w:rPr>
          <w:bCs/>
          <w:kern w:val="22"/>
          <w:sz w:val="22"/>
          <w:szCs w:val="22"/>
          <w:lang w:val="fr-FR"/>
        </w:rPr>
        <w:fldChar w:fldCharType="separate"/>
      </w:r>
      <w:r w:rsidR="00722F73" w:rsidRPr="003D7CD8">
        <w:rPr>
          <w:bCs/>
          <w:kern w:val="22"/>
          <w:sz w:val="22"/>
          <w:szCs w:val="22"/>
          <w:lang w:val="fr-FR"/>
        </w:rPr>
        <w:t>19</w:t>
      </w:r>
      <w:r w:rsidR="00530F77" w:rsidRPr="003D7CD8">
        <w:rPr>
          <w:bCs/>
          <w:kern w:val="22"/>
          <w:sz w:val="22"/>
          <w:szCs w:val="22"/>
          <w:lang w:val="fr-FR"/>
        </w:rPr>
        <w:fldChar w:fldCharType="end"/>
      </w:r>
      <w:r w:rsidR="007C1EE1">
        <w:rPr>
          <w:bCs/>
          <w:kern w:val="22"/>
          <w:sz w:val="22"/>
          <w:szCs w:val="22"/>
          <w:lang w:val="fr-FR"/>
        </w:rPr>
        <w:t xml:space="preserve"> et 20</w:t>
      </w:r>
      <w:r w:rsidR="00530F77" w:rsidRPr="003D7CD8">
        <w:rPr>
          <w:bCs/>
          <w:kern w:val="22"/>
          <w:sz w:val="22"/>
          <w:szCs w:val="22"/>
          <w:lang w:val="fr-FR"/>
        </w:rPr>
        <w:t xml:space="preserve"> </w:t>
      </w:r>
      <w:r>
        <w:rPr>
          <w:bCs/>
          <w:kern w:val="22"/>
          <w:sz w:val="22"/>
          <w:szCs w:val="22"/>
          <w:lang w:val="fr-FR"/>
        </w:rPr>
        <w:t>ci-dessus</w:t>
      </w:r>
      <w:r w:rsidR="00310201" w:rsidRPr="003D7CD8">
        <w:rPr>
          <w:bCs/>
          <w:kern w:val="22"/>
          <w:sz w:val="22"/>
          <w:szCs w:val="22"/>
          <w:lang w:val="fr-FR"/>
        </w:rPr>
        <w:t xml:space="preserve">, </w:t>
      </w:r>
      <w:r>
        <w:rPr>
          <w:bCs/>
          <w:kern w:val="22"/>
          <w:sz w:val="22"/>
          <w:szCs w:val="22"/>
          <w:lang w:val="fr-FR"/>
        </w:rPr>
        <w:t>ainsi que toute tâche concernant le cadre mondial de la biodiversité pour l’après-20</w:t>
      </w:r>
      <w:r w:rsidR="00571451">
        <w:rPr>
          <w:bCs/>
          <w:kern w:val="22"/>
          <w:sz w:val="22"/>
          <w:szCs w:val="22"/>
          <w:lang w:val="fr-FR"/>
        </w:rPr>
        <w:t xml:space="preserve">20 dans son ensemble </w:t>
      </w:r>
      <w:r>
        <w:rPr>
          <w:bCs/>
          <w:kern w:val="22"/>
          <w:sz w:val="22"/>
          <w:szCs w:val="22"/>
          <w:lang w:val="fr-FR"/>
        </w:rPr>
        <w:t>qui lui a été assignée</w:t>
      </w:r>
      <w:r w:rsidR="00571451">
        <w:rPr>
          <w:bCs/>
          <w:kern w:val="22"/>
          <w:sz w:val="22"/>
          <w:szCs w:val="22"/>
          <w:lang w:val="fr-FR"/>
        </w:rPr>
        <w:t xml:space="preserve"> par le Groupe de travail à composition non limitée sur le cadre mondial de la biodiversité pour </w:t>
      </w:r>
      <w:r w:rsidR="00571451" w:rsidRPr="00911E76">
        <w:rPr>
          <w:bCs/>
          <w:kern w:val="22"/>
          <w:sz w:val="22"/>
          <w:szCs w:val="22"/>
          <w:lang w:val="fr-FR"/>
        </w:rPr>
        <w:t xml:space="preserve">l’après-2020 </w:t>
      </w:r>
      <w:r w:rsidR="00B11F1B" w:rsidRPr="00911E76">
        <w:rPr>
          <w:bCs/>
          <w:kern w:val="22"/>
          <w:sz w:val="22"/>
          <w:szCs w:val="22"/>
          <w:lang w:val="fr-FR"/>
        </w:rPr>
        <w:t>à sa deuxième réunion. Il examinera en outre des propositions relatives à la date, au lieu et à la périodicité des prochaines réunions de la Conférence des Parties et de la Conférence des Parties siégeant en tant que réunions des Parties aux Protocoles.</w:t>
      </w:r>
    </w:p>
    <w:p w14:paraId="74D41BC1" w14:textId="39B4D962" w:rsidR="00310201" w:rsidRPr="00B015B5" w:rsidRDefault="00B11F1B" w:rsidP="00ED543F">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911E76">
        <w:rPr>
          <w:bCs/>
          <w:kern w:val="22"/>
          <w:sz w:val="22"/>
          <w:szCs w:val="22"/>
          <w:lang w:val="fr-FR"/>
        </w:rPr>
        <w:t xml:space="preserve">Afin de faciliter les travaux de l’Organe subsidiaire, la Secrétaire exécutive diffusera le document </w:t>
      </w:r>
      <w:r w:rsidR="00310201" w:rsidRPr="00911E76">
        <w:rPr>
          <w:bCs/>
          <w:kern w:val="22"/>
          <w:sz w:val="22"/>
          <w:szCs w:val="22"/>
          <w:lang w:val="fr-FR"/>
        </w:rPr>
        <w:t>CBD/SBI/3/4</w:t>
      </w:r>
      <w:r w:rsidR="00FA064A" w:rsidRPr="00911E76">
        <w:rPr>
          <w:bCs/>
          <w:kern w:val="22"/>
          <w:sz w:val="22"/>
          <w:szCs w:val="22"/>
          <w:lang w:val="fr-FR"/>
        </w:rPr>
        <w:t xml:space="preserve">, </w:t>
      </w:r>
      <w:r w:rsidR="005364FC" w:rsidRPr="00911E76">
        <w:rPr>
          <w:bCs/>
          <w:kern w:val="22"/>
          <w:sz w:val="22"/>
          <w:szCs w:val="22"/>
          <w:lang w:val="fr-FR"/>
        </w:rPr>
        <w:t>qui sera appuyé par des additifs et des notes d’information, selon qu’il sera jugé nécessaire.</w:t>
      </w:r>
      <w:r w:rsidR="002E625E">
        <w:rPr>
          <w:bCs/>
          <w:kern w:val="22"/>
          <w:sz w:val="22"/>
          <w:szCs w:val="22"/>
          <w:lang w:val="fr-FR"/>
        </w:rPr>
        <w:t xml:space="preserve"> Ce document offrira aux coprésidents du Groupe de travail sur le cadre mondial de la biodiversité et à la Secrétaire exécutive des éléments à prendre en considération lors de l’élaboration du projet de cadre mondial de la biodiversité, conformément à la demande faite par le Groupe de travail à sa deuxième réunion. Le document sera diffusé six semaines avant la troisième réunion du Groupe de travail. </w:t>
      </w:r>
    </w:p>
    <w:p w14:paraId="0CED2266" w14:textId="77777777" w:rsidR="00F66CED" w:rsidRPr="00F66CED" w:rsidRDefault="00A03DB3" w:rsidP="00FB4B38">
      <w:pPr>
        <w:pStyle w:val="Para1"/>
        <w:numPr>
          <w:ilvl w:val="0"/>
          <w:numId w:val="14"/>
        </w:numPr>
        <w:suppressLineNumbers/>
        <w:tabs>
          <w:tab w:val="num" w:pos="720"/>
        </w:tabs>
        <w:suppressAutoHyphens/>
        <w:spacing w:before="120"/>
        <w:ind w:left="0" w:firstLine="0"/>
        <w:jc w:val="both"/>
        <w:rPr>
          <w:bCs/>
          <w:spacing w:val="-2"/>
          <w:kern w:val="22"/>
          <w:sz w:val="22"/>
          <w:szCs w:val="22"/>
          <w:lang w:val="fr-FR"/>
        </w:rPr>
      </w:pPr>
      <w:r w:rsidRPr="00F66CED">
        <w:rPr>
          <w:bCs/>
          <w:spacing w:val="-2"/>
          <w:kern w:val="22"/>
          <w:sz w:val="22"/>
          <w:szCs w:val="22"/>
          <w:lang w:val="fr-FR"/>
        </w:rPr>
        <w:t>Dans la décision</w:t>
      </w:r>
      <w:r w:rsidR="000D45E9" w:rsidRPr="00F66CED">
        <w:rPr>
          <w:bCs/>
          <w:spacing w:val="-2"/>
          <w:kern w:val="22"/>
          <w:sz w:val="22"/>
          <w:szCs w:val="22"/>
          <w:lang w:val="fr-FR"/>
        </w:rPr>
        <w:t xml:space="preserve"> </w:t>
      </w:r>
      <w:hyperlink r:id="rId29" w:history="1">
        <w:r w:rsidR="000D45E9" w:rsidRPr="00F66CED">
          <w:rPr>
            <w:rStyle w:val="Hyperlink"/>
            <w:spacing w:val="-2"/>
            <w:sz w:val="22"/>
            <w:szCs w:val="22"/>
            <w:lang w:val="fr-FR"/>
          </w:rPr>
          <w:t>CP-9/7</w:t>
        </w:r>
      </w:hyperlink>
      <w:r w:rsidR="000D45E9" w:rsidRPr="00F66CED">
        <w:rPr>
          <w:bCs/>
          <w:spacing w:val="-2"/>
          <w:kern w:val="22"/>
          <w:sz w:val="22"/>
          <w:szCs w:val="22"/>
          <w:lang w:val="fr-FR"/>
        </w:rPr>
        <w:t xml:space="preserve">, </w:t>
      </w:r>
      <w:r w:rsidRPr="00F66CED">
        <w:rPr>
          <w:bCs/>
          <w:spacing w:val="-2"/>
          <w:kern w:val="22"/>
          <w:sz w:val="22"/>
          <w:szCs w:val="22"/>
          <w:lang w:val="fr-FR"/>
        </w:rPr>
        <w:t xml:space="preserve">la Conférence des Parties siégeant en tant que réunion des Parties au Protocole de Cartagena sur la prévention des risques biotechnologiques sont convenus d’un processus d’élaboration d’un </w:t>
      </w:r>
      <w:r w:rsidR="00911E76" w:rsidRPr="00F66CED">
        <w:rPr>
          <w:bCs/>
          <w:spacing w:val="-2"/>
          <w:kern w:val="22"/>
          <w:sz w:val="22"/>
          <w:szCs w:val="22"/>
          <w:lang w:val="fr-FR"/>
        </w:rPr>
        <w:t>p</w:t>
      </w:r>
      <w:r w:rsidRPr="00F66CED">
        <w:rPr>
          <w:bCs/>
          <w:spacing w:val="-2"/>
          <w:kern w:val="22"/>
          <w:sz w:val="22"/>
          <w:szCs w:val="22"/>
          <w:lang w:val="fr-FR"/>
        </w:rPr>
        <w:t>lan</w:t>
      </w:r>
      <w:r w:rsidR="00911E76" w:rsidRPr="00F66CED">
        <w:rPr>
          <w:bCs/>
          <w:spacing w:val="-2"/>
          <w:kern w:val="22"/>
          <w:sz w:val="22"/>
          <w:szCs w:val="22"/>
          <w:lang w:val="fr-FR"/>
        </w:rPr>
        <w:t xml:space="preserve"> d’application spécifique pour le Protocole de Cartagena sur la prévention des risques biotechnologiques. En outre, dans la décision </w:t>
      </w:r>
      <w:hyperlink r:id="rId30" w:history="1">
        <w:r w:rsidR="000D45E9" w:rsidRPr="00F66CED">
          <w:rPr>
            <w:rStyle w:val="Hyperlink"/>
            <w:sz w:val="22"/>
            <w:szCs w:val="22"/>
            <w:lang w:val="fr-FR"/>
          </w:rPr>
          <w:t>CP-9/3,</w:t>
        </w:r>
      </w:hyperlink>
      <w:r w:rsidR="000D45E9" w:rsidRPr="00F66CED">
        <w:rPr>
          <w:sz w:val="22"/>
          <w:szCs w:val="22"/>
          <w:lang w:val="fr-FR"/>
        </w:rPr>
        <w:t xml:space="preserve"> </w:t>
      </w:r>
      <w:r w:rsidR="007D6EC9" w:rsidRPr="00F66CED">
        <w:rPr>
          <w:sz w:val="22"/>
          <w:szCs w:val="22"/>
          <w:lang w:val="fr-FR"/>
        </w:rPr>
        <w:t xml:space="preserve">la Conférence des Parties siégeant en tant que réunion des Parties au Protocole de Cartagena a reconnu la nécessité </w:t>
      </w:r>
      <w:r w:rsidR="007D6EC9" w:rsidRPr="00F66CED">
        <w:rPr>
          <w:snapToGrid/>
          <w:kern w:val="22"/>
          <w:sz w:val="22"/>
          <w:szCs w:val="22"/>
          <w:lang w:val="fr-FR"/>
        </w:rPr>
        <w:t xml:space="preserve">d’un plan d’action spécifique pour le renforcement des capacités en vue de l’application du Protocole de Cartagena et de son Protocole additionnel, qui soit compatible avec le texte qui donnera suite au Plan stratégique du Protocole de Cartagena sur la prévention des risques biotechnologique, et complémentaire </w:t>
      </w:r>
      <w:r w:rsidR="007D6EC9" w:rsidRPr="00F66CED">
        <w:rPr>
          <w:kern w:val="22"/>
          <w:sz w:val="22"/>
          <w:szCs w:val="22"/>
          <w:lang w:val="fr-FR"/>
        </w:rPr>
        <w:t xml:space="preserve">du cadre stratégique à long terme pour le renforcement des capacités après </w:t>
      </w:r>
      <w:r w:rsidR="007D6EC9" w:rsidRPr="00F66CED">
        <w:rPr>
          <w:snapToGrid/>
          <w:kern w:val="22"/>
          <w:sz w:val="22"/>
          <w:szCs w:val="22"/>
          <w:lang w:val="fr-FR"/>
        </w:rPr>
        <w:t>2020 Ces décisions ont établi des processus pour l’élaboration des deux plans, y compris leur examen par l’Organe subsidiaire chargé de l’application à sa troisième réunion</w:t>
      </w:r>
      <w:r w:rsidR="000D45E9" w:rsidRPr="00F66CED">
        <w:rPr>
          <w:sz w:val="22"/>
          <w:szCs w:val="22"/>
          <w:lang w:val="fr-FR"/>
        </w:rPr>
        <w:t>.</w:t>
      </w:r>
      <w:r w:rsidR="00F66CED" w:rsidRPr="00F66CED">
        <w:rPr>
          <w:sz w:val="22"/>
          <w:szCs w:val="22"/>
          <w:lang w:val="fr-FR"/>
        </w:rPr>
        <w:t xml:space="preserve"> </w:t>
      </w:r>
    </w:p>
    <w:p w14:paraId="2E5F42B2" w14:textId="7462CA05" w:rsidR="000D45E9" w:rsidRPr="00F66CED" w:rsidRDefault="007D6EC9" w:rsidP="00FB4B38">
      <w:pPr>
        <w:pStyle w:val="Para1"/>
        <w:numPr>
          <w:ilvl w:val="0"/>
          <w:numId w:val="14"/>
        </w:numPr>
        <w:suppressLineNumbers/>
        <w:tabs>
          <w:tab w:val="num" w:pos="720"/>
        </w:tabs>
        <w:suppressAutoHyphens/>
        <w:spacing w:before="120"/>
        <w:ind w:left="0" w:firstLine="0"/>
        <w:jc w:val="both"/>
        <w:rPr>
          <w:bCs/>
          <w:spacing w:val="-2"/>
          <w:kern w:val="22"/>
          <w:sz w:val="22"/>
          <w:szCs w:val="22"/>
          <w:lang w:val="fr-FR"/>
        </w:rPr>
      </w:pPr>
      <w:r w:rsidRPr="00F66CED">
        <w:rPr>
          <w:bCs/>
          <w:spacing w:val="-2"/>
          <w:kern w:val="22"/>
          <w:sz w:val="22"/>
          <w:szCs w:val="22"/>
          <w:lang w:val="fr-FR"/>
        </w:rPr>
        <w:t xml:space="preserve">Afin de faciliter sa tâche, l’Organe subsidiaire chargé de l’application sera saisi du texte des projets de plans ainsi que d’un aperçu général du processus de consultation qui a conduit à leur élaboration </w:t>
      </w:r>
      <w:r w:rsidR="000D45E9" w:rsidRPr="00F66CED">
        <w:rPr>
          <w:bCs/>
          <w:spacing w:val="-2"/>
          <w:kern w:val="22"/>
          <w:sz w:val="22"/>
          <w:szCs w:val="22"/>
          <w:lang w:val="fr-FR"/>
        </w:rPr>
        <w:t>(CBD/SBI/3/18).</w:t>
      </w:r>
      <w:r w:rsidRPr="00F66CED">
        <w:rPr>
          <w:bCs/>
          <w:kern w:val="22"/>
          <w:sz w:val="22"/>
          <w:szCs w:val="22"/>
          <w:lang w:val="fr-FR"/>
        </w:rPr>
        <w:t xml:space="preserve"> Les plans sont présentés </w:t>
      </w:r>
      <w:r w:rsidR="00D967DA" w:rsidRPr="00F66CED">
        <w:rPr>
          <w:bCs/>
          <w:kern w:val="22"/>
          <w:sz w:val="22"/>
          <w:szCs w:val="22"/>
          <w:lang w:val="fr-FR"/>
        </w:rPr>
        <w:t>l’un à côté de l’autre pour faciliter leur alignement et leur complémentarité et éviter les doubles emplois.</w:t>
      </w:r>
    </w:p>
    <w:p w14:paraId="511F0B95" w14:textId="0E334317" w:rsidR="000D45E9" w:rsidRPr="00B015B5" w:rsidRDefault="00D967DA" w:rsidP="000D45E9">
      <w:pPr>
        <w:pStyle w:val="Para1"/>
        <w:numPr>
          <w:ilvl w:val="0"/>
          <w:numId w:val="14"/>
        </w:numPr>
        <w:suppressLineNumbers/>
        <w:tabs>
          <w:tab w:val="num" w:pos="720"/>
        </w:tabs>
        <w:suppressAutoHyphens/>
        <w:spacing w:before="120"/>
        <w:ind w:left="0" w:firstLine="0"/>
        <w:jc w:val="both"/>
        <w:rPr>
          <w:bCs/>
          <w:kern w:val="22"/>
          <w:sz w:val="22"/>
          <w:szCs w:val="22"/>
          <w:lang w:val="fr-FR"/>
        </w:rPr>
      </w:pPr>
      <w:r>
        <w:rPr>
          <w:sz w:val="22"/>
          <w:szCs w:val="22"/>
          <w:lang w:val="fr-FR"/>
        </w:rPr>
        <w:lastRenderedPageBreak/>
        <w:t>En application des décisions</w:t>
      </w:r>
      <w:r w:rsidR="000D45E9" w:rsidRPr="000D45E9">
        <w:rPr>
          <w:sz w:val="22"/>
          <w:szCs w:val="22"/>
          <w:lang w:val="fr-FR"/>
        </w:rPr>
        <w:t xml:space="preserve"> CP-9/7 </w:t>
      </w:r>
      <w:r>
        <w:rPr>
          <w:sz w:val="22"/>
          <w:szCs w:val="22"/>
          <w:lang w:val="fr-FR"/>
        </w:rPr>
        <w:t>et</w:t>
      </w:r>
      <w:r w:rsidR="000D45E9" w:rsidRPr="000D45E9">
        <w:rPr>
          <w:sz w:val="22"/>
          <w:szCs w:val="22"/>
          <w:lang w:val="fr-FR"/>
        </w:rPr>
        <w:t xml:space="preserve"> CP-9/3, </w:t>
      </w:r>
      <w:r>
        <w:rPr>
          <w:sz w:val="22"/>
          <w:szCs w:val="22"/>
          <w:lang w:val="fr-FR"/>
        </w:rPr>
        <w:t xml:space="preserve">à sa troisième réunion, l’Organe subsidiaire devrait examiner le projet de plan d’application du Protocole de Cartagena et de plan d’action pour le renforcement des capacités </w:t>
      </w:r>
      <w:r w:rsidR="000D45E9" w:rsidRPr="000D45E9">
        <w:rPr>
          <w:sz w:val="22"/>
          <w:szCs w:val="22"/>
          <w:lang w:val="fr-FR"/>
        </w:rPr>
        <w:t xml:space="preserve">(2021-2030) </w:t>
      </w:r>
      <w:r w:rsidR="00CF5904">
        <w:rPr>
          <w:sz w:val="22"/>
          <w:szCs w:val="22"/>
          <w:lang w:val="fr-FR"/>
        </w:rPr>
        <w:t>et faire une recommandation aux Parties au Protocole de Cartagena à leur dixième réunion. Seules les Parties au Protocole de Cartagena participeront à la prise de décisions sur ce point pendant la dixième réunion de l’Organe subsidiaire.</w:t>
      </w:r>
    </w:p>
    <w:p w14:paraId="0839ABE2" w14:textId="567E51F1" w:rsidR="00683FCE" w:rsidRPr="00620E85" w:rsidRDefault="00683FCE" w:rsidP="00CF5904">
      <w:pPr>
        <w:pStyle w:val="Heading1"/>
        <w:suppressLineNumbers/>
        <w:tabs>
          <w:tab w:val="clear" w:pos="720"/>
          <w:tab w:val="left" w:pos="1134"/>
        </w:tabs>
        <w:suppressAutoHyphens/>
        <w:spacing w:before="120"/>
        <w:rPr>
          <w:snapToGrid w:val="0"/>
          <w:lang w:val="fr-FR"/>
        </w:rPr>
      </w:pPr>
      <w:r w:rsidRPr="00B015B5">
        <w:rPr>
          <w:snapToGrid w:val="0"/>
          <w:lang w:val="fr-FR"/>
        </w:rPr>
        <w:t xml:space="preserve"> </w:t>
      </w:r>
      <w:r w:rsidR="00CF5904" w:rsidRPr="00B015B5">
        <w:rPr>
          <w:snapToGrid w:val="0"/>
          <w:kern w:val="22"/>
          <w:sz w:val="22"/>
          <w:szCs w:val="22"/>
          <w:lang w:val="fr-FR"/>
        </w:rPr>
        <w:t xml:space="preserve">point </w:t>
      </w:r>
      <w:r w:rsidRPr="00B015B5">
        <w:rPr>
          <w:snapToGrid w:val="0"/>
          <w:kern w:val="22"/>
          <w:sz w:val="22"/>
          <w:szCs w:val="22"/>
          <w:lang w:val="fr-FR"/>
        </w:rPr>
        <w:t>6.</w:t>
      </w:r>
      <w:r w:rsidR="003E65DA" w:rsidRPr="00B015B5">
        <w:rPr>
          <w:snapToGrid w:val="0"/>
          <w:kern w:val="22"/>
          <w:sz w:val="22"/>
          <w:szCs w:val="22"/>
          <w:lang w:val="fr-FR"/>
        </w:rPr>
        <w:tab/>
      </w:r>
      <w:r w:rsidR="005364FC" w:rsidRPr="00B015B5">
        <w:rPr>
          <w:snapToGrid w:val="0"/>
          <w:kern w:val="22"/>
          <w:sz w:val="22"/>
          <w:szCs w:val="22"/>
          <w:lang w:val="fr-FR"/>
        </w:rPr>
        <w:t>mobilisation des ressources et mÉcanisme de financement</w:t>
      </w:r>
    </w:p>
    <w:p w14:paraId="2783BED1" w14:textId="608EBBC5" w:rsidR="00683FCE" w:rsidRPr="00620E85" w:rsidRDefault="00DA076F" w:rsidP="00ED543F">
      <w:pPr>
        <w:keepNext/>
        <w:suppressLineNumbers/>
        <w:tabs>
          <w:tab w:val="left" w:pos="426"/>
        </w:tabs>
        <w:suppressAutoHyphens/>
        <w:spacing w:before="120" w:after="120"/>
        <w:jc w:val="center"/>
        <w:rPr>
          <w:b/>
          <w:iCs/>
          <w:snapToGrid w:val="0"/>
          <w:kern w:val="22"/>
          <w:sz w:val="22"/>
          <w:szCs w:val="22"/>
          <w:lang w:val="fr-FR"/>
        </w:rPr>
      </w:pPr>
      <w:r w:rsidRPr="00620E85">
        <w:rPr>
          <w:b/>
          <w:iCs/>
          <w:snapToGrid w:val="0"/>
          <w:kern w:val="22"/>
          <w:sz w:val="22"/>
          <w:szCs w:val="22"/>
          <w:lang w:val="fr-FR"/>
        </w:rPr>
        <w:t>A.</w:t>
      </w:r>
      <w:r w:rsidRPr="00620E85">
        <w:rPr>
          <w:b/>
          <w:iCs/>
          <w:snapToGrid w:val="0"/>
          <w:kern w:val="22"/>
          <w:sz w:val="22"/>
          <w:szCs w:val="22"/>
          <w:lang w:val="fr-FR"/>
        </w:rPr>
        <w:tab/>
      </w:r>
      <w:r w:rsidR="005364FC" w:rsidRPr="00620E85">
        <w:rPr>
          <w:b/>
          <w:iCs/>
          <w:snapToGrid w:val="0"/>
          <w:kern w:val="22"/>
          <w:sz w:val="22"/>
          <w:szCs w:val="22"/>
          <w:lang w:val="fr-FR"/>
        </w:rPr>
        <w:t>Mobilisation des ressources</w:t>
      </w:r>
    </w:p>
    <w:p w14:paraId="043C16DF" w14:textId="520A9BB1" w:rsidR="006E2B21" w:rsidRPr="00620E85" w:rsidRDefault="005A33EE"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6E2B21" w:rsidRPr="00620E85">
        <w:rPr>
          <w:bCs/>
          <w:kern w:val="22"/>
          <w:sz w:val="22"/>
          <w:szCs w:val="22"/>
          <w:lang w:val="fr-FR"/>
        </w:rPr>
        <w:t xml:space="preserve"> </w:t>
      </w:r>
      <w:hyperlink r:id="rId31" w:history="1">
        <w:r w:rsidR="006E2B21" w:rsidRPr="00620E85">
          <w:rPr>
            <w:rStyle w:val="Hyperlink"/>
            <w:sz w:val="22"/>
            <w:szCs w:val="22"/>
            <w:lang w:val="fr-FR"/>
          </w:rPr>
          <w:t>14/22</w:t>
        </w:r>
      </w:hyperlink>
      <w:r w:rsidR="00F46A12" w:rsidRPr="00620E85">
        <w:rPr>
          <w:bCs/>
          <w:kern w:val="22"/>
          <w:sz w:val="22"/>
          <w:szCs w:val="22"/>
          <w:lang w:val="fr-FR"/>
        </w:rPr>
        <w:t>,</w:t>
      </w:r>
      <w:r w:rsidR="006E2B21" w:rsidRPr="00620E85">
        <w:rPr>
          <w:bCs/>
          <w:kern w:val="22"/>
          <w:sz w:val="22"/>
          <w:szCs w:val="22"/>
          <w:lang w:val="fr-FR"/>
        </w:rPr>
        <w:t xml:space="preserve"> </w:t>
      </w:r>
      <w:r>
        <w:rPr>
          <w:bCs/>
          <w:kern w:val="22"/>
          <w:sz w:val="22"/>
          <w:szCs w:val="22"/>
          <w:lang w:val="fr-FR"/>
        </w:rPr>
        <w:t xml:space="preserve">la Conférence des Parties a affirmé que la mobilisation des ressources ferait partie intégrante du cadre mondial de la biodiversité pour l’après-2020 et décidé </w:t>
      </w:r>
      <w:r w:rsidR="003550A0" w:rsidRPr="003550A0">
        <w:rPr>
          <w:kern w:val="22"/>
          <w:sz w:val="22"/>
          <w:szCs w:val="22"/>
          <w:lang w:val="fr-FR"/>
        </w:rPr>
        <w:t>de commencer la préparation de cet élément au tout début du processus d’élaboration de ce cadre, en pleine cohérence et coordination avec le processus global d’élaboration du cadre p</w:t>
      </w:r>
      <w:r w:rsidR="003550A0">
        <w:rPr>
          <w:kern w:val="22"/>
          <w:sz w:val="22"/>
          <w:szCs w:val="22"/>
          <w:lang w:val="fr-FR"/>
        </w:rPr>
        <w:t xml:space="preserve">our l’après-2020. Dans le cadre du processus d’examen de cette question, la Secrétaire exécutive a été priée de charger un groupe d’experts </w:t>
      </w:r>
      <w:r w:rsidR="003550A0" w:rsidRPr="003550A0">
        <w:rPr>
          <w:spacing w:val="-1"/>
          <w:kern w:val="22"/>
          <w:sz w:val="22"/>
          <w:szCs w:val="22"/>
          <w:lang w:val="fr-FR"/>
        </w:rPr>
        <w:t>d'établir des rapports</w:t>
      </w:r>
      <w:r w:rsidR="003E6E42">
        <w:rPr>
          <w:spacing w:val="-1"/>
          <w:kern w:val="22"/>
          <w:sz w:val="22"/>
          <w:szCs w:val="22"/>
          <w:lang w:val="fr-FR"/>
        </w:rPr>
        <w:t xml:space="preserve"> sur plusieurs questions liées à l</w:t>
      </w:r>
      <w:r w:rsidR="00847E0D">
        <w:rPr>
          <w:spacing w:val="-1"/>
          <w:kern w:val="22"/>
          <w:sz w:val="22"/>
          <w:szCs w:val="22"/>
          <w:lang w:val="fr-FR"/>
        </w:rPr>
        <w:t xml:space="preserve">’élaboration de l’élément </w:t>
      </w:r>
      <w:r w:rsidR="003E6E42">
        <w:rPr>
          <w:spacing w:val="-1"/>
          <w:kern w:val="22"/>
          <w:sz w:val="22"/>
          <w:szCs w:val="22"/>
          <w:lang w:val="fr-FR"/>
        </w:rPr>
        <w:t xml:space="preserve">mobilisation des ressources </w:t>
      </w:r>
      <w:r w:rsidR="000F27AD" w:rsidRPr="00620E85">
        <w:rPr>
          <w:bCs/>
          <w:kern w:val="22"/>
          <w:sz w:val="22"/>
          <w:szCs w:val="22"/>
          <w:lang w:val="fr-FR"/>
        </w:rPr>
        <w:t>(</w:t>
      </w:r>
      <w:r w:rsidR="003E6E42">
        <w:rPr>
          <w:bCs/>
          <w:kern w:val="22"/>
          <w:sz w:val="22"/>
          <w:szCs w:val="22"/>
          <w:lang w:val="fr-FR"/>
        </w:rPr>
        <w:t>annexe de la décision</w:t>
      </w:r>
      <w:r w:rsidR="000F27AD" w:rsidRPr="00620E85">
        <w:rPr>
          <w:bCs/>
          <w:kern w:val="22"/>
          <w:sz w:val="22"/>
          <w:szCs w:val="22"/>
          <w:lang w:val="fr-FR"/>
        </w:rPr>
        <w:t xml:space="preserve"> </w:t>
      </w:r>
      <w:hyperlink r:id="rId32" w:history="1">
        <w:r w:rsidR="00375463" w:rsidRPr="00620E85">
          <w:rPr>
            <w:rStyle w:val="Hyperlink"/>
            <w:bCs/>
            <w:kern w:val="22"/>
            <w:sz w:val="22"/>
            <w:szCs w:val="22"/>
            <w:lang w:val="fr-FR"/>
          </w:rPr>
          <w:t>IX/11</w:t>
        </w:r>
      </w:hyperlink>
      <w:r w:rsidR="000F27AD" w:rsidRPr="00620E85">
        <w:rPr>
          <w:bCs/>
          <w:kern w:val="22"/>
          <w:sz w:val="22"/>
          <w:szCs w:val="22"/>
          <w:lang w:val="fr-FR"/>
        </w:rPr>
        <w:t xml:space="preserve">) </w:t>
      </w:r>
      <w:r w:rsidR="003E6E42">
        <w:rPr>
          <w:bCs/>
          <w:kern w:val="22"/>
          <w:sz w:val="22"/>
          <w:szCs w:val="22"/>
          <w:lang w:val="fr-FR"/>
        </w:rPr>
        <w:t>afin d’éclairer les travaux du Groupe de travail à composition non limitée sur le cadre mondial de la biodiversité pour l’après-2020 et de la Conférence des Parties.</w:t>
      </w:r>
    </w:p>
    <w:p w14:paraId="10460C4E" w14:textId="4CDDFA75" w:rsidR="00B20966" w:rsidRPr="00620E85" w:rsidRDefault="00847E0D"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chargé de l’application pourrait souhaiter examiner les </w:t>
      </w:r>
      <w:r w:rsidR="0060143C">
        <w:rPr>
          <w:bCs/>
          <w:kern w:val="22"/>
          <w:sz w:val="22"/>
          <w:szCs w:val="22"/>
          <w:lang w:val="fr-FR"/>
        </w:rPr>
        <w:t>résultats</w:t>
      </w:r>
      <w:r>
        <w:rPr>
          <w:bCs/>
          <w:kern w:val="22"/>
          <w:sz w:val="22"/>
          <w:szCs w:val="22"/>
          <w:lang w:val="fr-FR"/>
        </w:rPr>
        <w:t xml:space="preserve"> de ce processus </w:t>
      </w:r>
      <w:r w:rsidR="0060143C">
        <w:rPr>
          <w:bCs/>
          <w:kern w:val="22"/>
          <w:sz w:val="22"/>
          <w:szCs w:val="22"/>
          <w:lang w:val="fr-FR"/>
        </w:rPr>
        <w:t xml:space="preserve">présentés dans le document </w:t>
      </w:r>
      <w:r w:rsidR="0060143C" w:rsidRPr="00620E85">
        <w:rPr>
          <w:bCs/>
          <w:kern w:val="22"/>
          <w:sz w:val="22"/>
          <w:szCs w:val="22"/>
          <w:lang w:val="fr-FR"/>
        </w:rPr>
        <w:t>CBD/SBI/3/5</w:t>
      </w:r>
      <w:r w:rsidR="0060143C">
        <w:rPr>
          <w:bCs/>
          <w:kern w:val="22"/>
          <w:sz w:val="22"/>
          <w:szCs w:val="22"/>
          <w:lang w:val="fr-FR"/>
        </w:rPr>
        <w:t xml:space="preserve">, les additifs connexes et les notes d’information, et formuler sa recommandation en s’appuyant sur la contribution du groupe d’experts, pour examen par le Groupe de travail sur le cadre mondial de la biodiversité </w:t>
      </w:r>
      <w:r w:rsidR="00D255E0" w:rsidRPr="00620E85">
        <w:rPr>
          <w:bCs/>
          <w:kern w:val="22"/>
          <w:sz w:val="22"/>
          <w:szCs w:val="22"/>
          <w:lang w:val="fr-FR"/>
        </w:rPr>
        <w:t>S</w:t>
      </w:r>
      <w:r w:rsidR="006340E8">
        <w:rPr>
          <w:bCs/>
          <w:kern w:val="22"/>
          <w:sz w:val="22"/>
          <w:szCs w:val="22"/>
          <w:lang w:val="fr-FR"/>
        </w:rPr>
        <w:t>ous-réserve d’un examen par le Groupe de travail</w:t>
      </w:r>
      <w:r w:rsidR="0060143C">
        <w:rPr>
          <w:bCs/>
          <w:kern w:val="22"/>
          <w:sz w:val="22"/>
          <w:szCs w:val="22"/>
          <w:lang w:val="fr-FR"/>
        </w:rPr>
        <w:t xml:space="preserve"> à composition non limitée</w:t>
      </w:r>
      <w:r w:rsidR="006340E8">
        <w:rPr>
          <w:bCs/>
          <w:kern w:val="22"/>
          <w:sz w:val="22"/>
          <w:szCs w:val="22"/>
          <w:lang w:val="fr-FR"/>
        </w:rPr>
        <w:t xml:space="preserve"> sur le cadre mondial de la biodiversité pour l’après-2020 à sa </w:t>
      </w:r>
      <w:r w:rsidR="0060143C">
        <w:rPr>
          <w:bCs/>
          <w:kern w:val="22"/>
          <w:sz w:val="22"/>
          <w:szCs w:val="22"/>
          <w:lang w:val="fr-FR"/>
        </w:rPr>
        <w:t>trois</w:t>
      </w:r>
      <w:r w:rsidR="006340E8">
        <w:rPr>
          <w:bCs/>
          <w:kern w:val="22"/>
          <w:sz w:val="22"/>
          <w:szCs w:val="22"/>
          <w:lang w:val="fr-FR"/>
        </w:rPr>
        <w:t>ième réunion</w:t>
      </w:r>
      <w:r w:rsidR="00A5626B">
        <w:rPr>
          <w:bCs/>
          <w:kern w:val="22"/>
          <w:sz w:val="22"/>
          <w:szCs w:val="22"/>
          <w:lang w:val="fr-FR"/>
        </w:rPr>
        <w:t xml:space="preserve">  et la Conférence des Parties à sa quinzième réunion.</w:t>
      </w:r>
    </w:p>
    <w:p w14:paraId="6A52D504" w14:textId="1FD4188D" w:rsidR="000B56BE" w:rsidRPr="00620E85" w:rsidRDefault="00DA076F" w:rsidP="00ED543F">
      <w:pPr>
        <w:keepNext/>
        <w:suppressLineNumbers/>
        <w:tabs>
          <w:tab w:val="left" w:pos="426"/>
        </w:tabs>
        <w:suppressAutoHyphens/>
        <w:spacing w:before="120" w:after="120"/>
        <w:jc w:val="center"/>
        <w:rPr>
          <w:b/>
          <w:iCs/>
          <w:kern w:val="22"/>
          <w:sz w:val="22"/>
          <w:szCs w:val="22"/>
          <w:lang w:val="fr-FR"/>
        </w:rPr>
      </w:pPr>
      <w:r w:rsidRPr="00620E85">
        <w:rPr>
          <w:b/>
          <w:iCs/>
          <w:snapToGrid w:val="0"/>
          <w:kern w:val="22"/>
          <w:sz w:val="22"/>
          <w:szCs w:val="22"/>
          <w:lang w:val="fr-FR"/>
        </w:rPr>
        <w:t>B.</w:t>
      </w:r>
      <w:r w:rsidRPr="00620E85">
        <w:rPr>
          <w:b/>
          <w:iCs/>
          <w:snapToGrid w:val="0"/>
          <w:kern w:val="22"/>
          <w:sz w:val="22"/>
          <w:szCs w:val="22"/>
          <w:lang w:val="fr-FR"/>
        </w:rPr>
        <w:tab/>
      </w:r>
      <w:r w:rsidR="00620E85" w:rsidRPr="00620E85">
        <w:rPr>
          <w:b/>
          <w:iCs/>
          <w:snapToGrid w:val="0"/>
          <w:kern w:val="22"/>
          <w:sz w:val="22"/>
          <w:szCs w:val="22"/>
          <w:lang w:val="fr-FR"/>
        </w:rPr>
        <w:t>Mécanisme de financement</w:t>
      </w:r>
    </w:p>
    <w:p w14:paraId="06C2DBA4" w14:textId="67CEB4FC" w:rsidR="006E2B21" w:rsidRPr="00620E85" w:rsidRDefault="00564D8F"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En application de la demande qui lui a été faite dans la décision</w:t>
      </w:r>
      <w:r w:rsidR="00C207B6" w:rsidRPr="00620E85">
        <w:rPr>
          <w:bCs/>
          <w:kern w:val="22"/>
          <w:sz w:val="22"/>
          <w:szCs w:val="22"/>
          <w:lang w:val="fr-FR"/>
        </w:rPr>
        <w:t xml:space="preserve"> </w:t>
      </w:r>
      <w:hyperlink r:id="rId33" w:history="1">
        <w:r w:rsidR="00C207B6" w:rsidRPr="00620E85">
          <w:rPr>
            <w:rStyle w:val="Hyperlink"/>
            <w:sz w:val="22"/>
            <w:szCs w:val="22"/>
            <w:lang w:val="fr-FR"/>
          </w:rPr>
          <w:t>14/23</w:t>
        </w:r>
      </w:hyperlink>
      <w:r w:rsidR="00B20966" w:rsidRPr="00620E85">
        <w:rPr>
          <w:bCs/>
          <w:kern w:val="22"/>
          <w:sz w:val="22"/>
          <w:szCs w:val="22"/>
          <w:lang w:val="fr-FR"/>
        </w:rPr>
        <w:t xml:space="preserve">, </w:t>
      </w:r>
      <w:r>
        <w:rPr>
          <w:bCs/>
          <w:kern w:val="22"/>
          <w:sz w:val="22"/>
          <w:szCs w:val="22"/>
          <w:lang w:val="fr-FR"/>
        </w:rPr>
        <w:t xml:space="preserve">l’Organe subsidiaire formulera, à sa troisième réunion, des propositions </w:t>
      </w:r>
      <w:r w:rsidRPr="00564D8F">
        <w:rPr>
          <w:kern w:val="22"/>
          <w:sz w:val="22"/>
          <w:szCs w:val="22"/>
          <w:lang w:val="fr-FR" w:eastAsia="fr-FR"/>
        </w:rPr>
        <w:t>sur un cadre quadriennal des priorités du programme axé sur les résultats pour la huitième période de reconstitution (juillet 2022 à juin 2026) du fonds d’affectation spéciale du Fonds pour l’environnement mondial, correspondant au projet de cadre mondial de la biodiversité pour l’après-2020</w:t>
      </w:r>
      <w:r>
        <w:rPr>
          <w:kern w:val="22"/>
          <w:sz w:val="22"/>
          <w:szCs w:val="22"/>
          <w:lang w:val="fr-FR" w:eastAsia="fr-FR"/>
        </w:rPr>
        <w:t xml:space="preserve">. L’Organe subsidiaire examinera </w:t>
      </w:r>
      <w:r w:rsidR="003B1CCA">
        <w:rPr>
          <w:kern w:val="22"/>
          <w:sz w:val="22"/>
          <w:szCs w:val="22"/>
          <w:lang w:val="fr-FR" w:eastAsia="fr-FR"/>
        </w:rPr>
        <w:t>aussi</w:t>
      </w:r>
      <w:r>
        <w:rPr>
          <w:kern w:val="22"/>
          <w:sz w:val="22"/>
          <w:szCs w:val="22"/>
          <w:lang w:val="fr-FR" w:eastAsia="fr-FR"/>
        </w:rPr>
        <w:t xml:space="preserve"> une compilation </w:t>
      </w:r>
      <w:r w:rsidRPr="00564D8F">
        <w:rPr>
          <w:kern w:val="22"/>
          <w:sz w:val="22"/>
          <w:szCs w:val="22"/>
          <w:lang w:val="fr-FR" w:eastAsia="fr-FR"/>
        </w:rPr>
        <w:t>des besoins de financement et d’investissements communiqués par les Parties concernées, comme source d’information pour la troisième détermination des exigences de financement en prévision de la huitième reconstitution du fonds d’affectation spéciale du Fonds pour l’environnement mondial</w:t>
      </w:r>
      <w:r w:rsidR="003B1CCA">
        <w:rPr>
          <w:bCs/>
          <w:kern w:val="22"/>
          <w:sz w:val="22"/>
          <w:szCs w:val="22"/>
          <w:lang w:val="fr-FR"/>
        </w:rPr>
        <w:t xml:space="preserve"> </w:t>
      </w:r>
      <w:r w:rsidR="00BE1B03" w:rsidRPr="00620E85">
        <w:rPr>
          <w:bCs/>
          <w:kern w:val="22"/>
          <w:sz w:val="22"/>
          <w:szCs w:val="22"/>
          <w:lang w:val="fr-FR"/>
        </w:rPr>
        <w:t>(CBD/SBI/3/6)</w:t>
      </w:r>
      <w:r w:rsidR="00FB4B38">
        <w:rPr>
          <w:bCs/>
          <w:kern w:val="22"/>
          <w:sz w:val="22"/>
          <w:szCs w:val="22"/>
          <w:lang w:val="fr-FR"/>
        </w:rPr>
        <w:t xml:space="preserve">, ainsi qu’un document sur l’évaluation en détail du financement nécessaire et disponible pour la mise en œuvre de la Convention </w:t>
      </w:r>
      <w:r w:rsidR="00A1798E">
        <w:rPr>
          <w:bCs/>
          <w:kern w:val="22"/>
          <w:sz w:val="22"/>
          <w:szCs w:val="22"/>
          <w:lang w:val="fr-FR"/>
        </w:rPr>
        <w:t xml:space="preserve">pour la période allant de juillet 2022 à juin 2026. </w:t>
      </w:r>
      <w:r w:rsidR="003B1CCA">
        <w:rPr>
          <w:bCs/>
          <w:kern w:val="22"/>
          <w:sz w:val="22"/>
          <w:szCs w:val="22"/>
          <w:lang w:val="fr-FR"/>
        </w:rPr>
        <w:t xml:space="preserve">L’Organe subsidiaire se penchera en outre sur le mandat pour la sixième évaluation de l’efficacité du mécanisme de financement élaboré par la Secrétaire exécutive </w:t>
      </w:r>
      <w:r w:rsidR="00347DCA">
        <w:rPr>
          <w:bCs/>
          <w:kern w:val="22"/>
          <w:sz w:val="22"/>
          <w:szCs w:val="22"/>
          <w:lang w:val="fr-FR"/>
        </w:rPr>
        <w:t>aux fins d’examen par la Conférence des Parties à sa seizième réunion.</w:t>
      </w:r>
    </w:p>
    <w:p w14:paraId="7C70C63E" w14:textId="5E3674DC" w:rsidR="006E2B21" w:rsidRPr="00620E85" w:rsidRDefault="00347DCA" w:rsidP="00ED543F">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Un avant-projet de rapport du Conseil du Fonds pour l’environnement mondial sera également diffusé pour examen par l’Organe subsidiaire </w:t>
      </w:r>
      <w:r w:rsidR="00BE1B03" w:rsidRPr="00620E85">
        <w:rPr>
          <w:bCs/>
          <w:kern w:val="22"/>
          <w:sz w:val="22"/>
          <w:szCs w:val="22"/>
          <w:lang w:val="fr-FR"/>
        </w:rPr>
        <w:t>(CBD/SBI/3/</w:t>
      </w:r>
      <w:r w:rsidR="003576DA" w:rsidRPr="00620E85">
        <w:rPr>
          <w:bCs/>
          <w:kern w:val="22"/>
          <w:sz w:val="22"/>
          <w:szCs w:val="22"/>
          <w:lang w:val="fr-FR"/>
        </w:rPr>
        <w:t>6/Add.1</w:t>
      </w:r>
      <w:r w:rsidR="00BE1B03" w:rsidRPr="00620E85">
        <w:rPr>
          <w:bCs/>
          <w:kern w:val="22"/>
          <w:sz w:val="22"/>
          <w:szCs w:val="22"/>
          <w:lang w:val="fr-FR"/>
        </w:rPr>
        <w:t>)</w:t>
      </w:r>
      <w:r w:rsidR="00084640" w:rsidRPr="00620E85">
        <w:rPr>
          <w:bCs/>
          <w:kern w:val="22"/>
          <w:sz w:val="22"/>
          <w:szCs w:val="22"/>
          <w:lang w:val="fr-FR"/>
        </w:rPr>
        <w:t>.</w:t>
      </w:r>
    </w:p>
    <w:p w14:paraId="0D72240D" w14:textId="678D3331" w:rsidR="00B20966" w:rsidRPr="00B015B5" w:rsidRDefault="00347DCA" w:rsidP="00ED543F">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devrait </w:t>
      </w:r>
      <w:r w:rsidR="00BD5BFC">
        <w:rPr>
          <w:bCs/>
          <w:kern w:val="22"/>
          <w:sz w:val="22"/>
          <w:szCs w:val="22"/>
          <w:lang w:val="fr-FR"/>
        </w:rPr>
        <w:t xml:space="preserve">faire des </w:t>
      </w:r>
      <w:r>
        <w:rPr>
          <w:bCs/>
          <w:kern w:val="22"/>
          <w:sz w:val="22"/>
          <w:szCs w:val="22"/>
          <w:lang w:val="fr-FR"/>
        </w:rPr>
        <w:t>recommandations sur ces questions à la Conférence des Parties et la Conférence des Parties siégeant en tant que réunions des Parties aux protocoles de Cartagena et de Nagoya.</w:t>
      </w:r>
    </w:p>
    <w:p w14:paraId="6EDDAD02" w14:textId="28F3F0C3" w:rsidR="00F01320" w:rsidRPr="00BD5BFC" w:rsidRDefault="00BD5BFC" w:rsidP="00ED543F">
      <w:pPr>
        <w:pStyle w:val="Heading1"/>
        <w:suppressLineNumbers/>
        <w:suppressAutoHyphens/>
        <w:spacing w:before="120"/>
        <w:ind w:left="1417" w:hanging="992"/>
        <w:jc w:val="left"/>
        <w:rPr>
          <w:snapToGrid w:val="0"/>
          <w:kern w:val="22"/>
          <w:sz w:val="22"/>
          <w:szCs w:val="22"/>
          <w:lang w:val="fr-FR"/>
        </w:rPr>
      </w:pPr>
      <w:r w:rsidRPr="00BD5BFC">
        <w:rPr>
          <w:snapToGrid w:val="0"/>
          <w:kern w:val="22"/>
          <w:sz w:val="22"/>
          <w:szCs w:val="22"/>
          <w:lang w:val="fr-FR"/>
        </w:rPr>
        <w:lastRenderedPageBreak/>
        <w:t>point</w:t>
      </w:r>
      <w:r w:rsidR="00F73A9F" w:rsidRPr="00BD5BFC">
        <w:rPr>
          <w:snapToGrid w:val="0"/>
          <w:kern w:val="22"/>
          <w:sz w:val="22"/>
          <w:szCs w:val="22"/>
          <w:lang w:val="fr-FR"/>
        </w:rPr>
        <w:t xml:space="preserve"> </w:t>
      </w:r>
      <w:r w:rsidR="00156977" w:rsidRPr="00BD5BFC">
        <w:rPr>
          <w:snapToGrid w:val="0"/>
          <w:kern w:val="22"/>
          <w:sz w:val="22"/>
          <w:szCs w:val="22"/>
          <w:lang w:val="fr-FR"/>
        </w:rPr>
        <w:t>7</w:t>
      </w:r>
      <w:r w:rsidR="00F73A9F" w:rsidRPr="00BD5BFC">
        <w:rPr>
          <w:snapToGrid w:val="0"/>
          <w:kern w:val="22"/>
          <w:sz w:val="22"/>
          <w:szCs w:val="22"/>
          <w:lang w:val="fr-FR"/>
        </w:rPr>
        <w:t>.</w:t>
      </w:r>
      <w:r w:rsidR="00331C98" w:rsidRPr="00BD5BFC">
        <w:rPr>
          <w:snapToGrid w:val="0"/>
          <w:kern w:val="22"/>
          <w:sz w:val="22"/>
          <w:szCs w:val="22"/>
          <w:lang w:val="fr-FR"/>
        </w:rPr>
        <w:tab/>
      </w:r>
      <w:r w:rsidRPr="00BD5BFC">
        <w:rPr>
          <w:snapToGrid w:val="0"/>
          <w:kern w:val="22"/>
          <w:sz w:val="22"/>
          <w:szCs w:val="22"/>
          <w:lang w:val="fr-FR"/>
        </w:rPr>
        <w:t>renforcement des capaci</w:t>
      </w:r>
      <w:r w:rsidR="00985693">
        <w:rPr>
          <w:snapToGrid w:val="0"/>
          <w:kern w:val="22"/>
          <w:sz w:val="22"/>
          <w:szCs w:val="22"/>
          <w:lang w:val="fr-FR"/>
        </w:rPr>
        <w:t>tÉ</w:t>
      </w:r>
      <w:r w:rsidRPr="00BD5BFC">
        <w:rPr>
          <w:snapToGrid w:val="0"/>
          <w:kern w:val="22"/>
          <w:sz w:val="22"/>
          <w:szCs w:val="22"/>
          <w:lang w:val="fr-FR"/>
        </w:rPr>
        <w:t>s</w:t>
      </w:r>
      <w:r w:rsidR="00F73A9F" w:rsidRPr="00BD5BFC">
        <w:rPr>
          <w:snapToGrid w:val="0"/>
          <w:kern w:val="22"/>
          <w:sz w:val="22"/>
          <w:szCs w:val="22"/>
          <w:lang w:val="fr-FR"/>
        </w:rPr>
        <w:t xml:space="preserve">, </w:t>
      </w:r>
      <w:r w:rsidRPr="00BD5BFC">
        <w:rPr>
          <w:snapToGrid w:val="0"/>
          <w:kern w:val="22"/>
          <w:sz w:val="22"/>
          <w:szCs w:val="22"/>
          <w:lang w:val="fr-FR"/>
        </w:rPr>
        <w:t>coopÉration technique et scientifique, transfert de technologie, gestion des connaissances et communication</w:t>
      </w:r>
    </w:p>
    <w:p w14:paraId="49431EF6" w14:textId="623B7B18" w:rsidR="005C5008" w:rsidRPr="00BD5BFC" w:rsidRDefault="00FF76AC" w:rsidP="00ED543F">
      <w:pPr>
        <w:keepNext/>
        <w:suppressLineNumbers/>
        <w:tabs>
          <w:tab w:val="left" w:pos="426"/>
        </w:tabs>
        <w:suppressAutoHyphens/>
        <w:spacing w:before="120" w:after="120"/>
        <w:jc w:val="center"/>
        <w:rPr>
          <w:b/>
          <w:snapToGrid w:val="0"/>
          <w:kern w:val="22"/>
          <w:sz w:val="22"/>
          <w:szCs w:val="22"/>
          <w:lang w:val="fr-FR"/>
        </w:rPr>
      </w:pPr>
      <w:r w:rsidRPr="00BD5BFC">
        <w:rPr>
          <w:b/>
          <w:iCs/>
          <w:snapToGrid w:val="0"/>
          <w:kern w:val="22"/>
          <w:sz w:val="22"/>
          <w:szCs w:val="22"/>
          <w:lang w:val="fr-FR"/>
        </w:rPr>
        <w:t>A.</w:t>
      </w:r>
      <w:r w:rsidRPr="00BD5BFC">
        <w:rPr>
          <w:b/>
          <w:iCs/>
          <w:snapToGrid w:val="0"/>
          <w:kern w:val="22"/>
          <w:sz w:val="22"/>
          <w:szCs w:val="22"/>
          <w:lang w:val="fr-FR"/>
        </w:rPr>
        <w:tab/>
      </w:r>
      <w:r w:rsidR="00CE59B0">
        <w:rPr>
          <w:b/>
          <w:iCs/>
          <w:snapToGrid w:val="0"/>
          <w:kern w:val="22"/>
          <w:sz w:val="22"/>
          <w:szCs w:val="22"/>
          <w:lang w:val="fr-FR"/>
        </w:rPr>
        <w:t>Renforcement des capacités, coopération technique et scientifique, et transfert de technologie</w:t>
      </w:r>
    </w:p>
    <w:p w14:paraId="25387BA5" w14:textId="77777777" w:rsidR="002055EA" w:rsidRPr="002055EA" w:rsidRDefault="00CE59B0"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156977" w:rsidRPr="00BD5BFC">
        <w:rPr>
          <w:bCs/>
          <w:kern w:val="22"/>
          <w:sz w:val="22"/>
          <w:szCs w:val="22"/>
          <w:lang w:val="fr-FR"/>
        </w:rPr>
        <w:t xml:space="preserve"> </w:t>
      </w:r>
      <w:hyperlink r:id="rId34" w:history="1">
        <w:r w:rsidR="006E2B21" w:rsidRPr="00BD5BFC">
          <w:rPr>
            <w:rStyle w:val="Hyperlink"/>
            <w:sz w:val="22"/>
            <w:szCs w:val="22"/>
            <w:lang w:val="fr-FR"/>
          </w:rPr>
          <w:t>14/24</w:t>
        </w:r>
      </w:hyperlink>
      <w:r w:rsidR="00156977" w:rsidRPr="00BD5BFC">
        <w:rPr>
          <w:bCs/>
          <w:kern w:val="22"/>
          <w:sz w:val="22"/>
          <w:szCs w:val="22"/>
          <w:lang w:val="fr-FR"/>
        </w:rPr>
        <w:t>,</w:t>
      </w:r>
      <w:r w:rsidR="00295EC7">
        <w:rPr>
          <w:bCs/>
          <w:kern w:val="22"/>
          <w:sz w:val="22"/>
          <w:szCs w:val="22"/>
          <w:lang w:val="fr-FR"/>
        </w:rPr>
        <w:t xml:space="preserve"> la Conférence des Parties </w:t>
      </w:r>
      <w:r w:rsidR="00A1798E">
        <w:rPr>
          <w:bCs/>
          <w:kern w:val="22"/>
          <w:sz w:val="22"/>
          <w:szCs w:val="22"/>
          <w:lang w:val="fr-FR"/>
        </w:rPr>
        <w:t xml:space="preserve">a examiné </w:t>
      </w:r>
      <w:r w:rsidR="00295EC7">
        <w:rPr>
          <w:bCs/>
          <w:kern w:val="22"/>
          <w:sz w:val="22"/>
          <w:szCs w:val="22"/>
          <w:lang w:val="fr-FR"/>
        </w:rPr>
        <w:t xml:space="preserve">des questions relatives au renforcement des capacités, à la coopération technique et scientifique et au transfert de technologie. La Secrétaire exécutive a été priée </w:t>
      </w:r>
      <w:r w:rsidR="00A1798E">
        <w:rPr>
          <w:bCs/>
          <w:kern w:val="22"/>
          <w:sz w:val="22"/>
          <w:szCs w:val="22"/>
          <w:lang w:val="fr-FR"/>
        </w:rPr>
        <w:t xml:space="preserve">de mettre en train le processus d’élaboration d’un </w:t>
      </w:r>
      <w:r w:rsidR="00295EC7">
        <w:rPr>
          <w:bCs/>
          <w:kern w:val="22"/>
          <w:sz w:val="22"/>
          <w:szCs w:val="22"/>
          <w:lang w:val="fr-FR"/>
        </w:rPr>
        <w:t xml:space="preserve">projet </w:t>
      </w:r>
      <w:r w:rsidR="00295EC7" w:rsidRPr="00295EC7">
        <w:rPr>
          <w:bCs/>
          <w:kern w:val="22"/>
          <w:sz w:val="22"/>
          <w:szCs w:val="22"/>
          <w:lang w:val="fr-FR"/>
        </w:rPr>
        <w:t xml:space="preserve">de </w:t>
      </w:r>
      <w:r w:rsidR="00295EC7" w:rsidRPr="00295EC7">
        <w:rPr>
          <w:kern w:val="22"/>
          <w:sz w:val="22"/>
          <w:szCs w:val="22"/>
          <w:lang w:val="fr-FR"/>
        </w:rPr>
        <w:t>cadre stratégique à long terme pour le renforcement des capacités au-delà de 2020</w:t>
      </w:r>
      <w:r w:rsidR="00295EC7">
        <w:rPr>
          <w:kern w:val="22"/>
          <w:sz w:val="22"/>
          <w:szCs w:val="22"/>
          <w:lang w:val="fr-FR"/>
        </w:rPr>
        <w:t xml:space="preserve"> aligné sur le projet de cadre mondial de la biodiversité pour l’après-2020 et le</w:t>
      </w:r>
      <w:r w:rsidR="00651105">
        <w:rPr>
          <w:kern w:val="22"/>
          <w:sz w:val="22"/>
          <w:szCs w:val="22"/>
          <w:lang w:val="fr-FR"/>
        </w:rPr>
        <w:t xml:space="preserve"> </w:t>
      </w:r>
      <w:hyperlink r:id="rId35" w:history="1">
        <w:r w:rsidR="00651105" w:rsidRPr="000A1D42">
          <w:rPr>
            <w:rStyle w:val="Hyperlink"/>
            <w:kern w:val="22"/>
            <w:sz w:val="22"/>
            <w:szCs w:val="22"/>
            <w:lang w:val="fr-FR"/>
          </w:rPr>
          <w:t>Programme de développement durable à l’horizon 2030</w:t>
        </w:r>
      </w:hyperlink>
      <w:r w:rsidR="00651105">
        <w:rPr>
          <w:kern w:val="22"/>
          <w:sz w:val="22"/>
          <w:szCs w:val="22"/>
          <w:lang w:val="fr-FR"/>
        </w:rPr>
        <w:t>, pour examen par l’Organe subsidiaire à sa troisième réunion et pour examen ultérieur par la Conférence des Parties à sa quinzième réunion.</w:t>
      </w:r>
    </w:p>
    <w:p w14:paraId="2F079950" w14:textId="6550846C" w:rsidR="00005E4D" w:rsidRPr="00BD5BFC" w:rsidRDefault="000A1D42"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kern w:val="22"/>
          <w:sz w:val="22"/>
          <w:szCs w:val="22"/>
          <w:lang w:val="fr-FR"/>
        </w:rPr>
        <w:t xml:space="preserve">Par ailleurs, la Secrétaire exécutive a été priée </w:t>
      </w:r>
      <w:r w:rsidRPr="000A1D42">
        <w:rPr>
          <w:kern w:val="22"/>
          <w:sz w:val="22"/>
          <w:szCs w:val="22"/>
          <w:lang w:val="fr-FR"/>
        </w:rPr>
        <w:t>de continuer à promouvoir et à faciliter une coopération technique et scientifique</w:t>
      </w:r>
      <w:r>
        <w:rPr>
          <w:kern w:val="22"/>
          <w:sz w:val="22"/>
          <w:szCs w:val="22"/>
          <w:lang w:val="fr-FR"/>
        </w:rPr>
        <w:t xml:space="preserve">, y compris l’élaboration de propositions </w:t>
      </w:r>
      <w:r w:rsidRPr="000A1D42">
        <w:rPr>
          <w:kern w:val="22"/>
          <w:sz w:val="22"/>
          <w:szCs w:val="22"/>
          <w:lang w:val="fr-FR"/>
        </w:rPr>
        <w:t>concernant un processus ouvert à tous pour examiner et renouveler les programmes de coopération technique et scientifique</w:t>
      </w:r>
      <w:r w:rsidR="002055EA">
        <w:rPr>
          <w:kern w:val="22"/>
          <w:sz w:val="22"/>
          <w:szCs w:val="22"/>
          <w:lang w:val="fr-FR"/>
        </w:rPr>
        <w:t xml:space="preserve"> et de présenter des propositions pour examen par l’Organe subsidiaire chargé de fournir des avis scientifiques, techniques et technologiques et l’Organe subsidiaire chargé de l’application à leurs réunions précédant la quinzième réunion de la Conférence des Parties. Dans sa recommandation</w:t>
      </w:r>
      <w:r w:rsidR="00DD2C80">
        <w:rPr>
          <w:kern w:val="22"/>
          <w:sz w:val="22"/>
          <w:szCs w:val="22"/>
          <w:lang w:val="fr-FR"/>
        </w:rPr>
        <w:t xml:space="preserve"> 23/6,</w:t>
      </w:r>
      <w:r w:rsidR="00237CE9">
        <w:rPr>
          <w:kern w:val="22"/>
          <w:sz w:val="22"/>
          <w:szCs w:val="22"/>
          <w:lang w:val="fr-FR"/>
        </w:rPr>
        <w:t xml:space="preserve"> l’Organe subsidiaire </w:t>
      </w:r>
      <w:r w:rsidR="002B308A">
        <w:rPr>
          <w:kern w:val="22"/>
          <w:sz w:val="22"/>
          <w:szCs w:val="22"/>
          <w:lang w:val="fr-FR"/>
        </w:rPr>
        <w:t xml:space="preserve">a pris note des propositions et prié la Secrétaire exécutive de les développer en tenant compte des points de vue et suggestions des Parties, des autres Gouvernements et des organisations concernées et de fournir </w:t>
      </w:r>
      <w:r w:rsidR="00EA4F80">
        <w:rPr>
          <w:kern w:val="22"/>
          <w:sz w:val="22"/>
          <w:szCs w:val="22"/>
          <w:lang w:val="fr-FR"/>
        </w:rPr>
        <w:t xml:space="preserve">une compilation </w:t>
      </w:r>
      <w:r w:rsidR="00EA4F80" w:rsidRPr="00EA4F80">
        <w:rPr>
          <w:kern w:val="22"/>
          <w:sz w:val="22"/>
          <w:szCs w:val="22"/>
          <w:lang w:val="fr-FR"/>
        </w:rPr>
        <w:t>des arrangements institutionnels pertinents et des réseaux</w:t>
      </w:r>
      <w:r w:rsidR="00EA4F80">
        <w:rPr>
          <w:kern w:val="22"/>
          <w:sz w:val="22"/>
          <w:szCs w:val="22"/>
          <w:lang w:val="fr-FR"/>
        </w:rPr>
        <w:t xml:space="preserve"> de coopération technique et scientifiques concernant différents thèmes.</w:t>
      </w:r>
      <w:r w:rsidR="002055EA">
        <w:rPr>
          <w:kern w:val="22"/>
          <w:sz w:val="22"/>
          <w:szCs w:val="22"/>
          <w:lang w:val="fr-FR"/>
        </w:rPr>
        <w:t xml:space="preserve"> </w:t>
      </w:r>
    </w:p>
    <w:p w14:paraId="4F1C9A2C" w14:textId="26F892E0" w:rsidR="00BA5909" w:rsidRDefault="00BD0615"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BA5909" w:rsidRPr="00BD5BFC">
        <w:rPr>
          <w:bCs/>
          <w:kern w:val="22"/>
          <w:sz w:val="22"/>
          <w:szCs w:val="22"/>
          <w:lang w:val="fr-FR"/>
        </w:rPr>
        <w:t xml:space="preserve"> </w:t>
      </w:r>
      <w:hyperlink r:id="rId36" w:history="1">
        <w:r w:rsidR="00BA5909" w:rsidRPr="00BD5BFC">
          <w:rPr>
            <w:rStyle w:val="Hyperlink"/>
            <w:sz w:val="22"/>
            <w:szCs w:val="22"/>
            <w:lang w:val="fr-FR"/>
          </w:rPr>
          <w:t>CP-9/3</w:t>
        </w:r>
      </w:hyperlink>
      <w:r w:rsidR="00BA5909" w:rsidRPr="00BD5BFC">
        <w:rPr>
          <w:bCs/>
          <w:kern w:val="22"/>
          <w:sz w:val="22"/>
          <w:szCs w:val="22"/>
          <w:lang w:val="fr-FR"/>
        </w:rPr>
        <w:t xml:space="preserve">, </w:t>
      </w:r>
      <w:r>
        <w:rPr>
          <w:bCs/>
          <w:kern w:val="22"/>
          <w:sz w:val="22"/>
          <w:szCs w:val="22"/>
          <w:lang w:val="fr-FR"/>
        </w:rPr>
        <w:t xml:space="preserve">les Parties au Protocole de Cartagena ont reconnu </w:t>
      </w:r>
      <w:r w:rsidR="00F366DC" w:rsidRPr="00F366DC">
        <w:rPr>
          <w:snapToGrid/>
          <w:kern w:val="22"/>
          <w:sz w:val="22"/>
          <w:szCs w:val="22"/>
          <w:lang w:val="fr-FR"/>
        </w:rPr>
        <w:t xml:space="preserve">la nécessité d’élaborer un plan d’action spécifique pour le renforcement des capacités en vue de l’application du </w:t>
      </w:r>
      <w:r w:rsidR="00F366DC" w:rsidRPr="00F366DC">
        <w:rPr>
          <w:kern w:val="22"/>
          <w:sz w:val="22"/>
          <w:szCs w:val="22"/>
          <w:lang w:val="fr-FR"/>
        </w:rPr>
        <w:t xml:space="preserve">Protocole de Cartagena et de son Protocole additionnel, qui soit compatible avec </w:t>
      </w:r>
      <w:r w:rsidR="00EA4F80">
        <w:rPr>
          <w:kern w:val="22"/>
          <w:sz w:val="22"/>
          <w:szCs w:val="22"/>
          <w:lang w:val="fr-FR"/>
        </w:rPr>
        <w:t xml:space="preserve">le </w:t>
      </w:r>
      <w:r w:rsidR="00F366DC">
        <w:rPr>
          <w:kern w:val="22"/>
          <w:sz w:val="22"/>
          <w:szCs w:val="22"/>
          <w:lang w:val="fr-FR"/>
        </w:rPr>
        <w:t>plan d</w:t>
      </w:r>
      <w:r w:rsidR="00F446D8">
        <w:rPr>
          <w:kern w:val="22"/>
          <w:sz w:val="22"/>
          <w:szCs w:val="22"/>
          <w:lang w:val="fr-FR"/>
        </w:rPr>
        <w:t>’application</w:t>
      </w:r>
      <w:r w:rsidR="00F366DC">
        <w:rPr>
          <w:kern w:val="22"/>
          <w:sz w:val="22"/>
          <w:szCs w:val="22"/>
          <w:lang w:val="fr-FR"/>
        </w:rPr>
        <w:t xml:space="preserve"> du Protocole </w:t>
      </w:r>
      <w:r w:rsidR="001D6DEE">
        <w:rPr>
          <w:kern w:val="22"/>
          <w:sz w:val="22"/>
          <w:szCs w:val="22"/>
          <w:lang w:val="fr-FR"/>
        </w:rPr>
        <w:t>après 2020</w:t>
      </w:r>
      <w:r w:rsidR="00F366DC" w:rsidRPr="00F366DC">
        <w:rPr>
          <w:kern w:val="22"/>
          <w:sz w:val="22"/>
          <w:szCs w:val="22"/>
          <w:lang w:val="fr-FR"/>
        </w:rPr>
        <w:t xml:space="preserve">, et complémentaire du cadre stratégique à long terme pour le renforcement des capacités après </w:t>
      </w:r>
      <w:r w:rsidR="00F366DC" w:rsidRPr="00F366DC">
        <w:rPr>
          <w:snapToGrid/>
          <w:kern w:val="22"/>
          <w:sz w:val="22"/>
          <w:szCs w:val="22"/>
          <w:lang w:val="fr-FR"/>
        </w:rPr>
        <w:t>2020</w:t>
      </w:r>
      <w:r w:rsidR="00CF349D">
        <w:rPr>
          <w:snapToGrid/>
          <w:kern w:val="22"/>
          <w:sz w:val="22"/>
          <w:szCs w:val="22"/>
          <w:lang w:val="fr-FR"/>
        </w:rPr>
        <w:t>. Comme indiqué aux paragraphes 26 et 28 ci-dessus, l</w:t>
      </w:r>
      <w:r w:rsidR="00A62ED3">
        <w:rPr>
          <w:bCs/>
          <w:kern w:val="22"/>
          <w:sz w:val="22"/>
          <w:szCs w:val="22"/>
          <w:lang w:val="fr-FR"/>
        </w:rPr>
        <w:t xml:space="preserve">e projet de plan d’action pour le renforcement des capacités en vue de l’application du Protocole de Cartagena sera examiné avec </w:t>
      </w:r>
      <w:r w:rsidR="0019782A">
        <w:rPr>
          <w:bCs/>
          <w:kern w:val="22"/>
          <w:sz w:val="22"/>
          <w:szCs w:val="22"/>
          <w:lang w:val="fr-FR"/>
        </w:rPr>
        <w:t>le projet de plan d’application du Protocole au titre du point 5 de l’ordre du jour</w:t>
      </w:r>
      <w:r w:rsidR="00CF349D">
        <w:rPr>
          <w:bCs/>
          <w:kern w:val="22"/>
          <w:sz w:val="22"/>
          <w:szCs w:val="22"/>
          <w:lang w:val="fr-FR"/>
        </w:rPr>
        <w:t>, mais sera également pris en compte pendant l’examen du cadre stratégique à long terme pour le renforcement des capacités.</w:t>
      </w:r>
    </w:p>
    <w:p w14:paraId="7DCC420D" w14:textId="595C0583" w:rsidR="00CF349D" w:rsidRPr="00C71088" w:rsidRDefault="00CF349D"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C71088">
        <w:rPr>
          <w:bCs/>
          <w:kern w:val="22"/>
          <w:sz w:val="22"/>
          <w:szCs w:val="22"/>
          <w:lang w:val="fr-FR"/>
        </w:rPr>
        <w:t xml:space="preserve">Dans la décision </w:t>
      </w:r>
      <w:hyperlink r:id="rId37" w:history="1">
        <w:r w:rsidRPr="00C71088">
          <w:rPr>
            <w:rStyle w:val="Hyperlink"/>
            <w:sz w:val="22"/>
            <w:szCs w:val="22"/>
            <w:lang w:val="fr-FR"/>
          </w:rPr>
          <w:t>NP-3/5</w:t>
        </w:r>
      </w:hyperlink>
      <w:r w:rsidRPr="00C71088">
        <w:rPr>
          <w:rStyle w:val="Hyperlink"/>
          <w:sz w:val="22"/>
          <w:szCs w:val="22"/>
          <w:lang w:val="fr-FR"/>
        </w:rPr>
        <w:t xml:space="preserve"> B</w:t>
      </w:r>
      <w:r w:rsidRPr="00C71088">
        <w:rPr>
          <w:bCs/>
          <w:kern w:val="22"/>
          <w:sz w:val="22"/>
          <w:szCs w:val="22"/>
          <w:lang w:val="fr-FR"/>
        </w:rPr>
        <w:t>, les Parties au Protocole de Nagoya</w:t>
      </w:r>
      <w:r w:rsidR="00C71088" w:rsidRPr="00C71088">
        <w:rPr>
          <w:bCs/>
          <w:kern w:val="22"/>
          <w:sz w:val="22"/>
          <w:szCs w:val="22"/>
          <w:lang w:val="fr-FR"/>
        </w:rPr>
        <w:t xml:space="preserve"> ont </w:t>
      </w:r>
      <w:r w:rsidR="00C71088" w:rsidRPr="00C71088">
        <w:rPr>
          <w:kern w:val="22"/>
          <w:sz w:val="22"/>
          <w:szCs w:val="22"/>
          <w:lang w:val="fr-CA"/>
        </w:rPr>
        <w:t xml:space="preserve">accueilli avec satisfaction le </w:t>
      </w:r>
      <w:r w:rsidR="00C71088">
        <w:rPr>
          <w:kern w:val="22"/>
          <w:sz w:val="22"/>
          <w:szCs w:val="22"/>
          <w:lang w:val="fr-CA"/>
        </w:rPr>
        <w:t>processus d</w:t>
      </w:r>
      <w:r w:rsidR="00C71088" w:rsidRPr="00C71088">
        <w:rPr>
          <w:kern w:val="22"/>
          <w:sz w:val="22"/>
          <w:szCs w:val="22"/>
          <w:lang w:val="fr-CA"/>
        </w:rPr>
        <w:t>'élaboration d</w:t>
      </w:r>
      <w:r w:rsidR="00C71088">
        <w:rPr>
          <w:kern w:val="22"/>
          <w:sz w:val="22"/>
          <w:szCs w:val="22"/>
          <w:lang w:val="fr-CA"/>
        </w:rPr>
        <w:t>’un</w:t>
      </w:r>
      <w:r w:rsidR="00C71088" w:rsidRPr="00C71088">
        <w:rPr>
          <w:kern w:val="22"/>
          <w:sz w:val="22"/>
          <w:szCs w:val="22"/>
          <w:lang w:val="fr-CA"/>
        </w:rPr>
        <w:t xml:space="preserve"> cadre stratégique à long terme pour le renforcement des capacités après 2020</w:t>
      </w:r>
      <w:r w:rsidR="00C71088">
        <w:rPr>
          <w:kern w:val="22"/>
          <w:sz w:val="22"/>
          <w:szCs w:val="22"/>
          <w:lang w:val="fr-CA"/>
        </w:rPr>
        <w:t xml:space="preserve"> et invité les Parties au Protocole et le Comité consultative </w:t>
      </w:r>
      <w:r w:rsidR="00C71088" w:rsidRPr="00C71088">
        <w:rPr>
          <w:kern w:val="22"/>
          <w:sz w:val="22"/>
          <w:szCs w:val="22"/>
          <w:lang w:val="fr-CA"/>
        </w:rPr>
        <w:t xml:space="preserve">informel </w:t>
      </w:r>
      <w:r w:rsidR="00C71088" w:rsidRPr="00C71088">
        <w:rPr>
          <w:rFonts w:eastAsia="MS Mincho"/>
          <w:kern w:val="22"/>
          <w:sz w:val="22"/>
          <w:szCs w:val="22"/>
          <w:lang w:val="fr-CA"/>
        </w:rPr>
        <w:t>sur le renforcement des capacités pour l'application du Protocole de Nagoya de contribuer</w:t>
      </w:r>
      <w:r w:rsidR="00C71088">
        <w:rPr>
          <w:rFonts w:eastAsia="MS Mincho"/>
          <w:kern w:val="22"/>
          <w:sz w:val="22"/>
          <w:szCs w:val="22"/>
          <w:lang w:val="fr-CA"/>
        </w:rPr>
        <w:t xml:space="preserve"> au processus. </w:t>
      </w:r>
      <w:r w:rsidR="00C71088" w:rsidRPr="00706977">
        <w:rPr>
          <w:rFonts w:eastAsia="MS Mincho"/>
          <w:kern w:val="22"/>
          <w:sz w:val="22"/>
          <w:szCs w:val="22"/>
          <w:lang w:val="fr-CA"/>
        </w:rPr>
        <w:t xml:space="preserve">Elles ont aussi prié la Secrétaire exécutive </w:t>
      </w:r>
      <w:r w:rsidR="00C71088" w:rsidRPr="00706977">
        <w:rPr>
          <w:kern w:val="22"/>
          <w:sz w:val="22"/>
          <w:szCs w:val="22"/>
          <w:lang w:val="fr-CA"/>
        </w:rPr>
        <w:t>de présenter un projet de cadre stratégique à long terme pour le renforcement des capacités après 2020, pour examen par</w:t>
      </w:r>
      <w:r w:rsidR="00706977">
        <w:rPr>
          <w:kern w:val="22"/>
          <w:sz w:val="22"/>
          <w:szCs w:val="22"/>
          <w:lang w:val="fr-CA"/>
        </w:rPr>
        <w:t xml:space="preserve"> la Conférence des Parties siégeant en tant que réunion des Parties au Protocole à sa quatrième réunion.</w:t>
      </w:r>
    </w:p>
    <w:p w14:paraId="17536B18" w14:textId="59C9871C" w:rsidR="00156977" w:rsidRDefault="00F446D8"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kern w:val="22"/>
          <w:sz w:val="22"/>
          <w:szCs w:val="22"/>
          <w:lang w:val="fr-FR"/>
        </w:rPr>
        <w:t>Au vu de ce qui précède</w:t>
      </w:r>
      <w:r w:rsidR="00BC4EFE" w:rsidRPr="00BD5BFC">
        <w:rPr>
          <w:kern w:val="22"/>
          <w:sz w:val="22"/>
          <w:szCs w:val="22"/>
          <w:lang w:val="fr-FR"/>
        </w:rPr>
        <w:t xml:space="preserve">, </w:t>
      </w:r>
      <w:r>
        <w:rPr>
          <w:kern w:val="22"/>
          <w:sz w:val="22"/>
          <w:szCs w:val="22"/>
          <w:lang w:val="fr-FR"/>
        </w:rPr>
        <w:t>l’Organe subsidiaire</w:t>
      </w:r>
      <w:r w:rsidR="00706977">
        <w:rPr>
          <w:kern w:val="22"/>
          <w:sz w:val="22"/>
          <w:szCs w:val="22"/>
          <w:lang w:val="fr-FR"/>
        </w:rPr>
        <w:t>s sera saisi d’une note de la Secrétaire exécutive abordant les questions relatives au renforcement des capacités, à la coopération technique et scientifique et au transfert de technologie, y compris des éléments de recommandations possibles à la Conférence des Parties (</w:t>
      </w:r>
      <w:r w:rsidR="00706977" w:rsidRPr="00BD5BFC">
        <w:rPr>
          <w:bCs/>
          <w:kern w:val="22"/>
          <w:sz w:val="22"/>
          <w:szCs w:val="22"/>
          <w:lang w:val="fr-FR"/>
        </w:rPr>
        <w:t>CBD/SBI/3/7</w:t>
      </w:r>
      <w:r w:rsidR="00706977">
        <w:rPr>
          <w:bCs/>
          <w:kern w:val="22"/>
          <w:sz w:val="22"/>
          <w:szCs w:val="22"/>
          <w:lang w:val="fr-FR"/>
        </w:rPr>
        <w:t xml:space="preserve">), </w:t>
      </w:r>
      <w:r w:rsidR="00EF1719">
        <w:rPr>
          <w:bCs/>
          <w:kern w:val="22"/>
          <w:sz w:val="22"/>
          <w:szCs w:val="22"/>
          <w:lang w:val="fr-FR"/>
        </w:rPr>
        <w:t xml:space="preserve">un projet de cadre stratégique à long terme pour le renforcement des capacités au-delà de </w:t>
      </w:r>
      <w:r w:rsidR="00EF1719" w:rsidRPr="00EF1719">
        <w:rPr>
          <w:bCs/>
          <w:kern w:val="22"/>
          <w:sz w:val="22"/>
          <w:szCs w:val="22"/>
          <w:lang w:val="fr-FR"/>
        </w:rPr>
        <w:t xml:space="preserve">2020 </w:t>
      </w:r>
      <w:r w:rsidR="00EF1719" w:rsidRPr="00EF1719">
        <w:rPr>
          <w:kern w:val="22"/>
          <w:sz w:val="22"/>
          <w:szCs w:val="22"/>
          <w:lang w:val="fr-FR"/>
        </w:rPr>
        <w:t>(</w:t>
      </w:r>
      <w:r w:rsidR="00EF1719" w:rsidRPr="00EF1719">
        <w:rPr>
          <w:bCs/>
          <w:kern w:val="22"/>
          <w:sz w:val="22"/>
          <w:szCs w:val="22"/>
          <w:lang w:val="fr-FR"/>
        </w:rPr>
        <w:t>CBD/SBI/3/7/Add.1)</w:t>
      </w:r>
      <w:r w:rsidRPr="00EF1719">
        <w:rPr>
          <w:kern w:val="22"/>
          <w:sz w:val="22"/>
          <w:szCs w:val="22"/>
          <w:lang w:val="fr-FR"/>
        </w:rPr>
        <w:t>,</w:t>
      </w:r>
      <w:r>
        <w:rPr>
          <w:kern w:val="22"/>
          <w:sz w:val="22"/>
          <w:szCs w:val="22"/>
          <w:lang w:val="fr-FR"/>
        </w:rPr>
        <w:t xml:space="preserve"> </w:t>
      </w:r>
      <w:r w:rsidR="00544C52">
        <w:rPr>
          <w:kern w:val="22"/>
          <w:sz w:val="22"/>
          <w:szCs w:val="22"/>
          <w:lang w:val="fr-FR"/>
        </w:rPr>
        <w:t xml:space="preserve">des propositions </w:t>
      </w:r>
      <w:r w:rsidR="00EF1719">
        <w:rPr>
          <w:kern w:val="22"/>
          <w:sz w:val="22"/>
          <w:szCs w:val="22"/>
          <w:lang w:val="fr-FR"/>
        </w:rPr>
        <w:t xml:space="preserve">pour </w:t>
      </w:r>
      <w:r w:rsidR="00DA3999">
        <w:rPr>
          <w:kern w:val="22"/>
          <w:sz w:val="22"/>
          <w:szCs w:val="22"/>
          <w:lang w:val="fr-FR"/>
        </w:rPr>
        <w:t>renforcer l</w:t>
      </w:r>
      <w:r w:rsidR="00EF1719">
        <w:rPr>
          <w:kern w:val="22"/>
          <w:sz w:val="22"/>
          <w:szCs w:val="22"/>
          <w:lang w:val="fr-FR"/>
        </w:rPr>
        <w:t xml:space="preserve">a </w:t>
      </w:r>
      <w:r w:rsidR="00DA3999">
        <w:rPr>
          <w:kern w:val="22"/>
          <w:sz w:val="22"/>
          <w:szCs w:val="22"/>
          <w:lang w:val="fr-FR"/>
        </w:rPr>
        <w:t>coopération technique et scientifique</w:t>
      </w:r>
      <w:r w:rsidR="00EF1719">
        <w:rPr>
          <w:kern w:val="22"/>
          <w:sz w:val="22"/>
          <w:szCs w:val="22"/>
          <w:lang w:val="fr-FR"/>
        </w:rPr>
        <w:t xml:space="preserve"> et pour un processus inclusif d’</w:t>
      </w:r>
      <w:r w:rsidR="00591965">
        <w:rPr>
          <w:kern w:val="22"/>
          <w:sz w:val="22"/>
          <w:szCs w:val="22"/>
          <w:lang w:val="fr-FR"/>
        </w:rPr>
        <w:t xml:space="preserve">examen, de renouvellement des programmes de coopération technique et scientifique </w:t>
      </w:r>
      <w:r w:rsidR="00591965" w:rsidRPr="00EF1719">
        <w:rPr>
          <w:kern w:val="22"/>
          <w:sz w:val="22"/>
          <w:szCs w:val="22"/>
          <w:lang w:val="fr-FR"/>
        </w:rPr>
        <w:t>(</w:t>
      </w:r>
      <w:r w:rsidR="00591965" w:rsidRPr="00EF1719">
        <w:rPr>
          <w:bCs/>
          <w:kern w:val="22"/>
          <w:sz w:val="22"/>
          <w:szCs w:val="22"/>
          <w:lang w:val="fr-FR"/>
        </w:rPr>
        <w:t>CBD/SBI/3/7/Add.</w:t>
      </w:r>
      <w:r w:rsidR="00591965">
        <w:rPr>
          <w:bCs/>
          <w:kern w:val="22"/>
          <w:sz w:val="22"/>
          <w:szCs w:val="22"/>
          <w:lang w:val="fr-FR"/>
        </w:rPr>
        <w:t>2</w:t>
      </w:r>
      <w:r w:rsidR="00591965" w:rsidRPr="00EF1719">
        <w:rPr>
          <w:bCs/>
          <w:kern w:val="22"/>
          <w:sz w:val="22"/>
          <w:szCs w:val="22"/>
          <w:lang w:val="fr-FR"/>
        </w:rPr>
        <w:t>)</w:t>
      </w:r>
      <w:r w:rsidR="00591965">
        <w:rPr>
          <w:bCs/>
          <w:kern w:val="22"/>
          <w:sz w:val="22"/>
          <w:szCs w:val="22"/>
          <w:lang w:val="fr-FR"/>
        </w:rPr>
        <w:t xml:space="preserve">, ainsi qu’une compilation initiale </w:t>
      </w:r>
      <w:r w:rsidR="00591965" w:rsidRPr="00EA4F80">
        <w:rPr>
          <w:kern w:val="22"/>
          <w:sz w:val="22"/>
          <w:szCs w:val="22"/>
          <w:lang w:val="fr-FR"/>
        </w:rPr>
        <w:t>des arrangements institutionnels pertinents et des réseaux</w:t>
      </w:r>
      <w:r w:rsidR="00591965">
        <w:rPr>
          <w:kern w:val="22"/>
          <w:sz w:val="22"/>
          <w:szCs w:val="22"/>
          <w:lang w:val="fr-FR"/>
        </w:rPr>
        <w:t xml:space="preserve"> de coopération technique et scientifiques concernant différents thèmes </w:t>
      </w:r>
      <w:r w:rsidR="00591965" w:rsidRPr="00EF1719">
        <w:rPr>
          <w:kern w:val="22"/>
          <w:sz w:val="22"/>
          <w:szCs w:val="22"/>
          <w:lang w:val="fr-FR"/>
        </w:rPr>
        <w:t>(</w:t>
      </w:r>
      <w:r w:rsidR="00591965" w:rsidRPr="00EF1719">
        <w:rPr>
          <w:bCs/>
          <w:kern w:val="22"/>
          <w:sz w:val="22"/>
          <w:szCs w:val="22"/>
          <w:lang w:val="fr-FR"/>
        </w:rPr>
        <w:t>CBD/SBI/3/7/Add.</w:t>
      </w:r>
      <w:r w:rsidR="00591965">
        <w:rPr>
          <w:bCs/>
          <w:kern w:val="22"/>
          <w:sz w:val="22"/>
          <w:szCs w:val="22"/>
          <w:lang w:val="fr-FR"/>
        </w:rPr>
        <w:t>3</w:t>
      </w:r>
      <w:r w:rsidR="00591965" w:rsidRPr="00EF1719">
        <w:rPr>
          <w:bCs/>
          <w:kern w:val="22"/>
          <w:sz w:val="22"/>
          <w:szCs w:val="22"/>
          <w:lang w:val="fr-FR"/>
        </w:rPr>
        <w:t>)</w:t>
      </w:r>
      <w:r w:rsidR="00591965">
        <w:rPr>
          <w:bCs/>
          <w:kern w:val="22"/>
          <w:sz w:val="22"/>
          <w:szCs w:val="22"/>
          <w:lang w:val="fr-FR"/>
        </w:rPr>
        <w:t>.</w:t>
      </w:r>
    </w:p>
    <w:p w14:paraId="5AB03FA8" w14:textId="18B7EFA9" w:rsidR="00A62ED3" w:rsidRPr="00BD5BFC" w:rsidRDefault="00A62ED3"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Pr="00BD5BFC">
        <w:rPr>
          <w:bCs/>
          <w:kern w:val="22"/>
          <w:sz w:val="22"/>
          <w:szCs w:val="22"/>
          <w:lang w:val="fr-FR"/>
        </w:rPr>
        <w:t xml:space="preserve"> </w:t>
      </w:r>
      <w:hyperlink r:id="rId38" w:history="1">
        <w:r w:rsidRPr="00BD5BFC">
          <w:rPr>
            <w:rStyle w:val="Hyperlink"/>
            <w:sz w:val="22"/>
            <w:szCs w:val="22"/>
            <w:lang w:val="fr-FR"/>
          </w:rPr>
          <w:t>NP-3/5</w:t>
        </w:r>
      </w:hyperlink>
      <w:r w:rsidRPr="00BD5BFC">
        <w:rPr>
          <w:bCs/>
          <w:kern w:val="22"/>
          <w:sz w:val="22"/>
          <w:szCs w:val="22"/>
          <w:lang w:val="fr-FR"/>
        </w:rPr>
        <w:t xml:space="preserve">, </w:t>
      </w:r>
      <w:r>
        <w:rPr>
          <w:bCs/>
          <w:kern w:val="22"/>
          <w:sz w:val="22"/>
          <w:szCs w:val="22"/>
          <w:lang w:val="fr-FR"/>
        </w:rPr>
        <w:t>les Parties au Protocole de Nagoya ont prié la Secrétaire exécutive de</w:t>
      </w:r>
      <w:r w:rsidRPr="003935C8">
        <w:rPr>
          <w:kern w:val="22"/>
          <w:sz w:val="22"/>
          <w:szCs w:val="22"/>
          <w:lang w:val="fr-CA"/>
        </w:rPr>
        <w:t xml:space="preserve"> préparer une évaluation du cadre stratégique pour le développement et le renforcement des capacités, </w:t>
      </w:r>
      <w:r w:rsidRPr="003935C8">
        <w:rPr>
          <w:kern w:val="22"/>
          <w:sz w:val="22"/>
          <w:szCs w:val="22"/>
          <w:lang w:val="fr-CA"/>
        </w:rPr>
        <w:lastRenderedPageBreak/>
        <w:t xml:space="preserve">conformément </w:t>
      </w:r>
      <w:r>
        <w:rPr>
          <w:kern w:val="22"/>
          <w:sz w:val="22"/>
          <w:szCs w:val="22"/>
          <w:lang w:val="fr-CA"/>
        </w:rPr>
        <w:t>à la</w:t>
      </w:r>
      <w:r w:rsidRPr="003935C8">
        <w:rPr>
          <w:kern w:val="22"/>
          <w:sz w:val="22"/>
          <w:szCs w:val="22"/>
          <w:lang w:val="fr-CA"/>
        </w:rPr>
        <w:t xml:space="preserve"> décision </w:t>
      </w:r>
      <w:hyperlink r:id="rId39" w:history="1">
        <w:r w:rsidRPr="00BD0615">
          <w:rPr>
            <w:rStyle w:val="Hyperlink"/>
            <w:sz w:val="22"/>
            <w:szCs w:val="22"/>
            <w:lang w:val="fr-FR"/>
          </w:rPr>
          <w:t>NP-1/8</w:t>
        </w:r>
      </w:hyperlink>
      <w:r w:rsidRPr="003935C8">
        <w:rPr>
          <w:kern w:val="22"/>
          <w:sz w:val="22"/>
          <w:szCs w:val="22"/>
          <w:lang w:val="fr-CA"/>
        </w:rPr>
        <w:t xml:space="preserve">, et de transmettre le rapport d’évaluation, pour examen par l’Organe subsidiaire chargé de l’application à sa troisième réunion, en vue d’assurer une approche efficace pour le renforcement des capacités au titre du Protocole de Nagoya, qui soit compatible avec le </w:t>
      </w:r>
      <w:r>
        <w:rPr>
          <w:kern w:val="22"/>
          <w:sz w:val="22"/>
          <w:szCs w:val="22"/>
          <w:lang w:val="fr-CA"/>
        </w:rPr>
        <w:t>c</w:t>
      </w:r>
      <w:r w:rsidRPr="003935C8">
        <w:rPr>
          <w:kern w:val="22"/>
          <w:sz w:val="22"/>
          <w:szCs w:val="22"/>
          <w:lang w:val="fr-CA"/>
        </w:rPr>
        <w:t>adre mondial de la biodiversité pour l’après-2020</w:t>
      </w:r>
      <w:r>
        <w:rPr>
          <w:kern w:val="22"/>
          <w:sz w:val="22"/>
          <w:szCs w:val="22"/>
          <w:lang w:val="fr-CA"/>
        </w:rPr>
        <w:t>.</w:t>
      </w:r>
    </w:p>
    <w:p w14:paraId="191BD3F0" w14:textId="6F4C2834" w:rsidR="00B338CF" w:rsidRPr="00B015B5" w:rsidRDefault="00591965" w:rsidP="00A941B0">
      <w:pPr>
        <w:pStyle w:val="Para1"/>
        <w:numPr>
          <w:ilvl w:val="0"/>
          <w:numId w:val="14"/>
        </w:numPr>
        <w:suppressLineNumbers/>
        <w:tabs>
          <w:tab w:val="num" w:pos="720"/>
        </w:tabs>
        <w:suppressAutoHyphens/>
        <w:spacing w:before="120"/>
        <w:ind w:left="0" w:firstLine="0"/>
        <w:jc w:val="both"/>
        <w:rPr>
          <w:kern w:val="22"/>
          <w:sz w:val="22"/>
          <w:szCs w:val="22"/>
          <w:lang w:val="fr-FR"/>
        </w:rPr>
      </w:pPr>
      <w:r>
        <w:rPr>
          <w:bCs/>
          <w:kern w:val="22"/>
          <w:sz w:val="22"/>
          <w:szCs w:val="22"/>
          <w:lang w:val="fr-FR"/>
        </w:rPr>
        <w:t>Par conséquent</w:t>
      </w:r>
      <w:r w:rsidR="009972C4" w:rsidRPr="00BD5BFC">
        <w:rPr>
          <w:bCs/>
          <w:kern w:val="22"/>
          <w:sz w:val="22"/>
          <w:szCs w:val="22"/>
          <w:lang w:val="fr-FR"/>
        </w:rPr>
        <w:t xml:space="preserve">, </w:t>
      </w:r>
      <w:r w:rsidR="00AF4383">
        <w:rPr>
          <w:bCs/>
          <w:kern w:val="22"/>
          <w:sz w:val="22"/>
          <w:szCs w:val="22"/>
          <w:lang w:val="fr-FR"/>
        </w:rPr>
        <w:t>l’Organe subsidiaire examinera l’évaluation du cadre stratégique pour le renforcement des capacités et le développement pour soutenir l’application effective du Protocole de Nagoya sur l’accès et le partage des avantages</w:t>
      </w:r>
      <w:r w:rsidR="0019782A">
        <w:rPr>
          <w:bCs/>
          <w:kern w:val="22"/>
          <w:sz w:val="22"/>
          <w:szCs w:val="22"/>
          <w:lang w:val="fr-FR"/>
        </w:rPr>
        <w:t xml:space="preserve"> </w:t>
      </w:r>
      <w:r w:rsidR="00720995">
        <w:rPr>
          <w:bCs/>
          <w:kern w:val="22"/>
          <w:sz w:val="22"/>
          <w:szCs w:val="22"/>
          <w:lang w:val="fr-FR"/>
        </w:rPr>
        <w:t xml:space="preserve">et fera des recommandations à la quatrième réunion des Parties au Protocole. Afin de faciliter les travaux de l’Organe subsidiaire, la Secrétaire exécutive diffusera le document </w:t>
      </w:r>
      <w:r w:rsidR="006D2DDD" w:rsidRPr="00BD5BFC">
        <w:rPr>
          <w:bCs/>
          <w:kern w:val="22"/>
          <w:sz w:val="22"/>
          <w:szCs w:val="22"/>
          <w:lang w:val="fr-FR"/>
        </w:rPr>
        <w:t>CBD/SBI/3/</w:t>
      </w:r>
      <w:r w:rsidR="0019782A">
        <w:rPr>
          <w:bCs/>
          <w:kern w:val="22"/>
          <w:sz w:val="22"/>
          <w:szCs w:val="22"/>
          <w:lang w:val="fr-FR"/>
        </w:rPr>
        <w:t>16</w:t>
      </w:r>
      <w:r w:rsidR="006D2DDD" w:rsidRPr="00BD5BFC">
        <w:rPr>
          <w:bCs/>
          <w:kern w:val="22"/>
          <w:sz w:val="22"/>
          <w:szCs w:val="22"/>
          <w:lang w:val="fr-FR"/>
        </w:rPr>
        <w:t>.</w:t>
      </w:r>
    </w:p>
    <w:p w14:paraId="5B9E6A8A" w14:textId="378B9453" w:rsidR="00005E4D" w:rsidRPr="00B015B5" w:rsidRDefault="00FF76AC" w:rsidP="00ED543F">
      <w:pPr>
        <w:keepNext/>
        <w:suppressLineNumbers/>
        <w:tabs>
          <w:tab w:val="left" w:pos="426"/>
        </w:tabs>
        <w:suppressAutoHyphens/>
        <w:spacing w:before="120" w:after="120"/>
        <w:jc w:val="center"/>
        <w:rPr>
          <w:b/>
          <w:snapToGrid w:val="0"/>
          <w:kern w:val="22"/>
          <w:sz w:val="22"/>
          <w:szCs w:val="22"/>
          <w:lang w:val="fr-FR"/>
        </w:rPr>
      </w:pPr>
      <w:r w:rsidRPr="00B015B5">
        <w:rPr>
          <w:b/>
          <w:iCs/>
          <w:snapToGrid w:val="0"/>
          <w:kern w:val="22"/>
          <w:sz w:val="22"/>
          <w:szCs w:val="22"/>
          <w:lang w:val="fr-FR"/>
        </w:rPr>
        <w:t>B.</w:t>
      </w:r>
      <w:r w:rsidRPr="00B015B5">
        <w:rPr>
          <w:b/>
          <w:iCs/>
          <w:snapToGrid w:val="0"/>
          <w:kern w:val="22"/>
          <w:sz w:val="22"/>
          <w:szCs w:val="22"/>
          <w:lang w:val="fr-FR"/>
        </w:rPr>
        <w:tab/>
      </w:r>
      <w:r w:rsidR="00985693" w:rsidRPr="00985693">
        <w:rPr>
          <w:b/>
          <w:iCs/>
          <w:snapToGrid w:val="0"/>
          <w:kern w:val="22"/>
          <w:sz w:val="22"/>
          <w:szCs w:val="22"/>
          <w:lang w:val="fr-FR"/>
        </w:rPr>
        <w:t>Gestion des connaissances et mécanisme d’échange</w:t>
      </w:r>
    </w:p>
    <w:p w14:paraId="676A0D7E" w14:textId="24B7C010" w:rsidR="008A565B" w:rsidRPr="00985693" w:rsidRDefault="00985693"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985693">
        <w:rPr>
          <w:bCs/>
          <w:kern w:val="22"/>
          <w:sz w:val="22"/>
          <w:szCs w:val="22"/>
          <w:lang w:val="fr-FR"/>
        </w:rPr>
        <w:t>Au paragraphe 4 de la décision</w:t>
      </w:r>
      <w:r w:rsidR="00202D13" w:rsidRPr="00985693">
        <w:rPr>
          <w:bCs/>
          <w:kern w:val="22"/>
          <w:sz w:val="22"/>
          <w:szCs w:val="22"/>
          <w:lang w:val="fr-FR"/>
        </w:rPr>
        <w:t xml:space="preserve"> </w:t>
      </w:r>
      <w:hyperlink r:id="rId40" w:history="1">
        <w:r w:rsidR="00202D13" w:rsidRPr="00985693">
          <w:rPr>
            <w:rStyle w:val="Hyperlink"/>
            <w:bCs/>
            <w:kern w:val="22"/>
            <w:sz w:val="22"/>
            <w:szCs w:val="22"/>
            <w:lang w:val="fr-FR"/>
          </w:rPr>
          <w:t>14/25</w:t>
        </w:r>
      </w:hyperlink>
      <w:r w:rsidR="00202D13" w:rsidRPr="00985693">
        <w:rPr>
          <w:bCs/>
          <w:kern w:val="22"/>
          <w:sz w:val="22"/>
          <w:szCs w:val="22"/>
          <w:lang w:val="fr-FR"/>
        </w:rPr>
        <w:t xml:space="preserve">, </w:t>
      </w:r>
      <w:r w:rsidR="00021A47">
        <w:rPr>
          <w:bCs/>
          <w:kern w:val="22"/>
          <w:sz w:val="22"/>
          <w:szCs w:val="22"/>
          <w:lang w:val="fr-FR"/>
        </w:rPr>
        <w:t>la Conférence des Parties a prié la Secrétaire exécutive, dans la limite des ressources disponibles, d’entreprendre diverses activités liées à la gestion des connaissances au titre de la Convention et de ses protocoles</w:t>
      </w:r>
      <w:r w:rsidR="00591965">
        <w:rPr>
          <w:bCs/>
          <w:kern w:val="22"/>
          <w:sz w:val="22"/>
          <w:szCs w:val="22"/>
          <w:lang w:val="fr-FR"/>
        </w:rPr>
        <w:t xml:space="preserve"> et du mécanisme d’échange, </w:t>
      </w:r>
      <w:r w:rsidR="00021A47">
        <w:rPr>
          <w:bCs/>
          <w:kern w:val="22"/>
          <w:sz w:val="22"/>
          <w:szCs w:val="22"/>
          <w:lang w:val="fr-FR"/>
        </w:rPr>
        <w:t xml:space="preserve"> de </w:t>
      </w:r>
      <w:r w:rsidR="00021A47" w:rsidRPr="00021A47">
        <w:rPr>
          <w:kern w:val="22"/>
          <w:sz w:val="22"/>
          <w:szCs w:val="22"/>
          <w:lang w:val="fr-FR"/>
        </w:rPr>
        <w:t>remettre à l’Organe subsidiaire chargé de l’application un rapport sur l’état d’avancement de</w:t>
      </w:r>
      <w:r w:rsidR="00021A47">
        <w:rPr>
          <w:kern w:val="22"/>
          <w:sz w:val="22"/>
          <w:szCs w:val="22"/>
          <w:lang w:val="fr-FR"/>
        </w:rPr>
        <w:t xml:space="preserve"> ces</w:t>
      </w:r>
      <w:r w:rsidR="00021A47" w:rsidRPr="00021A47">
        <w:rPr>
          <w:kern w:val="22"/>
          <w:sz w:val="22"/>
          <w:szCs w:val="22"/>
          <w:lang w:val="fr-FR"/>
        </w:rPr>
        <w:t xml:space="preserve"> activités</w:t>
      </w:r>
      <w:r w:rsidR="002F56AA">
        <w:rPr>
          <w:kern w:val="22"/>
          <w:sz w:val="22"/>
          <w:szCs w:val="22"/>
          <w:lang w:val="fr-FR"/>
        </w:rPr>
        <w:t>,</w:t>
      </w:r>
      <w:r w:rsidR="00021A47">
        <w:rPr>
          <w:kern w:val="22"/>
          <w:sz w:val="22"/>
          <w:szCs w:val="22"/>
          <w:lang w:val="fr-FR"/>
        </w:rPr>
        <w:t xml:space="preserve"> pour examen à sa troisième réunion. Les activités comprennent notamment l’élaboration d’un outil de gestion des connaissances s’inscrivant dans le processus d’élaboration du cadre mondial de la biodiversité pour l’après-2020</w:t>
      </w:r>
      <w:r w:rsidR="00034856">
        <w:rPr>
          <w:kern w:val="22"/>
          <w:sz w:val="22"/>
          <w:szCs w:val="22"/>
          <w:lang w:val="fr-FR"/>
        </w:rPr>
        <w:t xml:space="preserve">, </w:t>
      </w:r>
      <w:r w:rsidR="00021A47">
        <w:rPr>
          <w:kern w:val="22"/>
          <w:sz w:val="22"/>
          <w:szCs w:val="22"/>
          <w:lang w:val="fr-FR"/>
        </w:rPr>
        <w:t>un soutien accru de la mise en œuvre du programme de travail</w:t>
      </w:r>
      <w:r w:rsidR="008839AE">
        <w:rPr>
          <w:kern w:val="22"/>
          <w:sz w:val="22"/>
          <w:szCs w:val="22"/>
          <w:lang w:val="fr-FR"/>
        </w:rPr>
        <w:t xml:space="preserve"> du centre d’échange et </w:t>
      </w:r>
      <w:r w:rsidR="002F56AA">
        <w:rPr>
          <w:kern w:val="22"/>
          <w:sz w:val="22"/>
          <w:szCs w:val="22"/>
          <w:lang w:val="fr-FR"/>
        </w:rPr>
        <w:t xml:space="preserve">de </w:t>
      </w:r>
      <w:r w:rsidR="008839AE">
        <w:rPr>
          <w:kern w:val="22"/>
          <w:sz w:val="22"/>
          <w:szCs w:val="22"/>
          <w:lang w:val="fr-FR"/>
        </w:rPr>
        <w:t>la stratégie Web pour la Convention et ses protocoles</w:t>
      </w:r>
      <w:r w:rsidR="00034856">
        <w:rPr>
          <w:kern w:val="22"/>
          <w:sz w:val="22"/>
          <w:szCs w:val="22"/>
          <w:lang w:val="fr-FR"/>
        </w:rPr>
        <w:t>, la promotion des réseaux de praticiens et de connaissances et la collaboration avec des partenaires à des initiatives et outils de gestion des connaissances.</w:t>
      </w:r>
    </w:p>
    <w:p w14:paraId="6A94810C" w14:textId="334769CA" w:rsidR="008A565B" w:rsidRPr="00985693" w:rsidRDefault="008839AE"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examinera </w:t>
      </w:r>
      <w:r w:rsidR="00034856">
        <w:rPr>
          <w:bCs/>
          <w:kern w:val="22"/>
          <w:sz w:val="22"/>
          <w:szCs w:val="22"/>
          <w:lang w:val="fr-FR"/>
        </w:rPr>
        <w:t xml:space="preserve">un rapport sur l’état d’avancement de la mise en œuvre des activités </w:t>
      </w:r>
      <w:r w:rsidR="00D87E38">
        <w:rPr>
          <w:bCs/>
          <w:kern w:val="22"/>
          <w:sz w:val="22"/>
          <w:szCs w:val="22"/>
          <w:lang w:val="fr-FR"/>
        </w:rPr>
        <w:t xml:space="preserve">susmentionnées, ainsi qu’un projet d’éléments </w:t>
      </w:r>
      <w:r>
        <w:rPr>
          <w:bCs/>
          <w:kern w:val="22"/>
          <w:sz w:val="22"/>
          <w:szCs w:val="22"/>
          <w:lang w:val="fr-FR"/>
        </w:rPr>
        <w:t xml:space="preserve">de la composante gestion des connaissances du cadre mondial de la biodiversité pour l’après-2020, </w:t>
      </w:r>
      <w:r w:rsidR="00D87E38">
        <w:rPr>
          <w:bCs/>
          <w:kern w:val="22"/>
          <w:sz w:val="22"/>
          <w:szCs w:val="22"/>
          <w:lang w:val="fr-FR"/>
        </w:rPr>
        <w:t xml:space="preserve">un </w:t>
      </w:r>
      <w:r>
        <w:rPr>
          <w:bCs/>
          <w:kern w:val="22"/>
          <w:sz w:val="22"/>
          <w:szCs w:val="22"/>
          <w:lang w:val="fr-FR"/>
        </w:rPr>
        <w:t>rapport sur l’état d’avancement de la mise en œuvre du programme de travail du centre d’échange</w:t>
      </w:r>
      <w:r w:rsidR="00D87E38">
        <w:rPr>
          <w:bCs/>
          <w:kern w:val="22"/>
          <w:sz w:val="22"/>
          <w:szCs w:val="22"/>
          <w:lang w:val="fr-FR"/>
        </w:rPr>
        <w:t xml:space="preserve"> et </w:t>
      </w:r>
      <w:r w:rsidR="002F56AA">
        <w:rPr>
          <w:bCs/>
          <w:kern w:val="22"/>
          <w:sz w:val="22"/>
          <w:szCs w:val="22"/>
          <w:lang w:val="fr-FR"/>
        </w:rPr>
        <w:t xml:space="preserve">de </w:t>
      </w:r>
      <w:r>
        <w:rPr>
          <w:bCs/>
          <w:kern w:val="22"/>
          <w:sz w:val="22"/>
          <w:szCs w:val="22"/>
          <w:lang w:val="fr-FR"/>
        </w:rPr>
        <w:t>la stratégie Web,</w:t>
      </w:r>
      <w:r w:rsidR="00D87E38">
        <w:rPr>
          <w:bCs/>
          <w:kern w:val="22"/>
          <w:sz w:val="22"/>
          <w:szCs w:val="22"/>
          <w:lang w:val="fr-FR"/>
        </w:rPr>
        <w:t xml:space="preserve"> le soutien continu des centres d’échange nationaux, y compris les progrès accomplis dans l’utilisation de l’outil </w:t>
      </w:r>
      <w:proofErr w:type="spellStart"/>
      <w:r w:rsidR="00D87E38">
        <w:rPr>
          <w:bCs/>
          <w:kern w:val="22"/>
          <w:sz w:val="22"/>
          <w:szCs w:val="22"/>
          <w:lang w:val="fr-FR"/>
        </w:rPr>
        <w:t>Bioland</w:t>
      </w:r>
      <w:proofErr w:type="spellEnd"/>
      <w:r w:rsidR="00D87E38">
        <w:rPr>
          <w:bCs/>
          <w:kern w:val="22"/>
          <w:sz w:val="22"/>
          <w:szCs w:val="22"/>
          <w:lang w:val="fr-FR"/>
        </w:rPr>
        <w:t xml:space="preserve"> </w:t>
      </w:r>
      <w:r w:rsidR="006E6E5A">
        <w:rPr>
          <w:bCs/>
          <w:kern w:val="22"/>
          <w:sz w:val="22"/>
          <w:szCs w:val="22"/>
          <w:lang w:val="fr-FR"/>
        </w:rPr>
        <w:t xml:space="preserve">et son efficacité, et </w:t>
      </w:r>
      <w:r w:rsidR="00671FD4">
        <w:rPr>
          <w:bCs/>
          <w:kern w:val="22"/>
          <w:sz w:val="22"/>
          <w:szCs w:val="22"/>
          <w:lang w:val="fr-FR"/>
        </w:rPr>
        <w:t xml:space="preserve">la mise à l’essai de l’outil de collecte et de transmission des données </w:t>
      </w:r>
      <w:r w:rsidR="008A565B" w:rsidRPr="00985693">
        <w:rPr>
          <w:bCs/>
          <w:kern w:val="22"/>
          <w:sz w:val="22"/>
          <w:szCs w:val="22"/>
          <w:lang w:val="fr-FR"/>
        </w:rPr>
        <w:t xml:space="preserve"> (CBD/SBI/3/</w:t>
      </w:r>
      <w:r w:rsidR="00BA6096" w:rsidRPr="00985693">
        <w:rPr>
          <w:bCs/>
          <w:kern w:val="22"/>
          <w:sz w:val="22"/>
          <w:szCs w:val="22"/>
          <w:lang w:val="fr-FR"/>
        </w:rPr>
        <w:t>8</w:t>
      </w:r>
      <w:r w:rsidR="008A565B" w:rsidRPr="00985693">
        <w:rPr>
          <w:bCs/>
          <w:kern w:val="22"/>
          <w:sz w:val="22"/>
          <w:szCs w:val="22"/>
          <w:lang w:val="fr-FR"/>
        </w:rPr>
        <w:t>).</w:t>
      </w:r>
    </w:p>
    <w:p w14:paraId="5EE06B66" w14:textId="2141E67A" w:rsidR="00BA6096" w:rsidRPr="00985693" w:rsidRDefault="00FF76AC" w:rsidP="00ED543F">
      <w:pPr>
        <w:keepNext/>
        <w:suppressLineNumbers/>
        <w:tabs>
          <w:tab w:val="left" w:pos="426"/>
        </w:tabs>
        <w:suppressAutoHyphens/>
        <w:spacing w:before="120" w:after="120"/>
        <w:jc w:val="center"/>
        <w:rPr>
          <w:b/>
          <w:snapToGrid w:val="0"/>
          <w:kern w:val="22"/>
          <w:sz w:val="22"/>
          <w:szCs w:val="22"/>
          <w:lang w:val="fr-FR"/>
        </w:rPr>
      </w:pPr>
      <w:r w:rsidRPr="00985693">
        <w:rPr>
          <w:b/>
          <w:iCs/>
          <w:snapToGrid w:val="0"/>
          <w:kern w:val="22"/>
          <w:sz w:val="22"/>
          <w:szCs w:val="22"/>
          <w:lang w:val="fr-FR"/>
        </w:rPr>
        <w:t>C.</w:t>
      </w:r>
      <w:r w:rsidRPr="00985693">
        <w:rPr>
          <w:b/>
          <w:iCs/>
          <w:snapToGrid w:val="0"/>
          <w:kern w:val="22"/>
          <w:sz w:val="22"/>
          <w:szCs w:val="22"/>
          <w:lang w:val="fr-FR"/>
        </w:rPr>
        <w:tab/>
      </w:r>
      <w:r w:rsidR="008A565B" w:rsidRPr="00985693">
        <w:rPr>
          <w:b/>
          <w:iCs/>
          <w:snapToGrid w:val="0"/>
          <w:kern w:val="22"/>
          <w:sz w:val="22"/>
          <w:szCs w:val="22"/>
          <w:lang w:val="fr-FR"/>
        </w:rPr>
        <w:t>Communication</w:t>
      </w:r>
    </w:p>
    <w:p w14:paraId="188BCFCB" w14:textId="7100CD78" w:rsidR="00C824E1" w:rsidRPr="00985693" w:rsidRDefault="00671FD4"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C824E1" w:rsidRPr="00985693">
        <w:rPr>
          <w:bCs/>
          <w:kern w:val="22"/>
          <w:sz w:val="22"/>
          <w:szCs w:val="22"/>
          <w:lang w:val="fr-FR"/>
        </w:rPr>
        <w:t xml:space="preserve"> </w:t>
      </w:r>
      <w:hyperlink r:id="rId41" w:history="1">
        <w:r w:rsidR="00C824E1" w:rsidRPr="00985693">
          <w:rPr>
            <w:rStyle w:val="Hyperlink"/>
            <w:sz w:val="22"/>
            <w:szCs w:val="22"/>
            <w:lang w:val="fr-FR"/>
          </w:rPr>
          <w:t>14/26</w:t>
        </w:r>
      </w:hyperlink>
      <w:r w:rsidR="00C824E1" w:rsidRPr="00985693">
        <w:rPr>
          <w:bCs/>
          <w:kern w:val="22"/>
          <w:sz w:val="22"/>
          <w:szCs w:val="22"/>
          <w:lang w:val="fr-FR"/>
        </w:rPr>
        <w:t xml:space="preserve">, </w:t>
      </w:r>
      <w:r>
        <w:rPr>
          <w:bCs/>
          <w:kern w:val="22"/>
          <w:sz w:val="22"/>
          <w:szCs w:val="22"/>
          <w:lang w:val="fr-FR"/>
        </w:rPr>
        <w:t>la Secrétaire exécutive a été priée, sous réserve de la disponibilité des fonds</w:t>
      </w:r>
      <w:r w:rsidR="00C824E1" w:rsidRPr="00985693">
        <w:rPr>
          <w:bCs/>
          <w:kern w:val="22"/>
          <w:sz w:val="22"/>
          <w:szCs w:val="22"/>
          <w:lang w:val="fr-FR"/>
        </w:rPr>
        <w:t>,</w:t>
      </w:r>
      <w:r>
        <w:rPr>
          <w:bCs/>
          <w:kern w:val="22"/>
          <w:sz w:val="22"/>
          <w:szCs w:val="22"/>
          <w:lang w:val="fr-FR"/>
        </w:rPr>
        <w:t xml:space="preserve"> </w:t>
      </w:r>
      <w:r w:rsidRPr="00671FD4">
        <w:rPr>
          <w:bCs/>
          <w:kern w:val="22"/>
          <w:sz w:val="22"/>
          <w:szCs w:val="22"/>
          <w:lang w:val="fr-FR"/>
        </w:rPr>
        <w:t xml:space="preserve">de </w:t>
      </w:r>
      <w:r w:rsidRPr="00671FD4">
        <w:rPr>
          <w:kern w:val="22"/>
          <w:sz w:val="22"/>
          <w:szCs w:val="22"/>
          <w:lang w:val="fr-FR"/>
        </w:rPr>
        <w:t>poursuivre la mise en œuvre du cadre pour une stratégie de communication au niveau mondial</w:t>
      </w:r>
      <w:r>
        <w:rPr>
          <w:kern w:val="22"/>
          <w:sz w:val="22"/>
          <w:szCs w:val="22"/>
          <w:lang w:val="fr-FR"/>
        </w:rPr>
        <w:t xml:space="preserve"> et d</w:t>
      </w:r>
      <w:r w:rsidRPr="00671FD4">
        <w:rPr>
          <w:kern w:val="22"/>
          <w:sz w:val="22"/>
          <w:szCs w:val="22"/>
          <w:lang w:val="fr-FR"/>
        </w:rPr>
        <w:t xml:space="preserve">’élaborer, en collaboration avec la Plateforme intergouvernementale scientifique et politique sur la biodiversité et les </w:t>
      </w:r>
      <w:r w:rsidRPr="00671FD4">
        <w:rPr>
          <w:noProof/>
          <w:kern w:val="22"/>
          <w:sz w:val="22"/>
          <w:szCs w:val="22"/>
          <w:lang w:val="fr-FR"/>
        </w:rPr>
        <w:t>services écosystémiques, les</w:t>
      </w:r>
      <w:r w:rsidRPr="00671FD4">
        <w:rPr>
          <w:kern w:val="22"/>
          <w:sz w:val="22"/>
          <w:szCs w:val="22"/>
          <w:lang w:val="fr-FR"/>
        </w:rPr>
        <w:t xml:space="preserve"> </w:t>
      </w:r>
      <w:r>
        <w:rPr>
          <w:kern w:val="22"/>
          <w:sz w:val="22"/>
          <w:szCs w:val="22"/>
          <w:lang w:val="fr-FR"/>
        </w:rPr>
        <w:t>accords</w:t>
      </w:r>
      <w:r w:rsidRPr="00671FD4">
        <w:rPr>
          <w:kern w:val="22"/>
          <w:sz w:val="22"/>
          <w:szCs w:val="22"/>
          <w:lang w:val="fr-CA"/>
        </w:rPr>
        <w:t xml:space="preserve"> multilatéraux relatifs à l’environnement pertinents, et avec d’autres organisations compétentes, telles que l’Union internationale pour la conservation de la nature, des thématiques et documents de référence pour aider les Parties, les autres gouvernements, les organisations concernées, les peuples autochtones et les communautés locales à mener</w:t>
      </w:r>
      <w:r w:rsidR="00F24217">
        <w:rPr>
          <w:kern w:val="22"/>
          <w:sz w:val="22"/>
          <w:szCs w:val="22"/>
          <w:lang w:val="fr-CA"/>
        </w:rPr>
        <w:t xml:space="preserve"> </w:t>
      </w:r>
      <w:r w:rsidRPr="00671FD4">
        <w:rPr>
          <w:kern w:val="22"/>
          <w:sz w:val="22"/>
          <w:szCs w:val="22"/>
          <w:lang w:val="fr-CA"/>
        </w:rPr>
        <w:t xml:space="preserve">des campagnes de communication et de sensibilisation sur la situation actuelle de la biodiversité et l’élaboration du </w:t>
      </w:r>
      <w:r w:rsidR="00F24217">
        <w:rPr>
          <w:kern w:val="22"/>
          <w:sz w:val="22"/>
          <w:szCs w:val="22"/>
          <w:lang w:val="fr-CA"/>
        </w:rPr>
        <w:t>c</w:t>
      </w:r>
      <w:r w:rsidRPr="00671FD4">
        <w:rPr>
          <w:kern w:val="22"/>
          <w:sz w:val="22"/>
          <w:szCs w:val="22"/>
          <w:lang w:val="fr-CA"/>
        </w:rPr>
        <w:t>adre mondial de l</w:t>
      </w:r>
      <w:r w:rsidR="00F24217">
        <w:rPr>
          <w:kern w:val="22"/>
          <w:sz w:val="22"/>
          <w:szCs w:val="22"/>
          <w:lang w:val="fr-CA"/>
        </w:rPr>
        <w:t>a biodiversité pour l’après-2020</w:t>
      </w:r>
      <w:r w:rsidR="00C824E1" w:rsidRPr="00985693">
        <w:rPr>
          <w:bCs/>
          <w:kern w:val="22"/>
          <w:sz w:val="22"/>
          <w:szCs w:val="22"/>
          <w:lang w:val="fr-FR"/>
        </w:rPr>
        <w:t>.</w:t>
      </w:r>
    </w:p>
    <w:p w14:paraId="17FD85C4" w14:textId="77DF95AB" w:rsidR="00C824E1" w:rsidRPr="00B015B5" w:rsidRDefault="00F24217" w:rsidP="00ED543F">
      <w:pPr>
        <w:pStyle w:val="Para1"/>
        <w:numPr>
          <w:ilvl w:val="0"/>
          <w:numId w:val="14"/>
        </w:numPr>
        <w:suppressLineNumbers/>
        <w:tabs>
          <w:tab w:val="num" w:pos="720"/>
        </w:tabs>
        <w:suppressAutoHyphens/>
        <w:ind w:left="0" w:firstLine="0"/>
        <w:jc w:val="both"/>
        <w:rPr>
          <w:bCs/>
          <w:kern w:val="22"/>
          <w:sz w:val="22"/>
          <w:szCs w:val="22"/>
          <w:lang w:val="fr-FR"/>
        </w:rPr>
      </w:pPr>
      <w:r>
        <w:rPr>
          <w:bCs/>
          <w:kern w:val="22"/>
          <w:sz w:val="22"/>
          <w:szCs w:val="22"/>
          <w:lang w:val="fr-FR"/>
        </w:rPr>
        <w:t>La Secrétaire exécutive a également été priée d</w:t>
      </w:r>
      <w:r w:rsidRPr="00F24217">
        <w:rPr>
          <w:kern w:val="22"/>
          <w:sz w:val="22"/>
          <w:szCs w:val="22"/>
          <w:lang w:val="fr-CA"/>
        </w:rPr>
        <w:t>e présenter un rapport intérimaire sur les activités susmentionnées et l’application de la décision</w:t>
      </w:r>
      <w:r>
        <w:rPr>
          <w:kern w:val="22"/>
          <w:sz w:val="22"/>
          <w:szCs w:val="22"/>
          <w:lang w:val="fr-CA"/>
        </w:rPr>
        <w:t xml:space="preserve"> </w:t>
      </w:r>
      <w:hyperlink r:id="rId42" w:history="1">
        <w:r w:rsidRPr="00985693">
          <w:rPr>
            <w:rStyle w:val="Hyperlink"/>
            <w:sz w:val="22"/>
            <w:szCs w:val="22"/>
            <w:lang w:val="fr-FR"/>
          </w:rPr>
          <w:t>XIII/22</w:t>
        </w:r>
      </w:hyperlink>
      <w:r w:rsidRPr="00F24217">
        <w:rPr>
          <w:kern w:val="22"/>
          <w:sz w:val="22"/>
          <w:szCs w:val="22"/>
          <w:lang w:val="fr-CA"/>
        </w:rPr>
        <w:t xml:space="preserve">, pour examen par l’Organe subsidiaire chargé de l’application à sa troisième réunion </w:t>
      </w:r>
      <w:r w:rsidRPr="00985693">
        <w:rPr>
          <w:bCs/>
          <w:kern w:val="22"/>
          <w:sz w:val="22"/>
          <w:szCs w:val="22"/>
          <w:lang w:val="fr-FR"/>
        </w:rPr>
        <w:t>(CBD/SBI/3/9)</w:t>
      </w:r>
      <w:r>
        <w:rPr>
          <w:bCs/>
          <w:kern w:val="22"/>
          <w:sz w:val="22"/>
          <w:szCs w:val="22"/>
          <w:lang w:val="fr-FR"/>
        </w:rPr>
        <w:t xml:space="preserve"> </w:t>
      </w:r>
      <w:r w:rsidRPr="00F24217">
        <w:rPr>
          <w:kern w:val="22"/>
          <w:sz w:val="22"/>
          <w:szCs w:val="22"/>
          <w:lang w:val="fr-CA"/>
        </w:rPr>
        <w:t>et ensuite par la Conférence des Parties à sa quinzième réunion</w:t>
      </w:r>
      <w:r>
        <w:rPr>
          <w:kern w:val="22"/>
          <w:sz w:val="22"/>
          <w:szCs w:val="22"/>
          <w:lang w:val="fr-CA"/>
        </w:rPr>
        <w:t>.</w:t>
      </w:r>
      <w:r w:rsidR="006E6E5A">
        <w:rPr>
          <w:kern w:val="22"/>
          <w:sz w:val="22"/>
          <w:szCs w:val="22"/>
          <w:lang w:val="fr-CA"/>
        </w:rPr>
        <w:t xml:space="preserve"> En outre, au titre du point 5 de l’ordre du jour, une stratégie de communication pour le cadre mondial de la biodiversité pour l’après-2020 sera diffusée dans le document CBD/SBI/3/4/Add.1.</w:t>
      </w:r>
    </w:p>
    <w:p w14:paraId="44DE5520" w14:textId="204568ED" w:rsidR="00963644" w:rsidRPr="00E979F9" w:rsidRDefault="00E979F9" w:rsidP="00ED543F">
      <w:pPr>
        <w:pStyle w:val="Heading1"/>
        <w:suppressLineNumbers/>
        <w:tabs>
          <w:tab w:val="clear" w:pos="720"/>
        </w:tabs>
        <w:suppressAutoHyphens/>
        <w:spacing w:before="120"/>
        <w:ind w:left="1701" w:hanging="992"/>
        <w:jc w:val="left"/>
        <w:rPr>
          <w:snapToGrid w:val="0"/>
          <w:kern w:val="22"/>
          <w:sz w:val="22"/>
          <w:szCs w:val="22"/>
          <w:lang w:val="fr-FR"/>
        </w:rPr>
      </w:pPr>
      <w:r w:rsidRPr="00E979F9">
        <w:rPr>
          <w:snapToGrid w:val="0"/>
          <w:kern w:val="22"/>
          <w:sz w:val="22"/>
          <w:szCs w:val="22"/>
          <w:lang w:val="fr-FR"/>
        </w:rPr>
        <w:t>point</w:t>
      </w:r>
      <w:r w:rsidR="00963644" w:rsidRPr="00E979F9">
        <w:rPr>
          <w:snapToGrid w:val="0"/>
          <w:kern w:val="22"/>
          <w:sz w:val="22"/>
          <w:szCs w:val="22"/>
          <w:lang w:val="fr-FR"/>
        </w:rPr>
        <w:t xml:space="preserve"> 8.</w:t>
      </w:r>
      <w:r w:rsidR="00963644" w:rsidRPr="00E979F9">
        <w:rPr>
          <w:snapToGrid w:val="0"/>
          <w:kern w:val="22"/>
          <w:sz w:val="22"/>
          <w:szCs w:val="22"/>
          <w:lang w:val="fr-FR"/>
        </w:rPr>
        <w:tab/>
        <w:t>Coop</w:t>
      </w:r>
      <w:r w:rsidRPr="00E979F9">
        <w:rPr>
          <w:snapToGrid w:val="0"/>
          <w:kern w:val="22"/>
          <w:sz w:val="22"/>
          <w:szCs w:val="22"/>
          <w:lang w:val="fr-FR"/>
        </w:rPr>
        <w:t>É</w:t>
      </w:r>
      <w:r w:rsidR="00963644" w:rsidRPr="00E979F9">
        <w:rPr>
          <w:snapToGrid w:val="0"/>
          <w:kern w:val="22"/>
          <w:sz w:val="22"/>
          <w:szCs w:val="22"/>
          <w:lang w:val="fr-FR"/>
        </w:rPr>
        <w:t xml:space="preserve">ration </w:t>
      </w:r>
      <w:r w:rsidRPr="00E979F9">
        <w:rPr>
          <w:snapToGrid w:val="0"/>
          <w:kern w:val="22"/>
          <w:sz w:val="22"/>
          <w:szCs w:val="22"/>
          <w:lang w:val="fr-FR"/>
        </w:rPr>
        <w:t>avec d’autres conventions, organisations et initiatives internationales</w:t>
      </w:r>
    </w:p>
    <w:p w14:paraId="207498D3" w14:textId="5C12821E" w:rsidR="00076574" w:rsidRPr="00E979F9" w:rsidRDefault="00E979F9"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E979F9">
        <w:rPr>
          <w:bCs/>
          <w:kern w:val="22"/>
          <w:sz w:val="22"/>
          <w:szCs w:val="22"/>
          <w:lang w:val="fr-FR"/>
        </w:rPr>
        <w:t>Dans la décision</w:t>
      </w:r>
      <w:r w:rsidR="00076574" w:rsidRPr="00E979F9">
        <w:rPr>
          <w:bCs/>
          <w:kern w:val="22"/>
          <w:sz w:val="22"/>
          <w:szCs w:val="22"/>
          <w:lang w:val="fr-FR"/>
        </w:rPr>
        <w:t xml:space="preserve"> </w:t>
      </w:r>
      <w:hyperlink r:id="rId43" w:history="1">
        <w:r w:rsidR="0033701E" w:rsidRPr="00E979F9">
          <w:rPr>
            <w:rStyle w:val="Hyperlink"/>
            <w:sz w:val="22"/>
            <w:szCs w:val="22"/>
            <w:lang w:val="fr-FR"/>
          </w:rPr>
          <w:t>14/</w:t>
        </w:r>
        <w:r w:rsidR="002D5D03" w:rsidRPr="00E979F9">
          <w:rPr>
            <w:rStyle w:val="Hyperlink"/>
            <w:sz w:val="22"/>
            <w:szCs w:val="22"/>
            <w:lang w:val="fr-FR"/>
          </w:rPr>
          <w:t>30</w:t>
        </w:r>
      </w:hyperlink>
      <w:r w:rsidR="0033701E" w:rsidRPr="00E979F9">
        <w:rPr>
          <w:bCs/>
          <w:kern w:val="22"/>
          <w:sz w:val="22"/>
          <w:szCs w:val="22"/>
          <w:lang w:val="fr-FR"/>
        </w:rPr>
        <w:t xml:space="preserve">, </w:t>
      </w:r>
      <w:r w:rsidR="000F7C25">
        <w:rPr>
          <w:bCs/>
          <w:kern w:val="22"/>
          <w:sz w:val="22"/>
          <w:szCs w:val="22"/>
          <w:lang w:val="fr-FR"/>
        </w:rPr>
        <w:t xml:space="preserve">la Conférence des Parties a examiné les </w:t>
      </w:r>
      <w:r w:rsidR="00EF599E">
        <w:rPr>
          <w:bCs/>
          <w:kern w:val="22"/>
          <w:sz w:val="22"/>
          <w:szCs w:val="22"/>
          <w:lang w:val="fr-FR"/>
        </w:rPr>
        <w:t>travaux en cours pour renforcer la coopération avec d’autres conventions, organisations et initiatives internationales ainsi que les synergies entre les conventions.</w:t>
      </w:r>
    </w:p>
    <w:p w14:paraId="3417AC39" w14:textId="297EE732" w:rsidR="00786856" w:rsidRPr="00E979F9" w:rsidRDefault="00EF599E"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lastRenderedPageBreak/>
        <w:t>La Secrétaire exécutive a été priée, dans la limite des ressources disponibles</w:t>
      </w:r>
      <w:r w:rsidR="004D5A6A" w:rsidRPr="00E979F9">
        <w:rPr>
          <w:bCs/>
          <w:kern w:val="22"/>
          <w:sz w:val="22"/>
          <w:szCs w:val="22"/>
          <w:lang w:val="fr-FR"/>
        </w:rPr>
        <w:t xml:space="preserve">, </w:t>
      </w:r>
      <w:r>
        <w:rPr>
          <w:bCs/>
          <w:kern w:val="22"/>
          <w:sz w:val="22"/>
          <w:szCs w:val="22"/>
          <w:lang w:val="fr-FR"/>
        </w:rPr>
        <w:t xml:space="preserve">de continuer à appuyer les travaux du groupe consultatif informel sur les synergies et d’organiser un atelier </w:t>
      </w:r>
      <w:r w:rsidR="007F65B4">
        <w:rPr>
          <w:bCs/>
          <w:kern w:val="22"/>
          <w:sz w:val="22"/>
          <w:szCs w:val="22"/>
          <w:lang w:val="fr-FR"/>
        </w:rPr>
        <w:t>afin de</w:t>
      </w:r>
      <w:r>
        <w:rPr>
          <w:bCs/>
          <w:kern w:val="22"/>
          <w:sz w:val="22"/>
          <w:szCs w:val="22"/>
          <w:lang w:val="fr-FR"/>
        </w:rPr>
        <w:t xml:space="preserve"> </w:t>
      </w:r>
      <w:r w:rsidRPr="00EF599E">
        <w:rPr>
          <w:bCs/>
          <w:kern w:val="22"/>
          <w:sz w:val="22"/>
          <w:szCs w:val="22"/>
          <w:lang w:val="fr-FR"/>
        </w:rPr>
        <w:t xml:space="preserve">faciliter </w:t>
      </w:r>
      <w:r w:rsidRPr="00EF599E">
        <w:rPr>
          <w:color w:val="000000"/>
          <w:kern w:val="22"/>
          <w:sz w:val="22"/>
          <w:szCs w:val="22"/>
          <w:lang w:val="fr-FR"/>
        </w:rPr>
        <w:t xml:space="preserve">les débats entre les Parties des diverses conventions relatives à la </w:t>
      </w:r>
      <w:r w:rsidRPr="007F65B4">
        <w:rPr>
          <w:color w:val="000000"/>
          <w:kern w:val="22"/>
          <w:sz w:val="22"/>
          <w:szCs w:val="22"/>
          <w:lang w:val="fr-FR"/>
        </w:rPr>
        <w:t>biodiversité</w:t>
      </w:r>
      <w:r w:rsidR="007F65B4" w:rsidRPr="007F65B4">
        <w:rPr>
          <w:color w:val="000000"/>
          <w:kern w:val="22"/>
          <w:sz w:val="22"/>
          <w:szCs w:val="22"/>
          <w:lang w:val="fr-FR"/>
        </w:rPr>
        <w:t xml:space="preserve"> </w:t>
      </w:r>
      <w:r w:rsidR="007F65B4" w:rsidRPr="007F65B4">
        <w:rPr>
          <w:kern w:val="22"/>
          <w:sz w:val="22"/>
          <w:szCs w:val="22"/>
          <w:lang w:val="fr-FR"/>
        </w:rPr>
        <w:t>e</w:t>
      </w:r>
      <w:r w:rsidR="007F65B4">
        <w:rPr>
          <w:kern w:val="22"/>
          <w:sz w:val="22"/>
          <w:szCs w:val="22"/>
          <w:lang w:val="fr-FR"/>
        </w:rPr>
        <w:t xml:space="preserve">t </w:t>
      </w:r>
      <w:r w:rsidR="007F65B4" w:rsidRPr="007F65B4">
        <w:rPr>
          <w:kern w:val="22"/>
          <w:sz w:val="22"/>
          <w:szCs w:val="22"/>
          <w:lang w:val="fr-FR"/>
        </w:rPr>
        <w:t xml:space="preserve">de renforcer leur participation à la conception du </w:t>
      </w:r>
      <w:r w:rsidR="007F65B4" w:rsidRPr="007F65B4">
        <w:rPr>
          <w:color w:val="000000"/>
          <w:kern w:val="22"/>
          <w:sz w:val="22"/>
          <w:szCs w:val="22"/>
          <w:lang w:val="fr-FR"/>
        </w:rPr>
        <w:t>cadre mondial de la biodiversité pour l’après-2020</w:t>
      </w:r>
      <w:r w:rsidR="007F65B4">
        <w:rPr>
          <w:color w:val="000000"/>
          <w:kern w:val="22"/>
          <w:sz w:val="22"/>
          <w:szCs w:val="22"/>
          <w:lang w:val="fr-FR"/>
        </w:rPr>
        <w:t>.</w:t>
      </w:r>
    </w:p>
    <w:p w14:paraId="0B36CAD2" w14:textId="108F2EC1" w:rsidR="00076574" w:rsidRPr="00E979F9" w:rsidRDefault="007F65B4"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examinera une mise à jour sur la coopération </w:t>
      </w:r>
      <w:r w:rsidR="00447483" w:rsidRPr="00E979F9">
        <w:rPr>
          <w:bCs/>
          <w:kern w:val="22"/>
          <w:sz w:val="22"/>
          <w:szCs w:val="22"/>
          <w:lang w:val="fr-FR"/>
        </w:rPr>
        <w:t>(CBD/SBI/3/10)</w:t>
      </w:r>
      <w:r w:rsidR="00011731" w:rsidRPr="00E979F9">
        <w:rPr>
          <w:bCs/>
          <w:kern w:val="22"/>
          <w:sz w:val="22"/>
          <w:szCs w:val="22"/>
          <w:lang w:val="fr-FR"/>
        </w:rPr>
        <w:t>,</w:t>
      </w:r>
      <w:r w:rsidR="00DC1B72" w:rsidRPr="00E979F9">
        <w:rPr>
          <w:bCs/>
          <w:kern w:val="22"/>
          <w:sz w:val="22"/>
          <w:szCs w:val="22"/>
          <w:lang w:val="fr-FR"/>
        </w:rPr>
        <w:t xml:space="preserve"> </w:t>
      </w:r>
      <w:r>
        <w:rPr>
          <w:bCs/>
          <w:kern w:val="22"/>
          <w:sz w:val="22"/>
          <w:szCs w:val="22"/>
          <w:lang w:val="fr-FR"/>
        </w:rPr>
        <w:t>y compris un rapport intérimaire du groupe de travail informel, ainsi que les rapports des ateliers de consultation tenus avec des conventions relatives à la biodiversité et les conventions de Rio sur le cadre mondial de la biodiversité pour l’après-2020.</w:t>
      </w:r>
    </w:p>
    <w:p w14:paraId="500F9209" w14:textId="25497E15" w:rsidR="00E53D7E" w:rsidRPr="00E979F9" w:rsidRDefault="007F65B4" w:rsidP="00ED543F">
      <w:pPr>
        <w:pStyle w:val="Heading1"/>
        <w:suppressLineNumbers/>
        <w:tabs>
          <w:tab w:val="clear" w:pos="720"/>
        </w:tabs>
        <w:suppressAutoHyphens/>
        <w:spacing w:before="120"/>
        <w:ind w:left="1559" w:hanging="992"/>
        <w:jc w:val="left"/>
        <w:rPr>
          <w:snapToGrid w:val="0"/>
          <w:kern w:val="22"/>
          <w:sz w:val="22"/>
          <w:szCs w:val="22"/>
          <w:lang w:val="fr-FR"/>
        </w:rPr>
      </w:pPr>
      <w:r>
        <w:rPr>
          <w:snapToGrid w:val="0"/>
          <w:kern w:val="22"/>
          <w:sz w:val="22"/>
          <w:szCs w:val="22"/>
          <w:lang w:val="fr-FR"/>
        </w:rPr>
        <w:t>point</w:t>
      </w:r>
      <w:r w:rsidR="00E53D7E" w:rsidRPr="00E979F9">
        <w:rPr>
          <w:snapToGrid w:val="0"/>
          <w:kern w:val="22"/>
          <w:sz w:val="22"/>
          <w:szCs w:val="22"/>
          <w:lang w:val="fr-FR"/>
        </w:rPr>
        <w:t xml:space="preserve"> </w:t>
      </w:r>
      <w:r w:rsidR="00963644" w:rsidRPr="00E979F9">
        <w:rPr>
          <w:snapToGrid w:val="0"/>
          <w:kern w:val="22"/>
          <w:sz w:val="22"/>
          <w:szCs w:val="22"/>
          <w:lang w:val="fr-FR"/>
        </w:rPr>
        <w:t>9</w:t>
      </w:r>
      <w:r w:rsidR="00E53D7E" w:rsidRPr="00E979F9">
        <w:rPr>
          <w:snapToGrid w:val="0"/>
          <w:kern w:val="22"/>
          <w:sz w:val="22"/>
          <w:szCs w:val="22"/>
          <w:lang w:val="fr-FR"/>
        </w:rPr>
        <w:t>.</w:t>
      </w:r>
      <w:r w:rsidR="00E53D7E" w:rsidRPr="00E979F9">
        <w:rPr>
          <w:snapToGrid w:val="0"/>
          <w:kern w:val="22"/>
          <w:sz w:val="22"/>
          <w:szCs w:val="22"/>
          <w:lang w:val="fr-FR"/>
        </w:rPr>
        <w:tab/>
        <w:t>M</w:t>
      </w:r>
      <w:r w:rsidR="003C0ECF">
        <w:rPr>
          <w:snapToGrid w:val="0"/>
          <w:kern w:val="22"/>
          <w:sz w:val="22"/>
          <w:szCs w:val="22"/>
          <w:lang w:val="fr-FR"/>
        </w:rPr>
        <w:t>Écanismes d’Établissement des rapports, d’Évaluation et d’examen</w:t>
      </w:r>
    </w:p>
    <w:p w14:paraId="56EDC575" w14:textId="5E2D10B1" w:rsidR="00EE42ED" w:rsidRPr="00E979F9" w:rsidRDefault="003C0ECF"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EE42ED" w:rsidRPr="00E979F9">
        <w:rPr>
          <w:bCs/>
          <w:kern w:val="22"/>
          <w:sz w:val="22"/>
          <w:szCs w:val="22"/>
          <w:lang w:val="fr-FR"/>
        </w:rPr>
        <w:t xml:space="preserve"> </w:t>
      </w:r>
      <w:hyperlink r:id="rId44" w:history="1">
        <w:r w:rsidR="00EE42ED" w:rsidRPr="00E979F9">
          <w:rPr>
            <w:rStyle w:val="Hyperlink"/>
            <w:sz w:val="22"/>
            <w:szCs w:val="22"/>
            <w:lang w:val="fr-FR"/>
          </w:rPr>
          <w:t>14/29</w:t>
        </w:r>
      </w:hyperlink>
      <w:r w:rsidR="00EE42ED" w:rsidRPr="00E979F9">
        <w:rPr>
          <w:bCs/>
          <w:kern w:val="22"/>
          <w:sz w:val="22"/>
          <w:szCs w:val="22"/>
          <w:lang w:val="fr-FR"/>
        </w:rPr>
        <w:t xml:space="preserve">, </w:t>
      </w:r>
      <w:r w:rsidR="00CA0B0B">
        <w:rPr>
          <w:bCs/>
          <w:kern w:val="22"/>
          <w:sz w:val="22"/>
          <w:szCs w:val="22"/>
          <w:lang w:val="fr-FR"/>
        </w:rPr>
        <w:t>la Conférence des Parties a abordé les mécanismes d’examen de l</w:t>
      </w:r>
      <w:r w:rsidR="006E6E5A">
        <w:rPr>
          <w:bCs/>
          <w:kern w:val="22"/>
          <w:sz w:val="22"/>
          <w:szCs w:val="22"/>
          <w:lang w:val="fr-FR"/>
        </w:rPr>
        <w:t>a Convention</w:t>
      </w:r>
      <w:r w:rsidR="00CA0B0B">
        <w:rPr>
          <w:bCs/>
          <w:kern w:val="22"/>
          <w:sz w:val="22"/>
          <w:szCs w:val="22"/>
          <w:lang w:val="fr-FR"/>
        </w:rPr>
        <w:t>.</w:t>
      </w:r>
    </w:p>
    <w:p w14:paraId="7ABCFB0F" w14:textId="6BCE0019" w:rsidR="00EE42ED" w:rsidRPr="008B4D26" w:rsidRDefault="00670D25"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La Secrétaire exécutive a été priée de </w:t>
      </w:r>
      <w:r w:rsidRPr="00670D25">
        <w:rPr>
          <w:kern w:val="22"/>
          <w:sz w:val="22"/>
          <w:szCs w:val="22"/>
          <w:lang w:val="fr-FR" w:bidi="fr-FR"/>
        </w:rPr>
        <w:t>préparer et organiser l’essai d’un processus d’examen mené par les Parties dans le cadre d’un forum à composition non limitée à la troisième réunion de l’Organe subsidiaire chargé de l’application</w:t>
      </w:r>
      <w:r w:rsidR="003B5CBE">
        <w:rPr>
          <w:kern w:val="22"/>
          <w:sz w:val="22"/>
          <w:szCs w:val="22"/>
          <w:lang w:val="fr-FR" w:bidi="fr-FR"/>
        </w:rPr>
        <w:t xml:space="preserve"> et d’élaborer</w:t>
      </w:r>
      <w:r w:rsidR="003B5CBE">
        <w:rPr>
          <w:kern w:val="22"/>
          <w:lang w:val="fr-FR" w:bidi="fr-FR"/>
        </w:rPr>
        <w:t xml:space="preserve"> </w:t>
      </w:r>
      <w:r w:rsidR="003B5CBE" w:rsidRPr="003B5CBE">
        <w:rPr>
          <w:kern w:val="22"/>
          <w:sz w:val="22"/>
          <w:szCs w:val="22"/>
          <w:lang w:val="fr-FR" w:bidi="fr-FR"/>
        </w:rPr>
        <w:t>des orientations pour la prestation volontaire de rapports d’examen lors du forum</w:t>
      </w:r>
      <w:r w:rsidR="003B5CBE">
        <w:rPr>
          <w:kern w:val="22"/>
          <w:sz w:val="22"/>
          <w:szCs w:val="22"/>
          <w:lang w:val="fr-FR" w:bidi="fr-FR"/>
        </w:rPr>
        <w:t xml:space="preserve">. Elle a aussi été priée de développer </w:t>
      </w:r>
      <w:r w:rsidR="003B5CBE" w:rsidRPr="003B5CBE">
        <w:rPr>
          <w:kern w:val="22"/>
          <w:sz w:val="22"/>
          <w:szCs w:val="22"/>
          <w:lang w:val="fr-FR" w:bidi="fr-FR"/>
        </w:rPr>
        <w:t>des options d’amélioration des mécanismes d’examen en vue de renforcer l’application</w:t>
      </w:r>
      <w:r w:rsidR="006A7D25">
        <w:rPr>
          <w:kern w:val="22"/>
          <w:sz w:val="22"/>
          <w:szCs w:val="22"/>
          <w:lang w:val="fr-FR" w:bidi="fr-FR"/>
        </w:rPr>
        <w:t xml:space="preserve">, et </w:t>
      </w:r>
      <w:r w:rsidR="003B5CBE">
        <w:rPr>
          <w:kern w:val="22"/>
          <w:sz w:val="22"/>
          <w:szCs w:val="22"/>
          <w:lang w:val="fr-FR" w:bidi="fr-FR"/>
        </w:rPr>
        <w:t xml:space="preserve">de faire rapport sur </w:t>
      </w:r>
      <w:r w:rsidR="003B5CBE" w:rsidRPr="003B5CBE">
        <w:rPr>
          <w:kern w:val="22"/>
          <w:sz w:val="22"/>
          <w:szCs w:val="22"/>
          <w:lang w:val="fr-FR" w:bidi="fr-FR"/>
        </w:rPr>
        <w:t>les modalités éventuelles de l’application d’approches pour l’amélioration de l’examen de l’application dans le cadre de l’élaboration du cadre mondial de la biodiversité pour l’après-2020</w:t>
      </w:r>
      <w:r w:rsidR="006A7D25">
        <w:rPr>
          <w:kern w:val="22"/>
          <w:sz w:val="22"/>
          <w:szCs w:val="22"/>
          <w:lang w:val="fr-FR" w:bidi="fr-FR"/>
        </w:rPr>
        <w:t>.</w:t>
      </w:r>
    </w:p>
    <w:p w14:paraId="3E0C6C4B" w14:textId="568BB1FF" w:rsidR="008B4D26" w:rsidRDefault="008B4D26"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En outre, au paragraphe 18 de la décision </w:t>
      </w:r>
      <w:r w:rsidRPr="00E979F9">
        <w:rPr>
          <w:bCs/>
          <w:kern w:val="22"/>
          <w:sz w:val="22"/>
          <w:szCs w:val="22"/>
          <w:lang w:val="fr-FR"/>
        </w:rPr>
        <w:t>14/34,</w:t>
      </w:r>
      <w:r>
        <w:rPr>
          <w:bCs/>
          <w:kern w:val="22"/>
          <w:sz w:val="22"/>
          <w:szCs w:val="22"/>
          <w:lang w:val="fr-FR"/>
        </w:rPr>
        <w:t xml:space="preserve"> la Conférence des Parties a prié </w:t>
      </w:r>
      <w:r w:rsidRPr="006A7D25">
        <w:rPr>
          <w:iCs/>
          <w:kern w:val="22"/>
          <w:sz w:val="22"/>
          <w:szCs w:val="22"/>
          <w:lang w:val="fr-FR"/>
        </w:rPr>
        <w:t>l’Organe subsidiaire chargé de l’application</w:t>
      </w:r>
      <w:r>
        <w:rPr>
          <w:iCs/>
          <w:kern w:val="22"/>
          <w:sz w:val="22"/>
          <w:szCs w:val="22"/>
          <w:lang w:val="fr-FR"/>
        </w:rPr>
        <w:t xml:space="preserve"> à sa troisième réunion</w:t>
      </w:r>
      <w:r w:rsidRPr="006A7D25">
        <w:rPr>
          <w:iCs/>
          <w:kern w:val="22"/>
          <w:sz w:val="22"/>
          <w:szCs w:val="22"/>
          <w:lang w:val="fr-FR"/>
        </w:rPr>
        <w:t xml:space="preserve"> de </w:t>
      </w:r>
      <w:r>
        <w:rPr>
          <w:iCs/>
          <w:kern w:val="22"/>
          <w:sz w:val="22"/>
          <w:szCs w:val="22"/>
          <w:lang w:val="fr-FR"/>
        </w:rPr>
        <w:t xml:space="preserve">compléter le cadre mondial de la biodiversité pour l’après-2020 par </w:t>
      </w:r>
      <w:r w:rsidRPr="006A7D25">
        <w:rPr>
          <w:iCs/>
          <w:kern w:val="22"/>
          <w:sz w:val="22"/>
          <w:szCs w:val="22"/>
          <w:lang w:val="fr-FR"/>
        </w:rPr>
        <w:t>d</w:t>
      </w:r>
      <w:r>
        <w:rPr>
          <w:iCs/>
          <w:kern w:val="22"/>
          <w:sz w:val="22"/>
          <w:szCs w:val="22"/>
          <w:lang w:val="fr-FR"/>
        </w:rPr>
        <w:t xml:space="preserve">es </w:t>
      </w:r>
      <w:r w:rsidRPr="006A7D25">
        <w:rPr>
          <w:iCs/>
          <w:kern w:val="22"/>
          <w:sz w:val="22"/>
          <w:szCs w:val="22"/>
          <w:lang w:val="fr-FR"/>
        </w:rPr>
        <w:t>éléments sur des moyens de soutenir et d’analyser sa mise en œuvre</w:t>
      </w:r>
      <w:r>
        <w:rPr>
          <w:rFonts w:eastAsia="MS Mincho"/>
          <w:bCs/>
          <w:kern w:val="22"/>
          <w:sz w:val="22"/>
          <w:szCs w:val="22"/>
          <w:lang w:val="fr-FR"/>
        </w:rPr>
        <w:t>.</w:t>
      </w:r>
    </w:p>
    <w:p w14:paraId="58E6B159" w14:textId="7B870623" w:rsidR="008B4D26" w:rsidRPr="00E979F9" w:rsidRDefault="008B4D26"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Dans la décision </w:t>
      </w:r>
      <w:hyperlink r:id="rId45" w:history="1">
        <w:r w:rsidRPr="00E979F9">
          <w:rPr>
            <w:rStyle w:val="Hyperlink"/>
            <w:sz w:val="22"/>
            <w:szCs w:val="22"/>
            <w:lang w:val="fr-FR"/>
          </w:rPr>
          <w:t>14/27</w:t>
        </w:r>
      </w:hyperlink>
      <w:r w:rsidRPr="00E979F9">
        <w:rPr>
          <w:bCs/>
          <w:kern w:val="22"/>
          <w:sz w:val="22"/>
          <w:szCs w:val="22"/>
          <w:lang w:val="fr-FR"/>
        </w:rPr>
        <w:t xml:space="preserve">, </w:t>
      </w:r>
      <w:r>
        <w:rPr>
          <w:bCs/>
          <w:kern w:val="22"/>
          <w:sz w:val="22"/>
          <w:szCs w:val="22"/>
          <w:lang w:val="fr-FR"/>
        </w:rPr>
        <w:t>la Conférence des Parties a demandé à la Secrétaire exécutive de fournir des mises à jour sur les travaux relatifs à l’établissement des rapports nationaux, en particulier en réponse aux demandes faites aux paragraphes</w:t>
      </w:r>
      <w:r w:rsidRPr="00E979F9">
        <w:rPr>
          <w:bCs/>
          <w:kern w:val="22"/>
          <w:sz w:val="22"/>
          <w:szCs w:val="22"/>
          <w:lang w:val="fr-FR"/>
        </w:rPr>
        <w:t xml:space="preserve"> 3b), e) </w:t>
      </w:r>
      <w:r>
        <w:rPr>
          <w:bCs/>
          <w:kern w:val="22"/>
          <w:sz w:val="22"/>
          <w:szCs w:val="22"/>
          <w:lang w:val="fr-FR"/>
        </w:rPr>
        <w:t>et</w:t>
      </w:r>
      <w:r w:rsidRPr="00E979F9">
        <w:rPr>
          <w:bCs/>
          <w:kern w:val="22"/>
          <w:sz w:val="22"/>
          <w:szCs w:val="22"/>
          <w:lang w:val="fr-FR"/>
        </w:rPr>
        <w:t xml:space="preserve"> h).</w:t>
      </w:r>
    </w:p>
    <w:p w14:paraId="3EF85B52" w14:textId="2BE05068" w:rsidR="00EE42ED" w:rsidRPr="00E979F9" w:rsidRDefault="007A1B69"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À sa troisième réunion, dans le cadre de l’organisation de ses travaux, l’Organe subsidiaire mettra à l’essai</w:t>
      </w:r>
      <w:r w:rsidR="002536D6">
        <w:rPr>
          <w:bCs/>
          <w:kern w:val="22"/>
          <w:sz w:val="22"/>
          <w:szCs w:val="22"/>
          <w:lang w:val="fr-FR"/>
        </w:rPr>
        <w:t xml:space="preserve"> </w:t>
      </w:r>
      <w:r>
        <w:rPr>
          <w:bCs/>
          <w:kern w:val="22"/>
          <w:sz w:val="22"/>
          <w:szCs w:val="22"/>
          <w:lang w:val="fr-FR"/>
        </w:rPr>
        <w:t>un forum à composition non limitée (processus d’examen</w:t>
      </w:r>
      <w:r w:rsidR="002536D6">
        <w:rPr>
          <w:bCs/>
          <w:kern w:val="22"/>
          <w:sz w:val="22"/>
          <w:szCs w:val="22"/>
          <w:lang w:val="fr-FR"/>
        </w:rPr>
        <w:t xml:space="preserve"> dirigé par les Parties)</w:t>
      </w:r>
      <w:r w:rsidR="009268C2">
        <w:rPr>
          <w:bCs/>
          <w:kern w:val="22"/>
          <w:sz w:val="22"/>
          <w:szCs w:val="22"/>
          <w:lang w:val="fr-FR"/>
        </w:rPr>
        <w:t>.</w:t>
      </w:r>
    </w:p>
    <w:p w14:paraId="405786A0" w14:textId="77777777" w:rsidR="009268C2" w:rsidRPr="009268C2" w:rsidRDefault="008F1441" w:rsidP="001B6130">
      <w:pPr>
        <w:pStyle w:val="Para1"/>
        <w:numPr>
          <w:ilvl w:val="0"/>
          <w:numId w:val="14"/>
        </w:numPr>
        <w:suppressLineNumbers/>
        <w:tabs>
          <w:tab w:val="num" w:pos="720"/>
        </w:tabs>
        <w:suppressAutoHyphens/>
        <w:spacing w:before="120"/>
        <w:ind w:left="0" w:firstLine="0"/>
        <w:jc w:val="both"/>
        <w:rPr>
          <w:rFonts w:eastAsia="MS Mincho"/>
          <w:bCs/>
          <w:kern w:val="22"/>
          <w:sz w:val="22"/>
          <w:szCs w:val="22"/>
          <w:lang w:val="fr-FR"/>
        </w:rPr>
      </w:pPr>
      <w:r>
        <w:rPr>
          <w:rFonts w:eastAsia="MS Mincho"/>
          <w:bCs/>
          <w:kern w:val="22"/>
          <w:sz w:val="22"/>
          <w:szCs w:val="22"/>
          <w:lang w:val="fr-FR"/>
        </w:rPr>
        <w:t xml:space="preserve">L’Organe subsidiaire </w:t>
      </w:r>
      <w:r w:rsidR="009268C2">
        <w:rPr>
          <w:rFonts w:eastAsia="MS Mincho"/>
          <w:bCs/>
          <w:kern w:val="22"/>
          <w:sz w:val="22"/>
          <w:szCs w:val="22"/>
          <w:lang w:val="fr-FR"/>
        </w:rPr>
        <w:t xml:space="preserve">devrait aussi </w:t>
      </w:r>
      <w:r>
        <w:rPr>
          <w:rFonts w:eastAsia="MS Mincho"/>
          <w:bCs/>
          <w:kern w:val="22"/>
          <w:sz w:val="22"/>
          <w:szCs w:val="22"/>
          <w:lang w:val="fr-FR"/>
        </w:rPr>
        <w:t xml:space="preserve"> </w:t>
      </w:r>
      <w:r w:rsidR="009268C2">
        <w:rPr>
          <w:rFonts w:eastAsia="MS Mincho"/>
          <w:bCs/>
          <w:kern w:val="22"/>
          <w:sz w:val="22"/>
          <w:szCs w:val="22"/>
          <w:lang w:val="fr-FR"/>
        </w:rPr>
        <w:t xml:space="preserve">examiner </w:t>
      </w:r>
      <w:r>
        <w:rPr>
          <w:rFonts w:eastAsia="MS Mincho"/>
          <w:bCs/>
          <w:kern w:val="22"/>
          <w:sz w:val="22"/>
          <w:szCs w:val="22"/>
          <w:lang w:val="fr-FR"/>
        </w:rPr>
        <w:t>des options</w:t>
      </w:r>
      <w:r w:rsidR="00EE42ED" w:rsidRPr="00E979F9">
        <w:rPr>
          <w:rFonts w:eastAsia="MS Mincho"/>
          <w:bCs/>
          <w:kern w:val="22"/>
          <w:sz w:val="22"/>
          <w:szCs w:val="22"/>
          <w:lang w:val="fr-FR"/>
        </w:rPr>
        <w:t xml:space="preserve"> </w:t>
      </w:r>
      <w:r>
        <w:rPr>
          <w:rFonts w:eastAsia="MS Mincho"/>
          <w:bCs/>
          <w:kern w:val="22"/>
          <w:sz w:val="22"/>
          <w:szCs w:val="22"/>
          <w:lang w:val="fr-FR"/>
        </w:rPr>
        <w:t>pour améliorer l</w:t>
      </w:r>
      <w:r w:rsidRPr="003B5CBE">
        <w:rPr>
          <w:kern w:val="22"/>
          <w:sz w:val="22"/>
          <w:szCs w:val="22"/>
          <w:lang w:val="fr-FR" w:bidi="fr-FR"/>
        </w:rPr>
        <w:t>es mécanismes d’</w:t>
      </w:r>
      <w:r w:rsidR="009268C2">
        <w:rPr>
          <w:kern w:val="22"/>
          <w:sz w:val="22"/>
          <w:szCs w:val="22"/>
          <w:lang w:val="fr-FR" w:bidi="fr-FR"/>
        </w:rPr>
        <w:t>établissement des rapports, d’évaluation et d’</w:t>
      </w:r>
      <w:r w:rsidRPr="003B5CBE">
        <w:rPr>
          <w:kern w:val="22"/>
          <w:sz w:val="22"/>
          <w:szCs w:val="22"/>
          <w:lang w:val="fr-FR" w:bidi="fr-FR"/>
        </w:rPr>
        <w:t>examen en vue de renforcer l’application</w:t>
      </w:r>
      <w:r>
        <w:rPr>
          <w:kern w:val="22"/>
          <w:sz w:val="22"/>
          <w:szCs w:val="22"/>
          <w:lang w:val="fr-FR" w:bidi="fr-FR"/>
        </w:rPr>
        <w:t xml:space="preserve"> de la Convention</w:t>
      </w:r>
      <w:r w:rsidR="009268C2">
        <w:rPr>
          <w:kern w:val="22"/>
          <w:sz w:val="22"/>
          <w:szCs w:val="22"/>
          <w:lang w:val="fr-FR" w:bidi="fr-FR"/>
        </w:rPr>
        <w:t>.</w:t>
      </w:r>
    </w:p>
    <w:p w14:paraId="5F39E113" w14:textId="1D702F16" w:rsidR="00EE42ED" w:rsidRPr="00B015B5" w:rsidRDefault="009268C2" w:rsidP="001B6130">
      <w:pPr>
        <w:pStyle w:val="Para1"/>
        <w:numPr>
          <w:ilvl w:val="0"/>
          <w:numId w:val="14"/>
        </w:numPr>
        <w:suppressLineNumbers/>
        <w:tabs>
          <w:tab w:val="num" w:pos="720"/>
        </w:tabs>
        <w:suppressAutoHyphens/>
        <w:spacing w:before="120"/>
        <w:ind w:left="0" w:firstLine="0"/>
        <w:jc w:val="both"/>
        <w:rPr>
          <w:rFonts w:eastAsia="MS Mincho"/>
          <w:bCs/>
          <w:kern w:val="22"/>
          <w:sz w:val="22"/>
          <w:szCs w:val="22"/>
          <w:lang w:val="fr-FR"/>
        </w:rPr>
      </w:pPr>
      <w:r>
        <w:rPr>
          <w:rFonts w:eastAsia="MS Mincho"/>
          <w:bCs/>
          <w:kern w:val="22"/>
          <w:sz w:val="22"/>
          <w:szCs w:val="22"/>
          <w:lang w:val="fr-FR"/>
        </w:rPr>
        <w:t xml:space="preserve">Afin d’aider l’Organe subsidiaire à entreprendre ces tâches, la Secrétaire exécutive diffusera les documents </w:t>
      </w:r>
      <w:r w:rsidRPr="00E979F9">
        <w:rPr>
          <w:bCs/>
          <w:kern w:val="22"/>
          <w:sz w:val="22"/>
          <w:szCs w:val="22"/>
          <w:lang w:val="fr-FR"/>
        </w:rPr>
        <w:t xml:space="preserve">CBD/SBI/3/11 </w:t>
      </w:r>
      <w:r>
        <w:rPr>
          <w:bCs/>
          <w:kern w:val="22"/>
          <w:sz w:val="22"/>
          <w:szCs w:val="22"/>
          <w:lang w:val="fr-FR"/>
        </w:rPr>
        <w:t>et</w:t>
      </w:r>
      <w:r w:rsidRPr="00E979F9">
        <w:rPr>
          <w:bCs/>
          <w:kern w:val="22"/>
          <w:sz w:val="22"/>
          <w:szCs w:val="22"/>
          <w:lang w:val="fr-FR"/>
        </w:rPr>
        <w:t xml:space="preserve"> Add.1</w:t>
      </w:r>
      <w:r>
        <w:rPr>
          <w:bCs/>
          <w:kern w:val="22"/>
          <w:sz w:val="22"/>
          <w:szCs w:val="22"/>
          <w:lang w:val="fr-FR"/>
        </w:rPr>
        <w:t xml:space="preserve"> et 2, qui comprennent, entre autres,</w:t>
      </w:r>
      <w:r w:rsidR="009273C8">
        <w:rPr>
          <w:bCs/>
          <w:kern w:val="22"/>
          <w:sz w:val="22"/>
          <w:szCs w:val="22"/>
          <w:lang w:val="fr-FR"/>
        </w:rPr>
        <w:t xml:space="preserve"> les résultats de</w:t>
      </w:r>
      <w:r w:rsidR="00C52D94">
        <w:rPr>
          <w:bCs/>
          <w:kern w:val="22"/>
          <w:sz w:val="22"/>
          <w:szCs w:val="22"/>
          <w:lang w:val="fr-FR"/>
        </w:rPr>
        <w:t xml:space="preserve"> la</w:t>
      </w:r>
      <w:r w:rsidR="009273C8">
        <w:rPr>
          <w:bCs/>
          <w:kern w:val="22"/>
          <w:sz w:val="22"/>
          <w:szCs w:val="22"/>
          <w:lang w:val="fr-FR"/>
        </w:rPr>
        <w:t xml:space="preserve"> consultation thématique</w:t>
      </w:r>
      <w:r w:rsidR="00C52D94">
        <w:rPr>
          <w:bCs/>
          <w:kern w:val="22"/>
          <w:sz w:val="22"/>
          <w:szCs w:val="22"/>
          <w:lang w:val="fr-FR"/>
        </w:rPr>
        <w:t xml:space="preserve"> sur </w:t>
      </w:r>
      <w:r w:rsidR="009F7F0C">
        <w:rPr>
          <w:bCs/>
          <w:kern w:val="22"/>
          <w:sz w:val="22"/>
          <w:szCs w:val="22"/>
          <w:lang w:val="fr-FR"/>
        </w:rPr>
        <w:t xml:space="preserve">la transparence de la </w:t>
      </w:r>
      <w:r w:rsidR="00C52D94">
        <w:rPr>
          <w:bCs/>
          <w:kern w:val="22"/>
          <w:sz w:val="22"/>
          <w:szCs w:val="22"/>
          <w:lang w:val="fr-FR"/>
        </w:rPr>
        <w:t xml:space="preserve">mise en œuvre, </w:t>
      </w:r>
      <w:r w:rsidR="009F7F0C">
        <w:rPr>
          <w:bCs/>
          <w:kern w:val="22"/>
          <w:sz w:val="22"/>
          <w:szCs w:val="22"/>
          <w:lang w:val="fr-FR"/>
        </w:rPr>
        <w:t>du</w:t>
      </w:r>
      <w:r w:rsidR="00C52D94">
        <w:rPr>
          <w:bCs/>
          <w:kern w:val="22"/>
          <w:sz w:val="22"/>
          <w:szCs w:val="22"/>
          <w:lang w:val="fr-FR"/>
        </w:rPr>
        <w:t xml:space="preserve"> suivi, </w:t>
      </w:r>
      <w:r w:rsidR="009F7F0C">
        <w:rPr>
          <w:bCs/>
          <w:kern w:val="22"/>
          <w:sz w:val="22"/>
          <w:szCs w:val="22"/>
          <w:lang w:val="fr-FR"/>
        </w:rPr>
        <w:t>de l’établissement des rapports</w:t>
      </w:r>
      <w:r w:rsidR="00C52D94">
        <w:rPr>
          <w:bCs/>
          <w:kern w:val="22"/>
          <w:sz w:val="22"/>
          <w:szCs w:val="22"/>
          <w:lang w:val="fr-FR"/>
        </w:rPr>
        <w:t xml:space="preserve"> et </w:t>
      </w:r>
      <w:r w:rsidR="009F7F0C">
        <w:rPr>
          <w:bCs/>
          <w:kern w:val="22"/>
          <w:sz w:val="22"/>
          <w:szCs w:val="22"/>
          <w:lang w:val="fr-FR"/>
        </w:rPr>
        <w:t>de l’</w:t>
      </w:r>
      <w:r w:rsidR="00C52D94">
        <w:rPr>
          <w:bCs/>
          <w:kern w:val="22"/>
          <w:sz w:val="22"/>
          <w:szCs w:val="22"/>
          <w:lang w:val="fr-FR"/>
        </w:rPr>
        <w:t>examen tenue à Rome en février 2020</w:t>
      </w:r>
      <w:r w:rsidR="009F7F0C">
        <w:rPr>
          <w:bCs/>
          <w:kern w:val="22"/>
          <w:sz w:val="22"/>
          <w:szCs w:val="22"/>
          <w:lang w:val="fr-FR"/>
        </w:rPr>
        <w:t>.</w:t>
      </w:r>
    </w:p>
    <w:p w14:paraId="13C95433" w14:textId="0A350995" w:rsidR="00E54738" w:rsidRPr="00E84232" w:rsidRDefault="00E84232" w:rsidP="00ED543F">
      <w:pPr>
        <w:pStyle w:val="Heading1"/>
        <w:suppressLineNumbers/>
        <w:suppressAutoHyphens/>
        <w:spacing w:before="120"/>
        <w:ind w:left="1701" w:hanging="1276"/>
        <w:jc w:val="left"/>
        <w:rPr>
          <w:snapToGrid w:val="0"/>
          <w:kern w:val="22"/>
          <w:sz w:val="22"/>
          <w:szCs w:val="22"/>
          <w:lang w:val="fr-FR"/>
        </w:rPr>
      </w:pPr>
      <w:r w:rsidRPr="00E84232">
        <w:rPr>
          <w:snapToGrid w:val="0"/>
          <w:kern w:val="22"/>
          <w:sz w:val="22"/>
          <w:szCs w:val="22"/>
          <w:lang w:val="fr-FR"/>
        </w:rPr>
        <w:t>point</w:t>
      </w:r>
      <w:r w:rsidR="00E54738" w:rsidRPr="00E84232">
        <w:rPr>
          <w:snapToGrid w:val="0"/>
          <w:kern w:val="22"/>
          <w:sz w:val="22"/>
          <w:szCs w:val="22"/>
          <w:lang w:val="fr-FR"/>
        </w:rPr>
        <w:t xml:space="preserve"> 10.</w:t>
      </w:r>
      <w:r w:rsidR="00E54738" w:rsidRPr="00E84232">
        <w:rPr>
          <w:snapToGrid w:val="0"/>
          <w:kern w:val="22"/>
          <w:sz w:val="22"/>
          <w:szCs w:val="22"/>
          <w:lang w:val="fr-FR"/>
        </w:rPr>
        <w:tab/>
      </w:r>
      <w:r w:rsidRPr="00E84232">
        <w:rPr>
          <w:snapToGrid w:val="0"/>
          <w:kern w:val="22"/>
          <w:sz w:val="22"/>
          <w:szCs w:val="22"/>
          <w:lang w:val="fr-FR"/>
        </w:rPr>
        <w:t>examen de l’efficacitÉ des processus au titre de la convention et de ses protocoles</w:t>
      </w:r>
    </w:p>
    <w:p w14:paraId="2DAFF209" w14:textId="74772E6B" w:rsidR="00E54738" w:rsidRPr="00E84232" w:rsidRDefault="00E84232"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E84232">
        <w:rPr>
          <w:bCs/>
          <w:kern w:val="22"/>
          <w:sz w:val="22"/>
          <w:szCs w:val="22"/>
          <w:lang w:val="fr-FR"/>
        </w:rPr>
        <w:t>Selon le programme de travail pluriannu</w:t>
      </w:r>
      <w:r>
        <w:rPr>
          <w:bCs/>
          <w:kern w:val="22"/>
          <w:sz w:val="22"/>
          <w:szCs w:val="22"/>
          <w:lang w:val="fr-FR"/>
        </w:rPr>
        <w:t>e</w:t>
      </w:r>
      <w:r w:rsidRPr="00E84232">
        <w:rPr>
          <w:bCs/>
          <w:kern w:val="22"/>
          <w:sz w:val="22"/>
          <w:szCs w:val="22"/>
          <w:lang w:val="fr-FR"/>
        </w:rPr>
        <w:t xml:space="preserve">l de la Conférence des Parties adopté dans la décision </w:t>
      </w:r>
      <w:r w:rsidR="00E54738" w:rsidRPr="00E84232">
        <w:rPr>
          <w:bCs/>
          <w:kern w:val="22"/>
          <w:sz w:val="22"/>
          <w:szCs w:val="22"/>
          <w:lang w:val="fr-FR"/>
        </w:rPr>
        <w:t xml:space="preserve"> </w:t>
      </w:r>
      <w:hyperlink r:id="rId46" w:history="1">
        <w:r w:rsidR="00E54738" w:rsidRPr="00E84232">
          <w:rPr>
            <w:rStyle w:val="Hyperlink"/>
            <w:sz w:val="22"/>
            <w:szCs w:val="22"/>
            <w:lang w:val="fr-FR"/>
          </w:rPr>
          <w:t>XII/31</w:t>
        </w:r>
      </w:hyperlink>
      <w:r w:rsidR="00E54738" w:rsidRPr="00E84232">
        <w:rPr>
          <w:bCs/>
          <w:kern w:val="22"/>
          <w:sz w:val="22"/>
          <w:szCs w:val="22"/>
          <w:lang w:val="fr-FR"/>
        </w:rPr>
        <w:t xml:space="preserve">, </w:t>
      </w:r>
      <w:r>
        <w:rPr>
          <w:bCs/>
          <w:kern w:val="22"/>
          <w:sz w:val="22"/>
          <w:szCs w:val="22"/>
          <w:lang w:val="fr-FR"/>
        </w:rPr>
        <w:t xml:space="preserve">la Conférence des Parties </w:t>
      </w:r>
      <w:r w:rsidR="00AC4DF2">
        <w:rPr>
          <w:bCs/>
          <w:kern w:val="22"/>
          <w:sz w:val="22"/>
          <w:szCs w:val="22"/>
          <w:lang w:val="fr-FR"/>
        </w:rPr>
        <w:t>se penchera</w:t>
      </w:r>
      <w:r>
        <w:rPr>
          <w:bCs/>
          <w:kern w:val="22"/>
          <w:sz w:val="22"/>
          <w:szCs w:val="22"/>
          <w:lang w:val="fr-FR"/>
        </w:rPr>
        <w:t xml:space="preserve">, entre autres, à sa quinzième réunion, </w:t>
      </w:r>
      <w:r w:rsidR="00AC4DF2">
        <w:rPr>
          <w:bCs/>
          <w:kern w:val="22"/>
          <w:sz w:val="22"/>
          <w:szCs w:val="22"/>
          <w:lang w:val="fr-FR"/>
        </w:rPr>
        <w:t>sur un examen de l’efficacité des processus au titre de la Convention et de ses protocoles.</w:t>
      </w:r>
    </w:p>
    <w:p w14:paraId="51E4FE03" w14:textId="0B1DBA1A" w:rsidR="00E54738" w:rsidRPr="00E84232" w:rsidRDefault="00E54738"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E84232">
        <w:rPr>
          <w:bCs/>
          <w:kern w:val="22"/>
          <w:sz w:val="22"/>
          <w:szCs w:val="22"/>
          <w:lang w:val="fr-FR"/>
        </w:rPr>
        <w:t>A</w:t>
      </w:r>
      <w:r w:rsidR="00AC4DF2">
        <w:rPr>
          <w:bCs/>
          <w:kern w:val="22"/>
          <w:sz w:val="22"/>
          <w:szCs w:val="22"/>
          <w:lang w:val="fr-FR"/>
        </w:rPr>
        <w:t xml:space="preserve"> sa douzième réunion</w:t>
      </w:r>
      <w:r w:rsidRPr="00E84232">
        <w:rPr>
          <w:bCs/>
          <w:kern w:val="22"/>
          <w:sz w:val="22"/>
          <w:szCs w:val="22"/>
          <w:lang w:val="fr-FR"/>
        </w:rPr>
        <w:t xml:space="preserve">, </w:t>
      </w:r>
      <w:r w:rsidR="00AC4DF2">
        <w:rPr>
          <w:bCs/>
          <w:kern w:val="22"/>
          <w:sz w:val="22"/>
          <w:szCs w:val="22"/>
          <w:lang w:val="fr-FR"/>
        </w:rPr>
        <w:t xml:space="preserve">la Conférence des Parties </w:t>
      </w:r>
      <w:r w:rsidRPr="00E84232">
        <w:rPr>
          <w:bCs/>
          <w:kern w:val="22"/>
          <w:sz w:val="22"/>
          <w:szCs w:val="22"/>
          <w:lang w:val="fr-FR"/>
        </w:rPr>
        <w:t xml:space="preserve"> </w:t>
      </w:r>
      <w:r w:rsidR="00AC4DF2">
        <w:rPr>
          <w:bCs/>
          <w:kern w:val="22"/>
          <w:sz w:val="22"/>
          <w:szCs w:val="22"/>
          <w:lang w:val="fr-FR"/>
        </w:rPr>
        <w:t xml:space="preserve">a décidé </w:t>
      </w:r>
      <w:r w:rsidR="00AC4DF2" w:rsidRPr="00AC4DF2">
        <w:rPr>
          <w:sz w:val="22"/>
          <w:szCs w:val="22"/>
          <w:lang w:val="fr-FR"/>
        </w:rPr>
        <w:t>que les réunions ordinaires de la Conférence des Parties se tiendront durant une période de deux semaines qui comprendra également les réunions de la Conférence des Parties siégeant en tant que réunion</w:t>
      </w:r>
      <w:r w:rsidR="00290668">
        <w:rPr>
          <w:sz w:val="22"/>
          <w:szCs w:val="22"/>
          <w:lang w:val="fr-FR"/>
        </w:rPr>
        <w:t>s</w:t>
      </w:r>
      <w:r w:rsidR="00AC4DF2" w:rsidRPr="00AC4DF2">
        <w:rPr>
          <w:sz w:val="22"/>
          <w:szCs w:val="22"/>
          <w:lang w:val="fr-FR"/>
        </w:rPr>
        <w:t xml:space="preserve"> des Parties au Protocole</w:t>
      </w:r>
      <w:r w:rsidR="00290668">
        <w:rPr>
          <w:sz w:val="22"/>
          <w:szCs w:val="22"/>
          <w:lang w:val="fr-FR"/>
        </w:rPr>
        <w:t>s</w:t>
      </w:r>
      <w:r w:rsidR="00AC4DF2" w:rsidRPr="00AC4DF2">
        <w:rPr>
          <w:sz w:val="22"/>
          <w:szCs w:val="22"/>
          <w:lang w:val="fr-FR"/>
        </w:rPr>
        <w:t xml:space="preserve"> de Cartagena</w:t>
      </w:r>
      <w:r w:rsidR="00290668">
        <w:rPr>
          <w:sz w:val="22"/>
          <w:szCs w:val="22"/>
          <w:lang w:val="fr-FR"/>
        </w:rPr>
        <w:t xml:space="preserve"> et de Nagoya. Elle a décidé également </w:t>
      </w:r>
      <w:r w:rsidR="00290668" w:rsidRPr="00290668">
        <w:rPr>
          <w:kern w:val="22"/>
          <w:sz w:val="22"/>
          <w:szCs w:val="22"/>
          <w:lang w:val="fr-FR"/>
        </w:rPr>
        <w:t>d’examiner</w:t>
      </w:r>
      <w:r w:rsidR="00290668">
        <w:rPr>
          <w:kern w:val="22"/>
          <w:sz w:val="22"/>
          <w:szCs w:val="22"/>
          <w:lang w:val="fr-FR"/>
        </w:rPr>
        <w:t xml:space="preserve">, </w:t>
      </w:r>
      <w:r w:rsidR="00290668" w:rsidRPr="00290668">
        <w:rPr>
          <w:kern w:val="22"/>
          <w:sz w:val="22"/>
          <w:szCs w:val="22"/>
          <w:lang w:val="fr-FR"/>
        </w:rPr>
        <w:t>à ses quatorzième et quinzième réunions</w:t>
      </w:r>
      <w:r w:rsidR="00290668">
        <w:rPr>
          <w:kern w:val="22"/>
          <w:sz w:val="22"/>
          <w:szCs w:val="22"/>
          <w:lang w:val="fr-FR"/>
        </w:rPr>
        <w:t>,</w:t>
      </w:r>
      <w:r w:rsidR="00290668" w:rsidRPr="00290668">
        <w:rPr>
          <w:kern w:val="22"/>
          <w:sz w:val="22"/>
          <w:szCs w:val="22"/>
          <w:lang w:val="fr-FR"/>
        </w:rPr>
        <w:t xml:space="preserve"> l’expérience </w:t>
      </w:r>
      <w:r w:rsidR="00290668">
        <w:rPr>
          <w:kern w:val="22"/>
          <w:sz w:val="22"/>
          <w:szCs w:val="22"/>
          <w:lang w:val="fr-FR"/>
        </w:rPr>
        <w:lastRenderedPageBreak/>
        <w:t>de</w:t>
      </w:r>
      <w:r w:rsidR="00290668" w:rsidRPr="00290668">
        <w:rPr>
          <w:kern w:val="22"/>
          <w:sz w:val="22"/>
          <w:szCs w:val="22"/>
          <w:lang w:val="fr-FR"/>
        </w:rPr>
        <w:t xml:space="preserve"> l’organisation de réunions concomitantes</w:t>
      </w:r>
      <w:r w:rsidR="00290668">
        <w:rPr>
          <w:kern w:val="22"/>
          <w:sz w:val="22"/>
          <w:szCs w:val="22"/>
          <w:lang w:val="fr-FR"/>
        </w:rPr>
        <w:t xml:space="preserve"> </w:t>
      </w:r>
      <w:r w:rsidRPr="00E84232">
        <w:rPr>
          <w:bCs/>
          <w:kern w:val="22"/>
          <w:sz w:val="22"/>
          <w:szCs w:val="22"/>
          <w:lang w:val="fr-FR"/>
        </w:rPr>
        <w:t>(</w:t>
      </w:r>
      <w:r w:rsidR="00290668">
        <w:rPr>
          <w:bCs/>
          <w:kern w:val="22"/>
          <w:sz w:val="22"/>
          <w:szCs w:val="22"/>
          <w:lang w:val="fr-FR"/>
        </w:rPr>
        <w:t>voir</w:t>
      </w:r>
      <w:r w:rsidR="00D77F33" w:rsidRPr="00E84232">
        <w:rPr>
          <w:bCs/>
          <w:kern w:val="22"/>
          <w:sz w:val="22"/>
          <w:szCs w:val="22"/>
          <w:lang w:val="fr-FR"/>
        </w:rPr>
        <w:t xml:space="preserve"> </w:t>
      </w:r>
      <w:r w:rsidRPr="00E84232">
        <w:rPr>
          <w:bCs/>
          <w:kern w:val="22"/>
          <w:sz w:val="22"/>
          <w:szCs w:val="22"/>
          <w:lang w:val="fr-FR"/>
        </w:rPr>
        <w:t>d</w:t>
      </w:r>
      <w:r w:rsidR="00290668">
        <w:rPr>
          <w:bCs/>
          <w:kern w:val="22"/>
          <w:sz w:val="22"/>
          <w:szCs w:val="22"/>
          <w:lang w:val="fr-FR"/>
        </w:rPr>
        <w:t>é</w:t>
      </w:r>
      <w:r w:rsidRPr="00E84232">
        <w:rPr>
          <w:bCs/>
          <w:kern w:val="22"/>
          <w:sz w:val="22"/>
          <w:szCs w:val="22"/>
          <w:lang w:val="fr-FR"/>
        </w:rPr>
        <w:t xml:space="preserve">cision </w:t>
      </w:r>
      <w:hyperlink r:id="rId47" w:history="1">
        <w:r w:rsidRPr="00E84232">
          <w:rPr>
            <w:rStyle w:val="Hyperlink"/>
            <w:sz w:val="22"/>
            <w:szCs w:val="22"/>
            <w:lang w:val="fr-FR"/>
          </w:rPr>
          <w:t>XII/27</w:t>
        </w:r>
      </w:hyperlink>
      <w:r w:rsidRPr="00E84232">
        <w:rPr>
          <w:bCs/>
          <w:kern w:val="22"/>
          <w:sz w:val="22"/>
          <w:szCs w:val="22"/>
          <w:lang w:val="fr-FR"/>
        </w:rPr>
        <w:t xml:space="preserve">). </w:t>
      </w:r>
      <w:r w:rsidR="00290668">
        <w:rPr>
          <w:bCs/>
          <w:kern w:val="22"/>
          <w:sz w:val="22"/>
          <w:szCs w:val="22"/>
          <w:lang w:val="fr-FR"/>
        </w:rPr>
        <w:t xml:space="preserve">De même, la Conférence des Parties siégeant en tant que réunion des Parties au Protocole de Nagoya a décidé d’entreprendre cet examen à ses troisième et quatrième réunions </w:t>
      </w:r>
      <w:r w:rsidRPr="00E84232">
        <w:rPr>
          <w:bCs/>
          <w:kern w:val="22"/>
          <w:sz w:val="22"/>
          <w:szCs w:val="22"/>
          <w:lang w:val="fr-FR"/>
        </w:rPr>
        <w:t>(</w:t>
      </w:r>
      <w:r w:rsidR="00290668">
        <w:rPr>
          <w:bCs/>
          <w:kern w:val="22"/>
          <w:sz w:val="22"/>
          <w:szCs w:val="22"/>
          <w:lang w:val="fr-FR"/>
        </w:rPr>
        <w:t>voir</w:t>
      </w:r>
      <w:r w:rsidR="00D77F33" w:rsidRPr="00E84232">
        <w:rPr>
          <w:bCs/>
          <w:kern w:val="22"/>
          <w:sz w:val="22"/>
          <w:szCs w:val="22"/>
          <w:lang w:val="fr-FR"/>
        </w:rPr>
        <w:t xml:space="preserve"> </w:t>
      </w:r>
      <w:r w:rsidRPr="00E84232">
        <w:rPr>
          <w:bCs/>
          <w:kern w:val="22"/>
          <w:sz w:val="22"/>
          <w:szCs w:val="22"/>
          <w:lang w:val="fr-FR"/>
        </w:rPr>
        <w:t>d</w:t>
      </w:r>
      <w:r w:rsidR="00290668">
        <w:rPr>
          <w:bCs/>
          <w:kern w:val="22"/>
          <w:sz w:val="22"/>
          <w:szCs w:val="22"/>
          <w:lang w:val="fr-FR"/>
        </w:rPr>
        <w:t>é</w:t>
      </w:r>
      <w:r w:rsidRPr="00E84232">
        <w:rPr>
          <w:bCs/>
          <w:kern w:val="22"/>
          <w:sz w:val="22"/>
          <w:szCs w:val="22"/>
          <w:lang w:val="fr-FR"/>
        </w:rPr>
        <w:t xml:space="preserve">cision </w:t>
      </w:r>
      <w:hyperlink r:id="rId48" w:history="1">
        <w:r w:rsidRPr="00E84232">
          <w:rPr>
            <w:rStyle w:val="Hyperlink"/>
            <w:sz w:val="22"/>
            <w:szCs w:val="22"/>
            <w:lang w:val="fr-FR"/>
          </w:rPr>
          <w:t>NP</w:t>
        </w:r>
        <w:r w:rsidR="00D95339" w:rsidRPr="00E84232">
          <w:rPr>
            <w:rStyle w:val="Hyperlink"/>
            <w:sz w:val="22"/>
            <w:szCs w:val="22"/>
            <w:lang w:val="fr-FR"/>
          </w:rPr>
          <w:noBreakHyphen/>
        </w:r>
        <w:r w:rsidRPr="00E84232">
          <w:rPr>
            <w:rStyle w:val="Hyperlink"/>
            <w:sz w:val="22"/>
            <w:szCs w:val="22"/>
            <w:lang w:val="fr-FR"/>
          </w:rPr>
          <w:t>1/12</w:t>
        </w:r>
      </w:hyperlink>
      <w:r w:rsidRPr="00E84232">
        <w:rPr>
          <w:bCs/>
          <w:kern w:val="22"/>
          <w:sz w:val="22"/>
          <w:szCs w:val="22"/>
          <w:lang w:val="fr-FR"/>
        </w:rPr>
        <w:t xml:space="preserve">). </w:t>
      </w:r>
      <w:r w:rsidR="00290668">
        <w:rPr>
          <w:bCs/>
          <w:kern w:val="22"/>
          <w:sz w:val="22"/>
          <w:szCs w:val="22"/>
          <w:lang w:val="fr-FR"/>
        </w:rPr>
        <w:t>La Conférence des Parties siégeant en tant que réunion des Parties au Protocole de Cartagena a</w:t>
      </w:r>
      <w:r w:rsidR="00F7750E">
        <w:rPr>
          <w:bCs/>
          <w:kern w:val="22"/>
          <w:sz w:val="22"/>
          <w:szCs w:val="22"/>
          <w:lang w:val="fr-FR"/>
        </w:rPr>
        <w:t>vait</w:t>
      </w:r>
      <w:r w:rsidR="00290668">
        <w:rPr>
          <w:bCs/>
          <w:kern w:val="22"/>
          <w:sz w:val="22"/>
          <w:szCs w:val="22"/>
          <w:lang w:val="fr-FR"/>
        </w:rPr>
        <w:t xml:space="preserve"> adopté une décision similaire d’entreprendre </w:t>
      </w:r>
      <w:r w:rsidR="00F7750E">
        <w:rPr>
          <w:bCs/>
          <w:kern w:val="22"/>
          <w:sz w:val="22"/>
          <w:szCs w:val="22"/>
          <w:lang w:val="fr-FR"/>
        </w:rPr>
        <w:t xml:space="preserve">un tel examen à sa dixième réunion (voir décision </w:t>
      </w:r>
      <w:hyperlink r:id="rId49" w:history="1">
        <w:r w:rsidR="00F7750E" w:rsidRPr="00AB69F5">
          <w:rPr>
            <w:rStyle w:val="Hyperlink"/>
            <w:bCs/>
            <w:kern w:val="22"/>
            <w:sz w:val="22"/>
            <w:szCs w:val="22"/>
            <w:lang w:val="fr-FR"/>
          </w:rPr>
          <w:t>BS-VII/9</w:t>
        </w:r>
      </w:hyperlink>
      <w:r w:rsidR="00F7750E">
        <w:rPr>
          <w:bCs/>
          <w:kern w:val="22"/>
          <w:sz w:val="22"/>
          <w:szCs w:val="22"/>
          <w:lang w:val="fr-FR"/>
        </w:rPr>
        <w:t xml:space="preserve"> A, par. 5).</w:t>
      </w:r>
    </w:p>
    <w:p w14:paraId="58F1A283" w14:textId="6A550270" w:rsidR="00E54738" w:rsidRPr="00B015B5" w:rsidRDefault="00BB1BCD"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Sur la base des recommandations de l’Organe subsidiaire chargé de l’application, la Conférence des Parties as sa quatorzième réunion, la Conférence des Parties siégeant en tant que réunion des Parties au Protocole de Cartagena à sa neuvième réunion et la Conférence des Parties siégeant en tant que réunion des Parties au Protocole de Nagoya à sa troisième réunion ont examiné l’expérience de l</w:t>
      </w:r>
      <w:r w:rsidR="009434E5">
        <w:rPr>
          <w:bCs/>
          <w:kern w:val="22"/>
          <w:sz w:val="22"/>
          <w:szCs w:val="22"/>
          <w:lang w:val="fr-FR"/>
        </w:rPr>
        <w:t>’organisation</w:t>
      </w:r>
      <w:r>
        <w:rPr>
          <w:bCs/>
          <w:kern w:val="22"/>
          <w:sz w:val="22"/>
          <w:szCs w:val="22"/>
          <w:lang w:val="fr-FR"/>
        </w:rPr>
        <w:t xml:space="preserve"> </w:t>
      </w:r>
      <w:r w:rsidR="009434E5">
        <w:rPr>
          <w:bCs/>
          <w:kern w:val="22"/>
          <w:sz w:val="22"/>
          <w:szCs w:val="22"/>
          <w:lang w:val="fr-FR"/>
        </w:rPr>
        <w:t>de réunions concomitantes de la Conférence des Parties et de la Conférence des Parties siégeant en tant que réunions des Parties aux Protocoles de Cartagena et de Nagoya</w:t>
      </w:r>
      <w:r w:rsidR="007B789F" w:rsidRPr="00E84232">
        <w:rPr>
          <w:kern w:val="22"/>
          <w:sz w:val="22"/>
          <w:szCs w:val="22"/>
          <w:lang w:val="fr-FR"/>
        </w:rPr>
        <w:t xml:space="preserve">. </w:t>
      </w:r>
      <w:r w:rsidR="009434E5">
        <w:rPr>
          <w:kern w:val="22"/>
          <w:sz w:val="22"/>
          <w:szCs w:val="22"/>
          <w:lang w:val="fr-FR"/>
        </w:rPr>
        <w:t xml:space="preserve">Les critères établis dans les décisions </w:t>
      </w:r>
      <w:hyperlink r:id="rId50" w:history="1">
        <w:r w:rsidR="00E54738" w:rsidRPr="00E84232">
          <w:rPr>
            <w:rStyle w:val="Hyperlink"/>
            <w:sz w:val="22"/>
            <w:szCs w:val="22"/>
            <w:lang w:val="fr-FR"/>
          </w:rPr>
          <w:t>XIII/26</w:t>
        </w:r>
      </w:hyperlink>
      <w:r w:rsidR="00E54738" w:rsidRPr="00E84232">
        <w:rPr>
          <w:bCs/>
          <w:kern w:val="22"/>
          <w:sz w:val="22"/>
          <w:szCs w:val="22"/>
          <w:lang w:val="fr-FR"/>
        </w:rPr>
        <w:t xml:space="preserve">, </w:t>
      </w:r>
      <w:hyperlink r:id="rId51" w:history="1">
        <w:r w:rsidR="00E54738" w:rsidRPr="00E84232">
          <w:rPr>
            <w:rStyle w:val="Hyperlink"/>
            <w:sz w:val="22"/>
            <w:szCs w:val="22"/>
            <w:lang w:val="fr-FR"/>
          </w:rPr>
          <w:t>CP-VIII/10</w:t>
        </w:r>
      </w:hyperlink>
      <w:r w:rsidR="00E54738" w:rsidRPr="00E84232">
        <w:rPr>
          <w:bCs/>
          <w:kern w:val="22"/>
          <w:sz w:val="22"/>
          <w:szCs w:val="22"/>
          <w:lang w:val="fr-FR"/>
        </w:rPr>
        <w:t xml:space="preserve">, </w:t>
      </w:r>
      <w:r w:rsidR="009434E5">
        <w:rPr>
          <w:bCs/>
          <w:kern w:val="22"/>
          <w:sz w:val="22"/>
          <w:szCs w:val="22"/>
          <w:lang w:val="fr-FR"/>
        </w:rPr>
        <w:t>et</w:t>
      </w:r>
      <w:r w:rsidR="00E54738" w:rsidRPr="00E84232">
        <w:rPr>
          <w:bCs/>
          <w:kern w:val="22"/>
          <w:sz w:val="22"/>
          <w:szCs w:val="22"/>
          <w:lang w:val="fr-FR"/>
        </w:rPr>
        <w:t xml:space="preserve"> </w:t>
      </w:r>
      <w:hyperlink r:id="rId52" w:history="1">
        <w:r w:rsidR="00E54738" w:rsidRPr="00E84232">
          <w:rPr>
            <w:rStyle w:val="Hyperlink"/>
            <w:sz w:val="22"/>
            <w:szCs w:val="22"/>
            <w:lang w:val="fr-FR"/>
          </w:rPr>
          <w:t>NP-2/12</w:t>
        </w:r>
      </w:hyperlink>
      <w:r w:rsidR="009434E5">
        <w:rPr>
          <w:bCs/>
          <w:kern w:val="22"/>
          <w:sz w:val="22"/>
          <w:szCs w:val="22"/>
          <w:lang w:val="fr-FR"/>
        </w:rPr>
        <w:t xml:space="preserve"> ont été utilisés pour </w:t>
      </w:r>
      <w:r w:rsidR="00EF1AF3">
        <w:rPr>
          <w:bCs/>
          <w:kern w:val="22"/>
          <w:sz w:val="22"/>
          <w:szCs w:val="22"/>
          <w:lang w:val="fr-FR"/>
        </w:rPr>
        <w:t>effectuer cet examen</w:t>
      </w:r>
      <w:r w:rsidR="009434E5">
        <w:rPr>
          <w:bCs/>
          <w:kern w:val="22"/>
          <w:sz w:val="22"/>
          <w:szCs w:val="22"/>
          <w:lang w:val="fr-FR"/>
        </w:rPr>
        <w:t xml:space="preserve"> et l</w:t>
      </w:r>
      <w:r w:rsidR="00EF1AF3">
        <w:rPr>
          <w:bCs/>
          <w:kern w:val="22"/>
          <w:sz w:val="22"/>
          <w:szCs w:val="22"/>
          <w:lang w:val="fr-FR"/>
        </w:rPr>
        <w:t xml:space="preserve">a Secrétaire exécutive a été priée de développer plus avant l’analyse préliminaire sur la base de l’expérience acquise de la tenue concomitante de la quatorzième réunion de la Conférence des Parties, de la neuvième réunion de la Conférence des Parties siégeant en tant que réunion des Parties au Protocole de Cartagena et de la </w:t>
      </w:r>
      <w:r w:rsidR="00013AFD">
        <w:rPr>
          <w:bCs/>
          <w:kern w:val="22"/>
          <w:sz w:val="22"/>
          <w:szCs w:val="22"/>
          <w:lang w:val="fr-FR"/>
        </w:rPr>
        <w:t xml:space="preserve">troisième réunion de la Conférence des Parties siégeant en tant que réunion des Parties au Protocole de Nagoya, pour examen par l’Organe subsidiaire chargé de l’application à sa troisième réunion. Au vu de ce qui précède, l’Organe subsidiaire devrait examiner les informations sur l’expérience de l’organisation de réunion concomitantes </w:t>
      </w:r>
      <w:r w:rsidR="008F1F06" w:rsidRPr="00E84232">
        <w:rPr>
          <w:bCs/>
          <w:kern w:val="22"/>
          <w:sz w:val="22"/>
          <w:szCs w:val="22"/>
          <w:lang w:val="fr-FR"/>
        </w:rPr>
        <w:t>(</w:t>
      </w:r>
      <w:r w:rsidR="00013AFD">
        <w:rPr>
          <w:bCs/>
          <w:kern w:val="22"/>
          <w:sz w:val="22"/>
          <w:szCs w:val="22"/>
          <w:lang w:val="fr-FR"/>
        </w:rPr>
        <w:t>voir</w:t>
      </w:r>
      <w:r w:rsidR="00BD0354" w:rsidRPr="00E84232">
        <w:rPr>
          <w:bCs/>
          <w:kern w:val="22"/>
          <w:sz w:val="22"/>
          <w:szCs w:val="22"/>
          <w:lang w:val="fr-FR"/>
        </w:rPr>
        <w:t xml:space="preserve"> </w:t>
      </w:r>
      <w:r w:rsidR="008F1F06" w:rsidRPr="00E84232">
        <w:rPr>
          <w:bCs/>
          <w:kern w:val="22"/>
          <w:sz w:val="22"/>
          <w:szCs w:val="22"/>
          <w:lang w:val="fr-FR"/>
        </w:rPr>
        <w:t>CBD/SBI/3/</w:t>
      </w:r>
      <w:r w:rsidR="00BA6096" w:rsidRPr="00E84232">
        <w:rPr>
          <w:bCs/>
          <w:kern w:val="22"/>
          <w:sz w:val="22"/>
          <w:szCs w:val="22"/>
          <w:lang w:val="fr-FR"/>
        </w:rPr>
        <w:t>12</w:t>
      </w:r>
      <w:r w:rsidR="008F1F06" w:rsidRPr="00E84232">
        <w:rPr>
          <w:bCs/>
          <w:kern w:val="22"/>
          <w:sz w:val="22"/>
          <w:szCs w:val="22"/>
          <w:lang w:val="fr-FR"/>
        </w:rPr>
        <w:t xml:space="preserve">) </w:t>
      </w:r>
      <w:r w:rsidR="00013AFD">
        <w:rPr>
          <w:bCs/>
          <w:kern w:val="22"/>
          <w:sz w:val="22"/>
          <w:szCs w:val="22"/>
          <w:lang w:val="fr-FR"/>
        </w:rPr>
        <w:t>et faire des recommandations à la Conférence des Parties à sa quinzième réunion et, le cas échéant, à la Conférence des Parties siégeant en tant que réunion des Parties au Protocole de Cartagena à sa dixième réunion et à la Conférence des Parties siégeant en tant que réunion des Parties au Protocole de Nagoya à sa quatrième réunion</w:t>
      </w:r>
      <w:r w:rsidR="00E54738" w:rsidRPr="00E84232">
        <w:rPr>
          <w:bCs/>
          <w:kern w:val="22"/>
          <w:sz w:val="22"/>
          <w:szCs w:val="22"/>
          <w:lang w:val="fr-FR"/>
        </w:rPr>
        <w:t>.</w:t>
      </w:r>
    </w:p>
    <w:p w14:paraId="48F46B3C" w14:textId="3DE1051E" w:rsidR="00744E93" w:rsidRPr="009D3158" w:rsidRDefault="00013AFD" w:rsidP="00013AFD">
      <w:pPr>
        <w:pStyle w:val="Heading1"/>
        <w:suppressLineNumbers/>
        <w:tabs>
          <w:tab w:val="clear" w:pos="720"/>
        </w:tabs>
        <w:suppressAutoHyphens/>
        <w:spacing w:before="120"/>
        <w:ind w:left="1985" w:hanging="1276"/>
        <w:jc w:val="left"/>
        <w:rPr>
          <w:snapToGrid w:val="0"/>
          <w:kern w:val="22"/>
          <w:sz w:val="22"/>
          <w:szCs w:val="22"/>
          <w:lang w:val="fr-FR"/>
        </w:rPr>
      </w:pPr>
      <w:r w:rsidRPr="009D3158">
        <w:rPr>
          <w:snapToGrid w:val="0"/>
          <w:kern w:val="22"/>
          <w:sz w:val="22"/>
          <w:szCs w:val="22"/>
          <w:lang w:val="fr-FR"/>
        </w:rPr>
        <w:t>point</w:t>
      </w:r>
      <w:r w:rsidR="00744E93" w:rsidRPr="009D3158">
        <w:rPr>
          <w:snapToGrid w:val="0"/>
          <w:kern w:val="22"/>
          <w:sz w:val="22"/>
          <w:szCs w:val="22"/>
          <w:lang w:val="fr-FR"/>
        </w:rPr>
        <w:t xml:space="preserve"> 11.</w:t>
      </w:r>
      <w:r w:rsidR="00744E93" w:rsidRPr="009D3158">
        <w:rPr>
          <w:snapToGrid w:val="0"/>
          <w:kern w:val="22"/>
          <w:sz w:val="22"/>
          <w:szCs w:val="22"/>
          <w:lang w:val="fr-FR"/>
        </w:rPr>
        <w:tab/>
      </w:r>
      <w:r w:rsidRPr="009D3158">
        <w:rPr>
          <w:snapToGrid w:val="0"/>
          <w:kern w:val="22"/>
          <w:sz w:val="22"/>
          <w:szCs w:val="22"/>
          <w:lang w:val="fr-FR"/>
        </w:rPr>
        <w:t xml:space="preserve">intÉgration de la biodiversitÉ dans les secteurs et entre eux et autres mesures stratÉgiques </w:t>
      </w:r>
      <w:r w:rsidR="00744E93" w:rsidRPr="009D3158">
        <w:rPr>
          <w:snapToGrid w:val="0"/>
          <w:kern w:val="22"/>
          <w:sz w:val="22"/>
          <w:szCs w:val="22"/>
          <w:lang w:val="fr-FR"/>
        </w:rPr>
        <w:t xml:space="preserve"> </w:t>
      </w:r>
      <w:r w:rsidR="009D3158" w:rsidRPr="009D3158">
        <w:rPr>
          <w:snapToGrid w:val="0"/>
          <w:kern w:val="22"/>
          <w:sz w:val="22"/>
          <w:szCs w:val="22"/>
          <w:lang w:val="fr-FR"/>
        </w:rPr>
        <w:t>destinÉes À renforcer la mise en</w:t>
      </w:r>
      <w:r w:rsidR="009D3158">
        <w:rPr>
          <w:snapToGrid w:val="0"/>
          <w:kern w:val="22"/>
          <w:sz w:val="22"/>
          <w:szCs w:val="22"/>
          <w:lang w:val="fr-FR"/>
        </w:rPr>
        <w:t xml:space="preserve"> œuvre</w:t>
      </w:r>
    </w:p>
    <w:p w14:paraId="2C09F355" w14:textId="605CB862" w:rsidR="00F334F5" w:rsidRPr="009D3158" w:rsidRDefault="00D537F3" w:rsidP="00ED543F">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0E3FEA" w:rsidRPr="009D3158">
        <w:rPr>
          <w:bCs/>
          <w:kern w:val="22"/>
          <w:sz w:val="22"/>
          <w:szCs w:val="22"/>
          <w:lang w:val="fr-FR"/>
        </w:rPr>
        <w:t xml:space="preserve"> </w:t>
      </w:r>
      <w:hyperlink r:id="rId53" w:history="1">
        <w:r w:rsidR="000E3FEA" w:rsidRPr="009D3158">
          <w:rPr>
            <w:rStyle w:val="Hyperlink"/>
            <w:kern w:val="22"/>
            <w:sz w:val="22"/>
            <w:szCs w:val="22"/>
            <w:lang w:val="fr-FR"/>
          </w:rPr>
          <w:t>XIII/3</w:t>
        </w:r>
      </w:hyperlink>
      <w:r w:rsidR="000D4525" w:rsidRPr="009D3158">
        <w:rPr>
          <w:kern w:val="22"/>
          <w:sz w:val="22"/>
          <w:szCs w:val="22"/>
          <w:lang w:val="fr-FR"/>
        </w:rPr>
        <w:t>,</w:t>
      </w:r>
      <w:r w:rsidR="000E3FEA" w:rsidRPr="009D3158">
        <w:rPr>
          <w:kern w:val="22"/>
          <w:sz w:val="22"/>
          <w:szCs w:val="22"/>
          <w:lang w:val="fr-FR"/>
        </w:rPr>
        <w:t xml:space="preserve"> </w:t>
      </w:r>
      <w:r>
        <w:rPr>
          <w:bCs/>
          <w:kern w:val="22"/>
          <w:sz w:val="22"/>
          <w:szCs w:val="22"/>
          <w:lang w:val="fr-FR"/>
        </w:rPr>
        <w:t xml:space="preserve">la Conférence des Parties </w:t>
      </w:r>
      <w:r w:rsidR="001431B7">
        <w:rPr>
          <w:bCs/>
          <w:kern w:val="22"/>
          <w:sz w:val="22"/>
          <w:szCs w:val="22"/>
          <w:lang w:val="fr-FR"/>
        </w:rPr>
        <w:t xml:space="preserve">a examiné des mesures stratégiques propres à renforcer la mise en œuvre du Plan stratégique pour la diversité biologique </w:t>
      </w:r>
      <w:r w:rsidR="000E3FEA" w:rsidRPr="009D3158">
        <w:rPr>
          <w:kern w:val="22"/>
          <w:sz w:val="22"/>
          <w:szCs w:val="22"/>
          <w:lang w:val="fr-FR"/>
        </w:rPr>
        <w:t xml:space="preserve">2011-2020 </w:t>
      </w:r>
      <w:r w:rsidR="001431B7">
        <w:rPr>
          <w:kern w:val="22"/>
          <w:sz w:val="22"/>
          <w:szCs w:val="22"/>
          <w:lang w:val="fr-FR"/>
        </w:rPr>
        <w:t xml:space="preserve">et la réalisation des Objectifs d’Aichi pour la biodiversité, notamment en ce qui concerne l’intégration de la biodiversité dans les secteurs et entre eux, en particulier les questions liées à l’agriculture, aux forêts, à la pêche et à l’aquaculture. Dans la décision </w:t>
      </w:r>
      <w:hyperlink r:id="rId54" w:history="1">
        <w:r w:rsidR="00D255E0" w:rsidRPr="009D3158">
          <w:rPr>
            <w:rStyle w:val="Hyperlink"/>
            <w:sz w:val="22"/>
            <w:szCs w:val="22"/>
            <w:lang w:val="fr-FR"/>
          </w:rPr>
          <w:t>14/3</w:t>
        </w:r>
      </w:hyperlink>
      <w:r w:rsidR="00744E93" w:rsidRPr="009D3158">
        <w:rPr>
          <w:bCs/>
          <w:kern w:val="22"/>
          <w:sz w:val="22"/>
          <w:szCs w:val="22"/>
          <w:lang w:val="fr-FR"/>
        </w:rPr>
        <w:t xml:space="preserve">, </w:t>
      </w:r>
      <w:r w:rsidR="001431B7">
        <w:rPr>
          <w:bCs/>
          <w:kern w:val="22"/>
          <w:sz w:val="22"/>
          <w:szCs w:val="22"/>
          <w:lang w:val="fr-FR"/>
        </w:rPr>
        <w:t>la Conférence des Parties s’est penchée sur l’intégration</w:t>
      </w:r>
      <w:r w:rsidR="009172B7">
        <w:rPr>
          <w:bCs/>
          <w:kern w:val="22"/>
          <w:sz w:val="22"/>
          <w:szCs w:val="22"/>
          <w:lang w:val="fr-FR"/>
        </w:rPr>
        <w:t xml:space="preserve"> de la biodiversité dans les secteurs énergétique et minier, de l’infrastructure, de la fabrication et de la transformation, et de la santé.</w:t>
      </w:r>
    </w:p>
    <w:p w14:paraId="36AB0CB8" w14:textId="77777777" w:rsidR="009F7F0C" w:rsidRPr="009F7F0C" w:rsidRDefault="000170BE"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D5417A" w:rsidRPr="009D3158">
        <w:rPr>
          <w:bCs/>
          <w:kern w:val="22"/>
          <w:sz w:val="22"/>
          <w:szCs w:val="22"/>
          <w:lang w:val="fr-FR"/>
        </w:rPr>
        <w:t xml:space="preserve"> 14/3</w:t>
      </w:r>
      <w:r w:rsidR="00F334F5" w:rsidRPr="009D3158">
        <w:rPr>
          <w:bCs/>
          <w:kern w:val="22"/>
          <w:sz w:val="22"/>
          <w:szCs w:val="22"/>
          <w:lang w:val="fr-FR"/>
        </w:rPr>
        <w:t>,</w:t>
      </w:r>
      <w:r w:rsidR="00D5417A" w:rsidRPr="009D3158">
        <w:rPr>
          <w:bCs/>
          <w:kern w:val="22"/>
          <w:sz w:val="22"/>
          <w:szCs w:val="22"/>
          <w:lang w:val="fr-FR"/>
        </w:rPr>
        <w:t xml:space="preserve"> </w:t>
      </w:r>
      <w:r w:rsidR="0018287B">
        <w:rPr>
          <w:bCs/>
          <w:kern w:val="22"/>
          <w:sz w:val="22"/>
          <w:szCs w:val="22"/>
          <w:lang w:val="fr-FR"/>
        </w:rPr>
        <w:t xml:space="preserve">la Conférence des Parties a décidé de </w:t>
      </w:r>
      <w:r w:rsidR="0018287B" w:rsidRPr="0018287B">
        <w:rPr>
          <w:kern w:val="22"/>
          <w:sz w:val="22"/>
          <w:szCs w:val="22"/>
          <w:lang w:val="fr-FR"/>
        </w:rPr>
        <w:t>créer un groupe consultatif informel sur l'intégration de la diversité biologique</w:t>
      </w:r>
      <w:r w:rsidR="0018287B">
        <w:rPr>
          <w:kern w:val="22"/>
          <w:sz w:val="22"/>
          <w:szCs w:val="22"/>
          <w:lang w:val="fr-FR"/>
        </w:rPr>
        <w:t xml:space="preserve"> </w:t>
      </w:r>
      <w:r w:rsidR="0018287B" w:rsidRPr="0018287B">
        <w:rPr>
          <w:kern w:val="22"/>
          <w:sz w:val="22"/>
          <w:szCs w:val="22"/>
          <w:lang w:val="fr-FR"/>
        </w:rPr>
        <w:t>afin de conseiller la Secrétaire exécutive sur le développement de la proposition d’approche à long terme sur l’intégration de la diversité biologique, notamment des moyens d’intégrer efficacement cet aspect dans le cadre de la biodiversité pour l’après-2020</w:t>
      </w:r>
      <w:r w:rsidR="0018287B">
        <w:rPr>
          <w:kern w:val="22"/>
          <w:sz w:val="22"/>
          <w:szCs w:val="22"/>
          <w:lang w:val="fr-FR"/>
        </w:rPr>
        <w:t>. Par ailleurs,</w:t>
      </w:r>
      <w:r w:rsidR="00C668D8">
        <w:rPr>
          <w:kern w:val="22"/>
          <w:sz w:val="22"/>
          <w:szCs w:val="22"/>
          <w:lang w:val="fr-FR"/>
        </w:rPr>
        <w:t xml:space="preserve"> lors de sa première réunion,</w:t>
      </w:r>
      <w:r w:rsidR="0018287B">
        <w:rPr>
          <w:kern w:val="22"/>
          <w:sz w:val="22"/>
          <w:szCs w:val="22"/>
          <w:lang w:val="fr-FR"/>
        </w:rPr>
        <w:t xml:space="preserve"> </w:t>
      </w:r>
      <w:r w:rsidR="00C668D8">
        <w:rPr>
          <w:kern w:val="22"/>
          <w:sz w:val="22"/>
          <w:szCs w:val="22"/>
          <w:lang w:val="fr-FR"/>
        </w:rPr>
        <w:t>le Groupe de travail à composition non limitée sur le cadre mondial de la biodiversité pour l’après-2020 a invité le groupe consultatif informel à inclure dans son rapport à l’Organe subsidiaire chargé de l’application des propositions concrètes</w:t>
      </w:r>
      <w:r w:rsidR="009F7F0C">
        <w:rPr>
          <w:kern w:val="22"/>
          <w:sz w:val="22"/>
          <w:szCs w:val="22"/>
          <w:lang w:val="fr-FR"/>
        </w:rPr>
        <w:t>.</w:t>
      </w:r>
    </w:p>
    <w:p w14:paraId="771A01C0" w14:textId="192D6971" w:rsidR="00744E93" w:rsidRPr="009D3158" w:rsidRDefault="00A4296D"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chargé de l’application </w:t>
      </w:r>
      <w:r w:rsidR="009F7F0C">
        <w:rPr>
          <w:bCs/>
          <w:kern w:val="22"/>
          <w:sz w:val="22"/>
          <w:szCs w:val="22"/>
          <w:lang w:val="fr-FR"/>
        </w:rPr>
        <w:t xml:space="preserve">pourrait souhaiter </w:t>
      </w:r>
      <w:r>
        <w:rPr>
          <w:bCs/>
          <w:kern w:val="22"/>
          <w:sz w:val="22"/>
          <w:szCs w:val="22"/>
          <w:lang w:val="fr-FR"/>
        </w:rPr>
        <w:t>examiner le rapport intérimaire sur les travaux du groupe consultatif informel</w:t>
      </w:r>
      <w:r w:rsidR="00176FA2">
        <w:rPr>
          <w:bCs/>
          <w:kern w:val="22"/>
          <w:sz w:val="22"/>
          <w:szCs w:val="22"/>
          <w:lang w:val="fr-FR"/>
        </w:rPr>
        <w:t xml:space="preserve"> et ses résultats tels qu’ils sont présentés dans le document</w:t>
      </w:r>
      <w:r>
        <w:rPr>
          <w:bCs/>
          <w:kern w:val="22"/>
          <w:sz w:val="22"/>
          <w:szCs w:val="22"/>
          <w:lang w:val="fr-FR"/>
        </w:rPr>
        <w:t xml:space="preserve"> </w:t>
      </w:r>
      <w:r w:rsidR="008F1F06" w:rsidRPr="009D3158">
        <w:rPr>
          <w:bCs/>
          <w:kern w:val="22"/>
          <w:sz w:val="22"/>
          <w:szCs w:val="22"/>
          <w:lang w:val="fr-FR"/>
        </w:rPr>
        <w:t>CBD/SBI/3/</w:t>
      </w:r>
      <w:r w:rsidR="00BA6096" w:rsidRPr="009D3158">
        <w:rPr>
          <w:bCs/>
          <w:kern w:val="22"/>
          <w:sz w:val="22"/>
          <w:szCs w:val="22"/>
          <w:lang w:val="fr-FR"/>
        </w:rPr>
        <w:t>13</w:t>
      </w:r>
      <w:r w:rsidR="00176FA2">
        <w:rPr>
          <w:bCs/>
          <w:kern w:val="22"/>
          <w:sz w:val="22"/>
          <w:szCs w:val="22"/>
          <w:lang w:val="fr-FR"/>
        </w:rPr>
        <w:t xml:space="preserve"> et ses additifs et notes d’informations connexes, et formuler sa recommandation en s’appuyant sur les conseils et les conclusions du groupe consultatif informel et</w:t>
      </w:r>
      <w:r>
        <w:rPr>
          <w:bCs/>
          <w:kern w:val="22"/>
          <w:sz w:val="22"/>
          <w:szCs w:val="22"/>
          <w:lang w:val="fr-FR"/>
        </w:rPr>
        <w:t xml:space="preserve"> en tenant compte des résultats du Groupe de travail sur le cadre mondial de la biodiversité pour l’après-2020 relatifs à l’intégration</w:t>
      </w:r>
      <w:r w:rsidR="00176FA2">
        <w:rPr>
          <w:bCs/>
          <w:kern w:val="22"/>
          <w:sz w:val="22"/>
          <w:szCs w:val="22"/>
          <w:lang w:val="fr-FR"/>
        </w:rPr>
        <w:t>, pour examen par le Groupe de travail à composition non limitée sur le cadre mondial de la biodiversité pour l’après-2020 à sa troisième réunion et la Conférence des Parties à sa quinzième</w:t>
      </w:r>
      <w:r w:rsidR="00096307">
        <w:rPr>
          <w:bCs/>
          <w:kern w:val="22"/>
          <w:sz w:val="22"/>
          <w:szCs w:val="22"/>
          <w:lang w:val="fr-FR"/>
        </w:rPr>
        <w:t xml:space="preserve"> réunion.</w:t>
      </w:r>
    </w:p>
    <w:p w14:paraId="3BC21FE1" w14:textId="7159730E" w:rsidR="00683FCE" w:rsidRPr="00556E1D" w:rsidRDefault="00A4296D" w:rsidP="00ED543F">
      <w:pPr>
        <w:pStyle w:val="Heading1"/>
        <w:suppressLineNumbers/>
        <w:suppressAutoHyphens/>
        <w:spacing w:before="120"/>
        <w:ind w:left="1418" w:hanging="1134"/>
        <w:jc w:val="left"/>
        <w:rPr>
          <w:snapToGrid w:val="0"/>
          <w:kern w:val="22"/>
          <w:sz w:val="22"/>
          <w:szCs w:val="22"/>
          <w:lang w:val="fr-FR"/>
        </w:rPr>
      </w:pPr>
      <w:r w:rsidRPr="00556E1D">
        <w:rPr>
          <w:snapToGrid w:val="0"/>
          <w:kern w:val="22"/>
          <w:sz w:val="22"/>
          <w:szCs w:val="22"/>
          <w:lang w:val="fr-FR"/>
        </w:rPr>
        <w:lastRenderedPageBreak/>
        <w:t>point</w:t>
      </w:r>
      <w:r w:rsidR="00683FCE" w:rsidRPr="00556E1D">
        <w:rPr>
          <w:snapToGrid w:val="0"/>
          <w:kern w:val="22"/>
          <w:sz w:val="22"/>
          <w:szCs w:val="22"/>
          <w:lang w:val="fr-FR"/>
        </w:rPr>
        <w:t xml:space="preserve"> 12.</w:t>
      </w:r>
      <w:r w:rsidR="00683FCE" w:rsidRPr="00556E1D">
        <w:rPr>
          <w:snapToGrid w:val="0"/>
          <w:kern w:val="22"/>
          <w:sz w:val="22"/>
          <w:szCs w:val="22"/>
          <w:lang w:val="fr-FR"/>
        </w:rPr>
        <w:tab/>
      </w:r>
      <w:r w:rsidR="00556E1D" w:rsidRPr="00556E1D">
        <w:rPr>
          <w:snapToGrid w:val="0"/>
          <w:kern w:val="22"/>
          <w:sz w:val="22"/>
          <w:szCs w:val="22"/>
          <w:lang w:val="fr-FR"/>
        </w:rPr>
        <w:t>instruments internationaux spÉcialisÉs en matiÈre d’accÈs et de partage des avantages dans le contexte du paragraphe 4 de l’article 4 du protocole de nagoya</w:t>
      </w:r>
    </w:p>
    <w:p w14:paraId="214DE1C4" w14:textId="02DE9A74" w:rsidR="00D757F7" w:rsidRPr="00556E1D" w:rsidRDefault="00556E1D"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sidRPr="00556E1D">
        <w:rPr>
          <w:bCs/>
          <w:kern w:val="22"/>
          <w:sz w:val="22"/>
          <w:szCs w:val="22"/>
          <w:lang w:val="fr-FR"/>
        </w:rPr>
        <w:t>Dans la décision</w:t>
      </w:r>
      <w:r w:rsidR="00D757F7" w:rsidRPr="00556E1D">
        <w:rPr>
          <w:bCs/>
          <w:kern w:val="22"/>
          <w:sz w:val="22"/>
          <w:szCs w:val="22"/>
          <w:lang w:val="fr-FR"/>
        </w:rPr>
        <w:t xml:space="preserve"> </w:t>
      </w:r>
      <w:hyperlink r:id="rId55" w:history="1">
        <w:r w:rsidR="00D757F7" w:rsidRPr="00556E1D">
          <w:rPr>
            <w:rStyle w:val="Hyperlink"/>
            <w:sz w:val="22"/>
            <w:szCs w:val="22"/>
            <w:lang w:val="fr-FR"/>
          </w:rPr>
          <w:t>NP-3/14</w:t>
        </w:r>
      </w:hyperlink>
      <w:r w:rsidR="00D757F7" w:rsidRPr="00556E1D">
        <w:rPr>
          <w:bCs/>
          <w:kern w:val="22"/>
          <w:sz w:val="22"/>
          <w:szCs w:val="22"/>
          <w:lang w:val="fr-FR"/>
        </w:rPr>
        <w:t xml:space="preserve">, </w:t>
      </w:r>
      <w:r w:rsidR="003715E5">
        <w:rPr>
          <w:bCs/>
          <w:kern w:val="22"/>
          <w:sz w:val="22"/>
          <w:szCs w:val="22"/>
          <w:lang w:val="fr-FR"/>
        </w:rPr>
        <w:t>la Conférence des Parties siégeant en tant que réunion des Parties au Protocole de Nagoya a pris</w:t>
      </w:r>
      <w:r w:rsidR="006C1941">
        <w:rPr>
          <w:bCs/>
          <w:kern w:val="22"/>
          <w:sz w:val="22"/>
          <w:szCs w:val="22"/>
          <w:lang w:val="fr-FR"/>
        </w:rPr>
        <w:t xml:space="preserve"> note</w:t>
      </w:r>
      <w:r w:rsidR="003715E5">
        <w:rPr>
          <w:bCs/>
          <w:kern w:val="22"/>
          <w:sz w:val="22"/>
          <w:szCs w:val="22"/>
          <w:lang w:val="fr-FR"/>
        </w:rPr>
        <w:t xml:space="preserve"> </w:t>
      </w:r>
      <w:r w:rsidR="003715E5" w:rsidRPr="003715E5">
        <w:rPr>
          <w:kern w:val="22"/>
          <w:sz w:val="22"/>
          <w:szCs w:val="22"/>
          <w:lang w:val="fr-CA"/>
        </w:rPr>
        <w:t>de l'étude</w:t>
      </w:r>
      <w:r w:rsidR="003715E5" w:rsidRPr="00556E1D">
        <w:rPr>
          <w:rStyle w:val="FootnoteReference"/>
          <w:bCs/>
          <w:kern w:val="22"/>
          <w:sz w:val="22"/>
          <w:szCs w:val="22"/>
          <w:u w:val="none"/>
          <w:vertAlign w:val="superscript"/>
          <w:lang w:val="fr-FR"/>
        </w:rPr>
        <w:footnoteReference w:id="3"/>
      </w:r>
      <w:r w:rsidR="003715E5" w:rsidRPr="003715E5">
        <w:rPr>
          <w:kern w:val="22"/>
          <w:sz w:val="22"/>
          <w:szCs w:val="22"/>
          <w:lang w:val="fr-CA"/>
        </w:rPr>
        <w:t xml:space="preserve"> et des critères potentiels pour la reconnaissance des instruments internationaux spéciaux sur l'accès et le partage des avantages dans le cadre du paragraphe 4 de l'article 4 du Protocole de Nagoya</w:t>
      </w:r>
      <w:r w:rsidR="006C1941">
        <w:rPr>
          <w:kern w:val="22"/>
          <w:sz w:val="22"/>
          <w:szCs w:val="22"/>
          <w:lang w:val="fr-CA"/>
        </w:rPr>
        <w:t xml:space="preserve"> et convenu de réexaminer ces critères potentiels à sa quatrième réunion.</w:t>
      </w:r>
    </w:p>
    <w:p w14:paraId="43DAECAD" w14:textId="538736C6" w:rsidR="00D757F7" w:rsidRPr="00556E1D" w:rsidRDefault="00AB21CA"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L’Organe subsidiaire</w:t>
      </w:r>
      <w:r w:rsidR="00072566">
        <w:rPr>
          <w:bCs/>
          <w:kern w:val="22"/>
          <w:sz w:val="22"/>
          <w:szCs w:val="22"/>
          <w:lang w:val="fr-FR"/>
        </w:rPr>
        <w:t xml:space="preserve"> examinera une synthèse des informations fournies par les Parties et les autres gouvernements sur la manière dont les instruments internationaux spécialisés en matière d’accès et de partage des avantages sont abordés dans leurs mesures nationales, ainsi que les points de vue sur les critères potentiels qui figurent dans l’étude et les faits nouveaux dans les </w:t>
      </w:r>
      <w:r w:rsidR="00B90AA0">
        <w:rPr>
          <w:bCs/>
          <w:kern w:val="22"/>
          <w:sz w:val="22"/>
          <w:szCs w:val="22"/>
          <w:lang w:val="fr-FR"/>
        </w:rPr>
        <w:t xml:space="preserve">instances internationales compétentes </w:t>
      </w:r>
      <w:r w:rsidR="00D7073E" w:rsidRPr="00556E1D">
        <w:rPr>
          <w:bCs/>
          <w:kern w:val="22"/>
          <w:sz w:val="22"/>
          <w:szCs w:val="22"/>
          <w:lang w:val="fr-FR"/>
        </w:rPr>
        <w:t>(CBD/SBI/3/</w:t>
      </w:r>
      <w:r w:rsidR="00BA6096" w:rsidRPr="00556E1D">
        <w:rPr>
          <w:bCs/>
          <w:kern w:val="22"/>
          <w:sz w:val="22"/>
          <w:szCs w:val="22"/>
          <w:lang w:val="fr-FR"/>
        </w:rPr>
        <w:t>14</w:t>
      </w:r>
      <w:r w:rsidR="00D7073E" w:rsidRPr="00556E1D">
        <w:rPr>
          <w:bCs/>
          <w:kern w:val="22"/>
          <w:sz w:val="22"/>
          <w:szCs w:val="22"/>
          <w:lang w:val="fr-FR"/>
        </w:rPr>
        <w:t xml:space="preserve">), </w:t>
      </w:r>
      <w:r w:rsidR="00B90AA0">
        <w:rPr>
          <w:bCs/>
          <w:kern w:val="22"/>
          <w:sz w:val="22"/>
          <w:szCs w:val="22"/>
          <w:lang w:val="fr-FR"/>
        </w:rPr>
        <w:t>et fera une</w:t>
      </w:r>
      <w:r w:rsidR="00D757F7" w:rsidRPr="00556E1D">
        <w:rPr>
          <w:bCs/>
          <w:kern w:val="22"/>
          <w:sz w:val="22"/>
          <w:szCs w:val="22"/>
          <w:lang w:val="fr-FR"/>
        </w:rPr>
        <w:t xml:space="preserve"> recomm</w:t>
      </w:r>
      <w:r w:rsidR="00B90AA0">
        <w:rPr>
          <w:bCs/>
          <w:kern w:val="22"/>
          <w:sz w:val="22"/>
          <w:szCs w:val="22"/>
          <w:lang w:val="fr-FR"/>
        </w:rPr>
        <w:t>a</w:t>
      </w:r>
      <w:r w:rsidR="00D757F7" w:rsidRPr="00556E1D">
        <w:rPr>
          <w:bCs/>
          <w:kern w:val="22"/>
          <w:sz w:val="22"/>
          <w:szCs w:val="22"/>
          <w:lang w:val="fr-FR"/>
        </w:rPr>
        <w:t>ndation</w:t>
      </w:r>
      <w:r w:rsidR="00B90AA0">
        <w:rPr>
          <w:bCs/>
          <w:kern w:val="22"/>
          <w:sz w:val="22"/>
          <w:szCs w:val="22"/>
          <w:lang w:val="fr-FR"/>
        </w:rPr>
        <w:t xml:space="preserve"> à la quatrième réunion des Parties au Protocole de Nagoya. </w:t>
      </w:r>
    </w:p>
    <w:p w14:paraId="40B685D5" w14:textId="720D1339" w:rsidR="00D757F7" w:rsidRPr="00556E1D" w:rsidRDefault="00B90AA0" w:rsidP="00ED543F">
      <w:pPr>
        <w:pStyle w:val="Heading1"/>
        <w:suppressLineNumbers/>
        <w:suppressAutoHyphens/>
        <w:spacing w:before="120"/>
        <w:ind w:left="1418" w:hanging="1134"/>
        <w:jc w:val="left"/>
        <w:rPr>
          <w:snapToGrid w:val="0"/>
          <w:kern w:val="22"/>
          <w:sz w:val="22"/>
          <w:szCs w:val="22"/>
          <w:lang w:val="fr-FR"/>
        </w:rPr>
      </w:pPr>
      <w:r>
        <w:rPr>
          <w:snapToGrid w:val="0"/>
          <w:kern w:val="22"/>
          <w:sz w:val="22"/>
          <w:szCs w:val="22"/>
          <w:lang w:val="fr-FR"/>
        </w:rPr>
        <w:t>point</w:t>
      </w:r>
      <w:r w:rsidR="00D757F7" w:rsidRPr="00556E1D">
        <w:rPr>
          <w:snapToGrid w:val="0"/>
          <w:kern w:val="22"/>
          <w:sz w:val="22"/>
          <w:szCs w:val="22"/>
          <w:lang w:val="fr-FR"/>
        </w:rPr>
        <w:t xml:space="preserve"> 13.</w:t>
      </w:r>
      <w:r w:rsidR="00D757F7" w:rsidRPr="00556E1D">
        <w:rPr>
          <w:snapToGrid w:val="0"/>
          <w:kern w:val="22"/>
          <w:sz w:val="22"/>
          <w:szCs w:val="22"/>
          <w:lang w:val="fr-FR"/>
        </w:rPr>
        <w:tab/>
      </w:r>
      <w:r>
        <w:rPr>
          <w:snapToGrid w:val="0"/>
          <w:kern w:val="22"/>
          <w:sz w:val="22"/>
          <w:szCs w:val="22"/>
          <w:lang w:val="fr-FR"/>
        </w:rPr>
        <w:t xml:space="preserve">mÉcanisme multilatÉral mondial de partage des avantages </w:t>
      </w:r>
      <w:r w:rsidR="00D757F7" w:rsidRPr="00556E1D">
        <w:rPr>
          <w:snapToGrid w:val="0"/>
          <w:kern w:val="22"/>
          <w:sz w:val="22"/>
          <w:szCs w:val="22"/>
          <w:lang w:val="fr-FR"/>
        </w:rPr>
        <w:t xml:space="preserve">(Article 10 </w:t>
      </w:r>
      <w:r>
        <w:rPr>
          <w:snapToGrid w:val="0"/>
          <w:kern w:val="22"/>
          <w:sz w:val="22"/>
          <w:szCs w:val="22"/>
          <w:lang w:val="fr-FR"/>
        </w:rPr>
        <w:t>du protocole de nagoya</w:t>
      </w:r>
      <w:r w:rsidR="00D757F7" w:rsidRPr="00556E1D">
        <w:rPr>
          <w:snapToGrid w:val="0"/>
          <w:kern w:val="22"/>
          <w:sz w:val="22"/>
          <w:szCs w:val="22"/>
          <w:lang w:val="fr-FR"/>
        </w:rPr>
        <w:t>)</w:t>
      </w:r>
    </w:p>
    <w:p w14:paraId="3539262E" w14:textId="5386B5E4" w:rsidR="00D757F7" w:rsidRPr="00556E1D" w:rsidRDefault="00B90AA0"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Dans la décision</w:t>
      </w:r>
      <w:r w:rsidR="00D757F7" w:rsidRPr="00556E1D">
        <w:rPr>
          <w:bCs/>
          <w:kern w:val="22"/>
          <w:sz w:val="22"/>
          <w:szCs w:val="22"/>
          <w:lang w:val="fr-FR"/>
        </w:rPr>
        <w:t xml:space="preserve"> </w:t>
      </w:r>
      <w:hyperlink r:id="rId56" w:history="1">
        <w:r w:rsidR="00D757F7" w:rsidRPr="00556E1D">
          <w:rPr>
            <w:rStyle w:val="Hyperlink"/>
            <w:sz w:val="22"/>
            <w:szCs w:val="22"/>
            <w:lang w:val="fr-FR"/>
          </w:rPr>
          <w:t>NP-3/13</w:t>
        </w:r>
      </w:hyperlink>
      <w:r w:rsidR="00D757F7" w:rsidRPr="00556E1D">
        <w:rPr>
          <w:bCs/>
          <w:kern w:val="22"/>
          <w:sz w:val="22"/>
          <w:szCs w:val="22"/>
          <w:lang w:val="fr-FR"/>
        </w:rPr>
        <w:t xml:space="preserve">, </w:t>
      </w:r>
      <w:r>
        <w:rPr>
          <w:bCs/>
          <w:kern w:val="22"/>
          <w:sz w:val="22"/>
          <w:szCs w:val="22"/>
          <w:lang w:val="fr-FR"/>
        </w:rPr>
        <w:t>la Conférence des Parties siégeant en tant que réunion des Parties au Protocole de Nagoya a examiné des informations concernant un mécanisme multilatéral mondial de partage des avantages</w:t>
      </w:r>
      <w:r w:rsidR="009D5B1E">
        <w:rPr>
          <w:bCs/>
          <w:kern w:val="22"/>
          <w:sz w:val="22"/>
          <w:szCs w:val="22"/>
          <w:lang w:val="fr-FR"/>
        </w:rPr>
        <w:t xml:space="preserve"> et estimé </w:t>
      </w:r>
      <w:r w:rsidR="009D5B1E" w:rsidRPr="009D5B1E">
        <w:rPr>
          <w:sz w:val="22"/>
          <w:szCs w:val="22"/>
          <w:lang w:val="fr-CA"/>
        </w:rPr>
        <w:t>que plus d’informations sur des cas spécifiques relatifs aux ressources génétiques et aux connaissances traditionnelles associées à des ressources génétiques dans des situations transfrontières ou pour lesquelles il n’est pas possible d’octroyer ou d’obtenir un consentement préalable en connaissance de cause, accompagnées d’une explication sur les raisons pour lesquelles ces cas ne peuvent pas être couverts au titre de l’approche bilatérale du Protocole de Nagoya ainsi que des options pour aborder ces cas, y compris par le biais d’un mécanisme multilatéral mondial de partage des avantages, seraient utiles dans l’examen de l’article 10</w:t>
      </w:r>
      <w:r w:rsidR="009D5B1E">
        <w:rPr>
          <w:sz w:val="22"/>
          <w:szCs w:val="22"/>
          <w:lang w:val="fr-CA"/>
        </w:rPr>
        <w:t>.</w:t>
      </w:r>
    </w:p>
    <w:p w14:paraId="6C7A7877" w14:textId="44BA0EE1" w:rsidR="00D757F7" w:rsidRPr="009D5B1E" w:rsidRDefault="009D5B1E" w:rsidP="00A607E8">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La Secrétaire exécutive </w:t>
      </w:r>
      <w:r w:rsidRPr="009D5B1E">
        <w:rPr>
          <w:bCs/>
          <w:kern w:val="22"/>
          <w:sz w:val="22"/>
          <w:szCs w:val="22"/>
          <w:lang w:val="fr-FR"/>
        </w:rPr>
        <w:t>a été priée de</w:t>
      </w:r>
      <w:r w:rsidRPr="009D5B1E">
        <w:rPr>
          <w:rFonts w:eastAsiaTheme="minorHAnsi"/>
          <w:sz w:val="22"/>
          <w:szCs w:val="22"/>
          <w:lang w:val="fr-CA"/>
        </w:rPr>
        <w:t xml:space="preserve"> commander une étude évaluée par des pairs visant à recenser des cas spécifiques relatifs aux ressources génétiques et aux connaissances traditionnelles associées à des ressources génétiques dans des situations transfrontières ou pour lesquelles il s’avère impossible d’octroyer ou d’obtenir un consentement préalable en connaissance de cause</w:t>
      </w:r>
      <w:r>
        <w:rPr>
          <w:rFonts w:eastAsiaTheme="minorHAnsi"/>
          <w:sz w:val="22"/>
          <w:szCs w:val="22"/>
          <w:lang w:val="fr-CA"/>
        </w:rPr>
        <w:t xml:space="preserve">, et de faire la synthèse des informations communiquées par les Parties et d’autres sur </w:t>
      </w:r>
      <w:r w:rsidR="00A72193">
        <w:rPr>
          <w:rFonts w:eastAsiaTheme="minorHAnsi"/>
          <w:sz w:val="22"/>
          <w:szCs w:val="22"/>
          <w:lang w:val="fr-CA"/>
        </w:rPr>
        <w:t>des cas spécifiques accompagnés d’une explication sur les raisons pour lesquelles ces cas ne peuvent pas être couverts au titre de l’approche bilatérale du Protocole de Nagoya.</w:t>
      </w:r>
    </w:p>
    <w:p w14:paraId="316C718E" w14:textId="770BAFB1" w:rsidR="009146DF" w:rsidRPr="00556E1D" w:rsidRDefault="00A72193" w:rsidP="00A941B0">
      <w:pPr>
        <w:pStyle w:val="Para1"/>
        <w:numPr>
          <w:ilvl w:val="0"/>
          <w:numId w:val="14"/>
        </w:numPr>
        <w:suppressLineNumbers/>
        <w:tabs>
          <w:tab w:val="num" w:pos="720"/>
        </w:tabs>
        <w:suppressAutoHyphens/>
        <w:spacing w:before="120"/>
        <w:ind w:left="0" w:firstLine="0"/>
        <w:jc w:val="both"/>
        <w:rPr>
          <w:bCs/>
          <w:kern w:val="22"/>
          <w:sz w:val="22"/>
          <w:szCs w:val="22"/>
          <w:lang w:val="fr-FR"/>
        </w:rPr>
      </w:pPr>
      <w:r>
        <w:rPr>
          <w:bCs/>
          <w:kern w:val="22"/>
          <w:sz w:val="22"/>
          <w:szCs w:val="22"/>
          <w:lang w:val="fr-FR"/>
        </w:rPr>
        <w:t xml:space="preserve">L’Organe subsidiaire examinera l’étude et la synthèse </w:t>
      </w:r>
      <w:r w:rsidR="00380EA6" w:rsidRPr="00556E1D">
        <w:rPr>
          <w:bCs/>
          <w:kern w:val="22"/>
          <w:sz w:val="22"/>
          <w:szCs w:val="22"/>
          <w:lang w:val="fr-FR"/>
        </w:rPr>
        <w:t>(CBD/SBI/3/</w:t>
      </w:r>
      <w:r w:rsidR="00BA6096" w:rsidRPr="00556E1D">
        <w:rPr>
          <w:bCs/>
          <w:kern w:val="22"/>
          <w:sz w:val="22"/>
          <w:szCs w:val="22"/>
          <w:lang w:val="fr-FR"/>
        </w:rPr>
        <w:t>15</w:t>
      </w:r>
      <w:r w:rsidR="00380EA6" w:rsidRPr="00556E1D">
        <w:rPr>
          <w:bCs/>
          <w:kern w:val="22"/>
          <w:sz w:val="22"/>
          <w:szCs w:val="22"/>
          <w:lang w:val="fr-FR"/>
        </w:rPr>
        <w:t xml:space="preserve">) </w:t>
      </w:r>
      <w:r>
        <w:rPr>
          <w:bCs/>
          <w:kern w:val="22"/>
          <w:sz w:val="22"/>
          <w:szCs w:val="22"/>
          <w:lang w:val="fr-FR"/>
        </w:rPr>
        <w:t>en vue de recenser des cas spécifiques et</w:t>
      </w:r>
      <w:r w:rsidRPr="00A72193">
        <w:rPr>
          <w:bCs/>
          <w:kern w:val="22"/>
          <w:sz w:val="22"/>
          <w:szCs w:val="22"/>
          <w:lang w:val="fr-FR"/>
        </w:rPr>
        <w:t xml:space="preserve">, </w:t>
      </w:r>
      <w:r w:rsidRPr="00A72193">
        <w:rPr>
          <w:sz w:val="22"/>
          <w:szCs w:val="22"/>
          <w:lang w:val="fr-CA"/>
        </w:rPr>
        <w:t>si elles sont identifiées</w:t>
      </w:r>
      <w:r>
        <w:rPr>
          <w:lang w:val="fr-CA"/>
        </w:rPr>
        <w:t>,</w:t>
      </w:r>
      <w:r>
        <w:rPr>
          <w:bCs/>
          <w:kern w:val="22"/>
          <w:sz w:val="22"/>
          <w:szCs w:val="22"/>
          <w:lang w:val="fr-FR"/>
        </w:rPr>
        <w:t xml:space="preserve"> des options pour </w:t>
      </w:r>
      <w:r w:rsidR="00465996" w:rsidRPr="00465996">
        <w:rPr>
          <w:sz w:val="22"/>
          <w:szCs w:val="22"/>
          <w:lang w:val="fr-CA"/>
        </w:rPr>
        <w:t>aborder ces cas, y compris un éventuel mécanisme multilatéral mondial de partage des avantages, et formuler</w:t>
      </w:r>
      <w:r w:rsidR="00465996">
        <w:rPr>
          <w:sz w:val="22"/>
          <w:szCs w:val="22"/>
          <w:lang w:val="fr-CA"/>
        </w:rPr>
        <w:t>a</w:t>
      </w:r>
      <w:r w:rsidR="00465996" w:rsidRPr="00465996">
        <w:rPr>
          <w:sz w:val="22"/>
          <w:szCs w:val="22"/>
          <w:lang w:val="fr-CA"/>
        </w:rPr>
        <w:t xml:space="preserve"> des recommandations à la quatrième réunion de</w:t>
      </w:r>
      <w:r w:rsidR="00465996">
        <w:rPr>
          <w:sz w:val="22"/>
          <w:szCs w:val="22"/>
          <w:lang w:val="fr-CA"/>
        </w:rPr>
        <w:t xml:space="preserve">s Parties au </w:t>
      </w:r>
      <w:r w:rsidR="00465996" w:rsidRPr="00465996">
        <w:rPr>
          <w:sz w:val="22"/>
          <w:szCs w:val="22"/>
          <w:lang w:val="fr-CA"/>
        </w:rPr>
        <w:t>Protocole de Nagoya</w:t>
      </w:r>
      <w:r w:rsidR="00465996" w:rsidRPr="00465996">
        <w:rPr>
          <w:kern w:val="22"/>
          <w:sz w:val="22"/>
          <w:szCs w:val="22"/>
          <w:lang w:val="fr-CA"/>
        </w:rPr>
        <w:t>.</w:t>
      </w:r>
    </w:p>
    <w:p w14:paraId="284D2609" w14:textId="79136929" w:rsidR="00C16CF2" w:rsidRPr="00465996" w:rsidRDefault="00AB21CA" w:rsidP="00ED543F">
      <w:pPr>
        <w:pStyle w:val="Heading1"/>
        <w:suppressLineNumbers/>
        <w:tabs>
          <w:tab w:val="clear" w:pos="720"/>
          <w:tab w:val="left" w:pos="1134"/>
        </w:tabs>
        <w:suppressAutoHyphens/>
        <w:spacing w:before="120"/>
        <w:rPr>
          <w:snapToGrid w:val="0"/>
          <w:kern w:val="22"/>
          <w:sz w:val="22"/>
          <w:szCs w:val="22"/>
          <w:lang w:val="fr-FR"/>
        </w:rPr>
      </w:pPr>
      <w:r w:rsidRPr="00465996">
        <w:rPr>
          <w:snapToGrid w:val="0"/>
          <w:kern w:val="22"/>
          <w:sz w:val="22"/>
          <w:szCs w:val="22"/>
          <w:lang w:val="fr-FR"/>
        </w:rPr>
        <w:t>point</w:t>
      </w:r>
      <w:r w:rsidR="00C16CF2" w:rsidRPr="00465996">
        <w:rPr>
          <w:snapToGrid w:val="0"/>
          <w:kern w:val="22"/>
          <w:sz w:val="22"/>
          <w:szCs w:val="22"/>
          <w:lang w:val="fr-FR"/>
        </w:rPr>
        <w:t xml:space="preserve"> 14.</w:t>
      </w:r>
      <w:r w:rsidR="009A35CB" w:rsidRPr="00465996">
        <w:rPr>
          <w:snapToGrid w:val="0"/>
          <w:kern w:val="22"/>
          <w:sz w:val="22"/>
          <w:szCs w:val="22"/>
          <w:lang w:val="fr-FR"/>
        </w:rPr>
        <w:tab/>
      </w:r>
      <w:r w:rsidRPr="00465996">
        <w:rPr>
          <w:snapToGrid w:val="0"/>
          <w:kern w:val="22"/>
          <w:sz w:val="22"/>
          <w:szCs w:val="22"/>
          <w:lang w:val="fr-FR"/>
        </w:rPr>
        <w:t>questions administratives et budgÉtaires</w:t>
      </w:r>
    </w:p>
    <w:p w14:paraId="7B3925B3" w14:textId="7D088FE5" w:rsidR="00C16CF2" w:rsidRPr="00831249" w:rsidRDefault="00AF6D78"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Pr>
          <w:kern w:val="22"/>
          <w:sz w:val="22"/>
          <w:szCs w:val="22"/>
          <w:lang w:val="fr-FR"/>
        </w:rPr>
        <w:t xml:space="preserve">La Secrétaire exécutive élaborera une </w:t>
      </w:r>
      <w:r w:rsidR="00096307">
        <w:rPr>
          <w:kern w:val="22"/>
          <w:sz w:val="22"/>
          <w:szCs w:val="22"/>
          <w:lang w:val="fr-FR"/>
        </w:rPr>
        <w:t>mise à jour sur les activités du Secrétariat et la situation des fonds d’affectation spéciale administrés par la Convention et ses protocoles</w:t>
      </w:r>
      <w:r>
        <w:rPr>
          <w:kern w:val="22"/>
          <w:sz w:val="22"/>
          <w:szCs w:val="22"/>
          <w:lang w:val="fr-FR"/>
        </w:rPr>
        <w:t xml:space="preserve"> </w:t>
      </w:r>
      <w:r w:rsidR="00D7073E" w:rsidRPr="00831249">
        <w:rPr>
          <w:bCs/>
          <w:kern w:val="22"/>
          <w:sz w:val="22"/>
          <w:szCs w:val="22"/>
          <w:lang w:val="fr-FR"/>
        </w:rPr>
        <w:t>(CBD/SBI/3/</w:t>
      </w:r>
      <w:r w:rsidR="00BA6096" w:rsidRPr="00831249">
        <w:rPr>
          <w:bCs/>
          <w:kern w:val="22"/>
          <w:sz w:val="22"/>
          <w:szCs w:val="22"/>
          <w:lang w:val="fr-FR"/>
        </w:rPr>
        <w:t>1</w:t>
      </w:r>
      <w:r w:rsidR="00096307">
        <w:rPr>
          <w:bCs/>
          <w:kern w:val="22"/>
          <w:sz w:val="22"/>
          <w:szCs w:val="22"/>
          <w:lang w:val="fr-FR"/>
        </w:rPr>
        <w:t>7</w:t>
      </w:r>
      <w:r w:rsidR="00D7073E" w:rsidRPr="00831249">
        <w:rPr>
          <w:bCs/>
          <w:kern w:val="22"/>
          <w:sz w:val="22"/>
          <w:szCs w:val="22"/>
          <w:lang w:val="fr-FR"/>
        </w:rPr>
        <w:t xml:space="preserve">) </w:t>
      </w:r>
      <w:r>
        <w:rPr>
          <w:kern w:val="22"/>
          <w:sz w:val="22"/>
          <w:szCs w:val="22"/>
          <w:lang w:val="fr-FR"/>
        </w:rPr>
        <w:t>pour examen par l’Organe subsidiaire afin que soit formulée une recommandation aux fins d’examen par la Conférence des Parties à sa quinzième réunion.</w:t>
      </w:r>
    </w:p>
    <w:p w14:paraId="5A683505" w14:textId="2469E07A" w:rsidR="0098127B" w:rsidRPr="00465996" w:rsidRDefault="00AB21CA" w:rsidP="00ED543F">
      <w:pPr>
        <w:pStyle w:val="Heading1"/>
        <w:suppressLineNumbers/>
        <w:tabs>
          <w:tab w:val="clear" w:pos="720"/>
          <w:tab w:val="left" w:pos="1134"/>
        </w:tabs>
        <w:suppressAutoHyphens/>
        <w:spacing w:before="120"/>
        <w:rPr>
          <w:snapToGrid w:val="0"/>
          <w:kern w:val="22"/>
          <w:sz w:val="22"/>
          <w:szCs w:val="22"/>
          <w:lang w:val="fr-FR"/>
        </w:rPr>
      </w:pPr>
      <w:r w:rsidRPr="00465996">
        <w:rPr>
          <w:snapToGrid w:val="0"/>
          <w:kern w:val="22"/>
          <w:sz w:val="22"/>
          <w:szCs w:val="22"/>
          <w:lang w:val="fr-FR"/>
        </w:rPr>
        <w:lastRenderedPageBreak/>
        <w:t>point</w:t>
      </w:r>
      <w:r w:rsidR="00F73A9F" w:rsidRPr="00465996">
        <w:rPr>
          <w:snapToGrid w:val="0"/>
          <w:kern w:val="22"/>
          <w:sz w:val="22"/>
          <w:szCs w:val="22"/>
          <w:lang w:val="fr-FR"/>
        </w:rPr>
        <w:t xml:space="preserve"> 1</w:t>
      </w:r>
      <w:r w:rsidR="00C16CF2" w:rsidRPr="00465996">
        <w:rPr>
          <w:snapToGrid w:val="0"/>
          <w:kern w:val="22"/>
          <w:sz w:val="22"/>
          <w:szCs w:val="22"/>
          <w:lang w:val="fr-FR"/>
        </w:rPr>
        <w:t>5</w:t>
      </w:r>
      <w:r w:rsidR="00F73A9F" w:rsidRPr="00465996">
        <w:rPr>
          <w:snapToGrid w:val="0"/>
          <w:kern w:val="22"/>
          <w:sz w:val="22"/>
          <w:szCs w:val="22"/>
          <w:lang w:val="fr-FR"/>
        </w:rPr>
        <w:t>.</w:t>
      </w:r>
      <w:r w:rsidR="00760D74" w:rsidRPr="00465996">
        <w:rPr>
          <w:snapToGrid w:val="0"/>
          <w:kern w:val="22"/>
          <w:sz w:val="22"/>
          <w:szCs w:val="22"/>
          <w:lang w:val="fr-FR"/>
        </w:rPr>
        <w:tab/>
      </w:r>
      <w:r w:rsidRPr="00465996">
        <w:rPr>
          <w:snapToGrid w:val="0"/>
          <w:kern w:val="22"/>
          <w:sz w:val="22"/>
          <w:szCs w:val="22"/>
          <w:lang w:val="fr-FR"/>
        </w:rPr>
        <w:t>questions diverses</w:t>
      </w:r>
    </w:p>
    <w:p w14:paraId="6AC6D75B" w14:textId="640AA4F3" w:rsidR="0098127B" w:rsidRPr="00AF6D78" w:rsidRDefault="00AF6D78"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sidRPr="00AF6D78">
        <w:rPr>
          <w:kern w:val="22"/>
          <w:sz w:val="22"/>
          <w:szCs w:val="22"/>
          <w:lang w:val="fr-FR"/>
        </w:rPr>
        <w:t>Au titre de ce point de l’ordre du jour, l’Organe subsidiaire peut traiter d’autres questions liées au thème de la réunion.</w:t>
      </w:r>
    </w:p>
    <w:p w14:paraId="6940B664" w14:textId="43C7EDA6" w:rsidR="0098127B" w:rsidRPr="00465996" w:rsidRDefault="00AB21CA" w:rsidP="00ED543F">
      <w:pPr>
        <w:pStyle w:val="Heading1"/>
        <w:suppressLineNumbers/>
        <w:tabs>
          <w:tab w:val="clear" w:pos="720"/>
          <w:tab w:val="left" w:pos="1134"/>
        </w:tabs>
        <w:suppressAutoHyphens/>
        <w:spacing w:before="120"/>
        <w:rPr>
          <w:snapToGrid w:val="0"/>
          <w:kern w:val="22"/>
          <w:sz w:val="22"/>
          <w:szCs w:val="22"/>
          <w:lang w:val="fr-FR"/>
        </w:rPr>
      </w:pPr>
      <w:r w:rsidRPr="00465996">
        <w:rPr>
          <w:snapToGrid w:val="0"/>
          <w:kern w:val="22"/>
          <w:sz w:val="22"/>
          <w:szCs w:val="22"/>
          <w:lang w:val="fr-FR"/>
        </w:rPr>
        <w:t>point</w:t>
      </w:r>
      <w:r w:rsidR="00F73A9F" w:rsidRPr="00465996">
        <w:rPr>
          <w:snapToGrid w:val="0"/>
          <w:kern w:val="22"/>
          <w:sz w:val="22"/>
          <w:szCs w:val="22"/>
          <w:lang w:val="fr-FR"/>
        </w:rPr>
        <w:t xml:space="preserve"> </w:t>
      </w:r>
      <w:r w:rsidR="005523FA" w:rsidRPr="00465996">
        <w:rPr>
          <w:snapToGrid w:val="0"/>
          <w:kern w:val="22"/>
          <w:sz w:val="22"/>
          <w:szCs w:val="22"/>
          <w:lang w:val="fr-FR"/>
        </w:rPr>
        <w:t>1</w:t>
      </w:r>
      <w:r w:rsidR="00C16CF2" w:rsidRPr="00465996">
        <w:rPr>
          <w:snapToGrid w:val="0"/>
          <w:kern w:val="22"/>
          <w:sz w:val="22"/>
          <w:szCs w:val="22"/>
          <w:lang w:val="fr-FR"/>
        </w:rPr>
        <w:t>6</w:t>
      </w:r>
      <w:r w:rsidR="00F73A9F" w:rsidRPr="00465996">
        <w:rPr>
          <w:snapToGrid w:val="0"/>
          <w:kern w:val="22"/>
          <w:sz w:val="22"/>
          <w:szCs w:val="22"/>
          <w:lang w:val="fr-FR"/>
        </w:rPr>
        <w:t>.</w:t>
      </w:r>
      <w:r w:rsidR="00760D74" w:rsidRPr="00465996">
        <w:rPr>
          <w:snapToGrid w:val="0"/>
          <w:kern w:val="22"/>
          <w:sz w:val="22"/>
          <w:szCs w:val="22"/>
          <w:lang w:val="fr-FR"/>
        </w:rPr>
        <w:tab/>
      </w:r>
      <w:r w:rsidR="00F73A9F" w:rsidRPr="00465996">
        <w:rPr>
          <w:snapToGrid w:val="0"/>
          <w:kern w:val="22"/>
          <w:sz w:val="22"/>
          <w:szCs w:val="22"/>
          <w:lang w:val="fr-FR"/>
        </w:rPr>
        <w:t xml:space="preserve">Adoption </w:t>
      </w:r>
      <w:r w:rsidRPr="00465996">
        <w:rPr>
          <w:snapToGrid w:val="0"/>
          <w:kern w:val="22"/>
          <w:sz w:val="22"/>
          <w:szCs w:val="22"/>
          <w:lang w:val="fr-FR"/>
        </w:rPr>
        <w:t>du rapport</w:t>
      </w:r>
    </w:p>
    <w:p w14:paraId="72A20FBD" w14:textId="506CDA68" w:rsidR="0098127B" w:rsidRPr="00AF6D78" w:rsidRDefault="00AF6D78" w:rsidP="00A607E8">
      <w:pPr>
        <w:pStyle w:val="Para1"/>
        <w:numPr>
          <w:ilvl w:val="0"/>
          <w:numId w:val="14"/>
        </w:numPr>
        <w:suppressLineNumbers/>
        <w:tabs>
          <w:tab w:val="num" w:pos="720"/>
        </w:tabs>
        <w:suppressAutoHyphens/>
        <w:spacing w:before="120"/>
        <w:ind w:left="0" w:firstLine="0"/>
        <w:jc w:val="both"/>
        <w:rPr>
          <w:kern w:val="22"/>
          <w:sz w:val="22"/>
          <w:szCs w:val="22"/>
          <w:lang w:val="fr-FR"/>
        </w:rPr>
      </w:pPr>
      <w:r w:rsidRPr="00AF6D78">
        <w:rPr>
          <w:kern w:val="22"/>
          <w:sz w:val="22"/>
          <w:szCs w:val="22"/>
          <w:lang w:val="fr-FR"/>
        </w:rPr>
        <w:t>L’Organe subsidiaire sera invit</w:t>
      </w:r>
      <w:r>
        <w:rPr>
          <w:kern w:val="22"/>
          <w:sz w:val="22"/>
          <w:szCs w:val="22"/>
          <w:lang w:val="fr-FR"/>
        </w:rPr>
        <w:t>é</w:t>
      </w:r>
      <w:r w:rsidRPr="00AF6D78">
        <w:rPr>
          <w:kern w:val="22"/>
          <w:sz w:val="22"/>
          <w:szCs w:val="22"/>
          <w:lang w:val="fr-FR"/>
        </w:rPr>
        <w:t xml:space="preserve"> à examiner et adopter le rapport sur les travaux de sa </w:t>
      </w:r>
      <w:r>
        <w:rPr>
          <w:kern w:val="22"/>
          <w:sz w:val="22"/>
          <w:szCs w:val="22"/>
          <w:lang w:val="fr-FR"/>
        </w:rPr>
        <w:t>trois</w:t>
      </w:r>
      <w:r w:rsidRPr="00AF6D78">
        <w:rPr>
          <w:kern w:val="22"/>
          <w:sz w:val="22"/>
          <w:szCs w:val="22"/>
          <w:lang w:val="fr-FR"/>
        </w:rPr>
        <w:t>ième réunion et ce, sur la base du projet de rapport établi par le rapporteur.</w:t>
      </w:r>
    </w:p>
    <w:p w14:paraId="4E42B7B3" w14:textId="17CAC723" w:rsidR="0098127B" w:rsidRPr="00465996" w:rsidRDefault="00AB21CA" w:rsidP="00ED543F">
      <w:pPr>
        <w:pStyle w:val="Heading1"/>
        <w:suppressLineNumbers/>
        <w:tabs>
          <w:tab w:val="clear" w:pos="720"/>
          <w:tab w:val="left" w:pos="1134"/>
        </w:tabs>
        <w:suppressAutoHyphens/>
        <w:spacing w:before="120"/>
        <w:rPr>
          <w:snapToGrid w:val="0"/>
          <w:kern w:val="22"/>
          <w:sz w:val="22"/>
          <w:szCs w:val="22"/>
          <w:lang w:val="fr-FR"/>
        </w:rPr>
      </w:pPr>
      <w:r w:rsidRPr="00465996">
        <w:rPr>
          <w:snapToGrid w:val="0"/>
          <w:kern w:val="22"/>
          <w:sz w:val="22"/>
          <w:szCs w:val="22"/>
          <w:lang w:val="fr-FR"/>
        </w:rPr>
        <w:t>point</w:t>
      </w:r>
      <w:r w:rsidR="00F73A9F" w:rsidRPr="00465996">
        <w:rPr>
          <w:snapToGrid w:val="0"/>
          <w:kern w:val="22"/>
          <w:sz w:val="22"/>
          <w:szCs w:val="22"/>
          <w:lang w:val="fr-FR"/>
        </w:rPr>
        <w:t xml:space="preserve"> </w:t>
      </w:r>
      <w:r w:rsidR="00683FCE" w:rsidRPr="00465996">
        <w:rPr>
          <w:snapToGrid w:val="0"/>
          <w:kern w:val="22"/>
          <w:sz w:val="22"/>
          <w:szCs w:val="22"/>
          <w:lang w:val="fr-FR"/>
        </w:rPr>
        <w:t>1</w:t>
      </w:r>
      <w:r w:rsidR="00C16CF2" w:rsidRPr="00465996">
        <w:rPr>
          <w:snapToGrid w:val="0"/>
          <w:kern w:val="22"/>
          <w:sz w:val="22"/>
          <w:szCs w:val="22"/>
          <w:lang w:val="fr-FR"/>
        </w:rPr>
        <w:t>7</w:t>
      </w:r>
      <w:r w:rsidR="00F73A9F" w:rsidRPr="00465996">
        <w:rPr>
          <w:snapToGrid w:val="0"/>
          <w:kern w:val="22"/>
          <w:sz w:val="22"/>
          <w:szCs w:val="22"/>
          <w:lang w:val="fr-FR"/>
        </w:rPr>
        <w:t>.</w:t>
      </w:r>
      <w:r w:rsidR="00760D74" w:rsidRPr="00465996">
        <w:rPr>
          <w:snapToGrid w:val="0"/>
          <w:kern w:val="22"/>
          <w:sz w:val="22"/>
          <w:szCs w:val="22"/>
          <w:lang w:val="fr-FR"/>
        </w:rPr>
        <w:tab/>
      </w:r>
      <w:r w:rsidR="00F73A9F" w:rsidRPr="00465996">
        <w:rPr>
          <w:snapToGrid w:val="0"/>
          <w:kern w:val="22"/>
          <w:sz w:val="22"/>
          <w:szCs w:val="22"/>
          <w:lang w:val="fr-FR"/>
        </w:rPr>
        <w:t>Cl</w:t>
      </w:r>
      <w:r w:rsidRPr="00465996">
        <w:rPr>
          <w:snapToGrid w:val="0"/>
          <w:kern w:val="22"/>
          <w:sz w:val="22"/>
          <w:szCs w:val="22"/>
          <w:lang w:val="fr-FR"/>
        </w:rPr>
        <w:t>Ôture de la rÉunion</w:t>
      </w:r>
    </w:p>
    <w:p w14:paraId="708E398C" w14:textId="1B874591" w:rsidR="0098127B" w:rsidRPr="00465996" w:rsidRDefault="00D34FA6" w:rsidP="00A607E8">
      <w:pPr>
        <w:pStyle w:val="Para1"/>
        <w:numPr>
          <w:ilvl w:val="0"/>
          <w:numId w:val="14"/>
        </w:numPr>
        <w:suppressLineNumbers/>
        <w:tabs>
          <w:tab w:val="num" w:pos="720"/>
        </w:tabs>
        <w:suppressAutoHyphens/>
        <w:spacing w:before="120"/>
        <w:ind w:left="0" w:firstLine="0"/>
        <w:rPr>
          <w:kern w:val="22"/>
          <w:sz w:val="22"/>
          <w:szCs w:val="22"/>
          <w:lang w:val="fr-FR"/>
        </w:rPr>
      </w:pPr>
      <w:r>
        <w:rPr>
          <w:kern w:val="22"/>
          <w:sz w:val="22"/>
          <w:szCs w:val="22"/>
          <w:lang w:val="fr-FR"/>
        </w:rPr>
        <w:t>Il est prévu que la réunion s</w:t>
      </w:r>
      <w:r w:rsidR="007D5F39">
        <w:rPr>
          <w:kern w:val="22"/>
          <w:sz w:val="22"/>
          <w:szCs w:val="22"/>
          <w:lang w:val="fr-FR"/>
        </w:rPr>
        <w:t>era</w:t>
      </w:r>
      <w:r>
        <w:rPr>
          <w:kern w:val="22"/>
          <w:sz w:val="22"/>
          <w:szCs w:val="22"/>
          <w:lang w:val="fr-FR"/>
        </w:rPr>
        <w:t xml:space="preserve"> déclarée close le samedi </w:t>
      </w:r>
      <w:r w:rsidR="00F94278">
        <w:rPr>
          <w:kern w:val="22"/>
          <w:sz w:val="22"/>
          <w:szCs w:val="22"/>
          <w:lang w:val="fr-FR"/>
        </w:rPr>
        <w:t>14</w:t>
      </w:r>
      <w:r w:rsidR="00AB33AE">
        <w:rPr>
          <w:kern w:val="22"/>
          <w:sz w:val="22"/>
          <w:szCs w:val="22"/>
          <w:lang w:val="fr-FR"/>
        </w:rPr>
        <w:t xml:space="preserve"> </w:t>
      </w:r>
      <w:r w:rsidR="00F94278">
        <w:rPr>
          <w:kern w:val="22"/>
          <w:sz w:val="22"/>
          <w:szCs w:val="22"/>
          <w:lang w:val="fr-FR"/>
        </w:rPr>
        <w:t>novembre</w:t>
      </w:r>
      <w:r>
        <w:rPr>
          <w:kern w:val="22"/>
          <w:sz w:val="22"/>
          <w:szCs w:val="22"/>
          <w:lang w:val="fr-FR"/>
        </w:rPr>
        <w:t xml:space="preserve"> 2020 à 18 heures.</w:t>
      </w:r>
    </w:p>
    <w:p w14:paraId="1B42A2CD" w14:textId="2CE13715" w:rsidR="00712FA8" w:rsidRPr="00465996" w:rsidRDefault="006B4406" w:rsidP="00ED543F">
      <w:pPr>
        <w:pStyle w:val="Heading1"/>
        <w:keepNext w:val="0"/>
        <w:suppressLineNumbers/>
        <w:tabs>
          <w:tab w:val="clear" w:pos="720"/>
        </w:tabs>
        <w:suppressAutoHyphens/>
        <w:spacing w:before="0"/>
        <w:rPr>
          <w:b w:val="0"/>
          <w:i/>
          <w:caps w:val="0"/>
          <w:snapToGrid w:val="0"/>
          <w:kern w:val="22"/>
          <w:sz w:val="22"/>
          <w:szCs w:val="22"/>
          <w:lang w:val="fr-FR"/>
        </w:rPr>
      </w:pPr>
      <w:r w:rsidRPr="00465996">
        <w:rPr>
          <w:b w:val="0"/>
          <w:i/>
          <w:caps w:val="0"/>
          <w:snapToGrid w:val="0"/>
          <w:kern w:val="22"/>
          <w:sz w:val="22"/>
          <w:szCs w:val="22"/>
          <w:lang w:val="fr-FR"/>
        </w:rPr>
        <w:br w:type="page"/>
      </w:r>
      <w:r w:rsidR="00712FA8" w:rsidRPr="00465996">
        <w:rPr>
          <w:b w:val="0"/>
          <w:i/>
          <w:caps w:val="0"/>
          <w:snapToGrid w:val="0"/>
          <w:kern w:val="22"/>
          <w:sz w:val="22"/>
          <w:szCs w:val="22"/>
          <w:lang w:val="fr-FR"/>
        </w:rPr>
        <w:lastRenderedPageBreak/>
        <w:t>Annex</w:t>
      </w:r>
      <w:r w:rsidR="005470DD" w:rsidRPr="00465996">
        <w:rPr>
          <w:b w:val="0"/>
          <w:i/>
          <w:caps w:val="0"/>
          <w:snapToGrid w:val="0"/>
          <w:kern w:val="22"/>
          <w:sz w:val="22"/>
          <w:szCs w:val="22"/>
          <w:lang w:val="fr-FR"/>
        </w:rPr>
        <w:t>e</w:t>
      </w:r>
      <w:r w:rsidR="00712FA8" w:rsidRPr="00465996">
        <w:rPr>
          <w:b w:val="0"/>
          <w:i/>
          <w:caps w:val="0"/>
          <w:snapToGrid w:val="0"/>
          <w:kern w:val="22"/>
          <w:sz w:val="22"/>
          <w:szCs w:val="22"/>
          <w:lang w:val="fr-FR"/>
        </w:rPr>
        <w:t xml:space="preserve"> I</w:t>
      </w:r>
    </w:p>
    <w:p w14:paraId="23EBC605" w14:textId="4ED10F44" w:rsidR="000F6F19" w:rsidRPr="00465996" w:rsidRDefault="005470DD" w:rsidP="00ED543F">
      <w:pPr>
        <w:suppressLineNumbers/>
        <w:suppressAutoHyphens/>
        <w:spacing w:before="120" w:after="120"/>
        <w:jc w:val="center"/>
        <w:outlineLvl w:val="0"/>
        <w:rPr>
          <w:b/>
          <w:caps/>
          <w:snapToGrid w:val="0"/>
          <w:kern w:val="22"/>
          <w:sz w:val="22"/>
          <w:szCs w:val="22"/>
          <w:lang w:val="fr-FR"/>
        </w:rPr>
      </w:pPr>
      <w:r w:rsidRPr="00465996">
        <w:rPr>
          <w:b/>
          <w:caps/>
          <w:snapToGrid w:val="0"/>
          <w:kern w:val="22"/>
          <w:sz w:val="22"/>
          <w:szCs w:val="22"/>
          <w:lang w:val="fr-FR"/>
        </w:rPr>
        <w:t>organisation des travaux proposÉe</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4111"/>
      </w:tblGrid>
      <w:tr w:rsidR="00AE7235" w:rsidRPr="00465996" w14:paraId="043C749D" w14:textId="77777777" w:rsidTr="00ED543F">
        <w:trPr>
          <w:cantSplit/>
          <w:tblHeader/>
          <w:jc w:val="center"/>
        </w:trPr>
        <w:tc>
          <w:tcPr>
            <w:tcW w:w="1384" w:type="dxa"/>
            <w:shd w:val="clear" w:color="auto" w:fill="auto"/>
          </w:tcPr>
          <w:p w14:paraId="4FB6DC96" w14:textId="36B078B3" w:rsidR="00AE7235" w:rsidRPr="00465996" w:rsidRDefault="001D613E" w:rsidP="00ED543F">
            <w:pPr>
              <w:suppressLineNumbers/>
              <w:suppressAutoHyphens/>
              <w:spacing w:before="40" w:after="40"/>
              <w:jc w:val="center"/>
              <w:rPr>
                <w:b/>
                <w:snapToGrid w:val="0"/>
                <w:kern w:val="22"/>
                <w:sz w:val="22"/>
                <w:szCs w:val="22"/>
                <w:lang w:val="fr-FR"/>
              </w:rPr>
            </w:pPr>
            <w:r w:rsidRPr="00465996">
              <w:rPr>
                <w:b/>
                <w:snapToGrid w:val="0"/>
                <w:kern w:val="22"/>
                <w:sz w:val="22"/>
                <w:szCs w:val="22"/>
                <w:lang w:val="fr-FR"/>
              </w:rPr>
              <w:t>Date</w:t>
            </w:r>
          </w:p>
        </w:tc>
        <w:tc>
          <w:tcPr>
            <w:tcW w:w="4111" w:type="dxa"/>
            <w:shd w:val="clear" w:color="auto" w:fill="auto"/>
          </w:tcPr>
          <w:p w14:paraId="353957A3" w14:textId="7C37D156" w:rsidR="00AE7235" w:rsidRPr="00465996" w:rsidRDefault="00AE7235" w:rsidP="00ED543F">
            <w:pPr>
              <w:suppressLineNumbers/>
              <w:suppressAutoHyphens/>
              <w:spacing w:before="40" w:after="40"/>
              <w:jc w:val="center"/>
              <w:rPr>
                <w:b/>
                <w:bCs/>
                <w:iCs/>
                <w:snapToGrid w:val="0"/>
                <w:kern w:val="22"/>
                <w:sz w:val="22"/>
                <w:szCs w:val="22"/>
                <w:lang w:val="fr-FR"/>
              </w:rPr>
            </w:pPr>
            <w:r w:rsidRPr="00465996">
              <w:rPr>
                <w:b/>
                <w:bCs/>
                <w:iCs/>
                <w:snapToGrid w:val="0"/>
                <w:kern w:val="22"/>
                <w:sz w:val="22"/>
                <w:szCs w:val="22"/>
                <w:lang w:val="fr-FR"/>
              </w:rPr>
              <w:t xml:space="preserve">10 </w:t>
            </w:r>
            <w:r w:rsidR="005470DD" w:rsidRPr="00465996">
              <w:rPr>
                <w:b/>
                <w:bCs/>
                <w:iCs/>
                <w:snapToGrid w:val="0"/>
                <w:kern w:val="22"/>
                <w:sz w:val="22"/>
                <w:szCs w:val="22"/>
                <w:lang w:val="fr-FR"/>
              </w:rPr>
              <w:t>h</w:t>
            </w:r>
            <w:r w:rsidR="007D0EBE">
              <w:rPr>
                <w:b/>
                <w:bCs/>
                <w:iCs/>
                <w:snapToGrid w:val="0"/>
                <w:kern w:val="22"/>
                <w:sz w:val="22"/>
                <w:szCs w:val="22"/>
                <w:lang w:val="fr-FR"/>
              </w:rPr>
              <w:t xml:space="preserve"> 00</w:t>
            </w:r>
            <w:r w:rsidRPr="00465996">
              <w:rPr>
                <w:b/>
                <w:bCs/>
                <w:iCs/>
                <w:snapToGrid w:val="0"/>
                <w:kern w:val="22"/>
                <w:sz w:val="22"/>
                <w:szCs w:val="22"/>
                <w:lang w:val="fr-FR"/>
              </w:rPr>
              <w:t xml:space="preserve"> </w:t>
            </w:r>
            <w:r w:rsidR="005470DD" w:rsidRPr="00465996">
              <w:rPr>
                <w:b/>
                <w:bCs/>
                <w:iCs/>
                <w:snapToGrid w:val="0"/>
                <w:kern w:val="22"/>
                <w:sz w:val="22"/>
                <w:szCs w:val="22"/>
                <w:lang w:val="fr-FR"/>
              </w:rPr>
              <w:t>à 13 h</w:t>
            </w:r>
            <w:r w:rsidR="007D0EBE">
              <w:rPr>
                <w:b/>
                <w:bCs/>
                <w:iCs/>
                <w:snapToGrid w:val="0"/>
                <w:kern w:val="22"/>
                <w:sz w:val="22"/>
                <w:szCs w:val="22"/>
                <w:lang w:val="fr-FR"/>
              </w:rPr>
              <w:t xml:space="preserve"> 00</w:t>
            </w:r>
          </w:p>
        </w:tc>
        <w:tc>
          <w:tcPr>
            <w:tcW w:w="4111" w:type="dxa"/>
            <w:tcBorders>
              <w:bottom w:val="single" w:sz="4" w:space="0" w:color="auto"/>
            </w:tcBorders>
            <w:shd w:val="clear" w:color="auto" w:fill="auto"/>
          </w:tcPr>
          <w:p w14:paraId="73E3C654" w14:textId="109E4CB3" w:rsidR="00AE7235" w:rsidRPr="00465996" w:rsidRDefault="005470DD" w:rsidP="00E0453F">
            <w:pPr>
              <w:suppressLineNumbers/>
              <w:suppressAutoHyphens/>
              <w:spacing w:before="40" w:after="40"/>
              <w:ind w:right="-135"/>
              <w:jc w:val="center"/>
              <w:rPr>
                <w:b/>
                <w:snapToGrid w:val="0"/>
                <w:kern w:val="22"/>
                <w:sz w:val="22"/>
                <w:szCs w:val="22"/>
                <w:lang w:val="fr-FR"/>
              </w:rPr>
            </w:pPr>
            <w:r w:rsidRPr="00465996">
              <w:rPr>
                <w:b/>
                <w:snapToGrid w:val="0"/>
                <w:kern w:val="22"/>
                <w:sz w:val="22"/>
                <w:szCs w:val="22"/>
                <w:lang w:val="fr-FR"/>
              </w:rPr>
              <w:t>15 h</w:t>
            </w:r>
            <w:r w:rsidR="007D0EBE">
              <w:rPr>
                <w:b/>
                <w:snapToGrid w:val="0"/>
                <w:kern w:val="22"/>
                <w:sz w:val="22"/>
                <w:szCs w:val="22"/>
                <w:lang w:val="fr-FR"/>
              </w:rPr>
              <w:t xml:space="preserve"> 00</w:t>
            </w:r>
            <w:r w:rsidR="00AE7235" w:rsidRPr="00465996">
              <w:rPr>
                <w:b/>
                <w:snapToGrid w:val="0"/>
                <w:kern w:val="22"/>
                <w:sz w:val="22"/>
                <w:szCs w:val="22"/>
                <w:lang w:val="fr-FR"/>
              </w:rPr>
              <w:t xml:space="preserve"> </w:t>
            </w:r>
            <w:r w:rsidRPr="00465996">
              <w:rPr>
                <w:b/>
                <w:snapToGrid w:val="0"/>
                <w:kern w:val="22"/>
                <w:sz w:val="22"/>
                <w:szCs w:val="22"/>
                <w:lang w:val="fr-FR"/>
              </w:rPr>
              <w:t>à 18 h</w:t>
            </w:r>
            <w:r w:rsidR="007D0EBE">
              <w:rPr>
                <w:b/>
                <w:snapToGrid w:val="0"/>
                <w:kern w:val="22"/>
                <w:sz w:val="22"/>
                <w:szCs w:val="22"/>
                <w:lang w:val="fr-FR"/>
              </w:rPr>
              <w:t xml:space="preserve"> 00</w:t>
            </w:r>
          </w:p>
        </w:tc>
      </w:tr>
      <w:tr w:rsidR="00AE7235" w:rsidRPr="00283853" w14:paraId="46CA882D" w14:textId="77777777" w:rsidTr="00ED543F">
        <w:trPr>
          <w:cantSplit/>
          <w:jc w:val="center"/>
        </w:trPr>
        <w:tc>
          <w:tcPr>
            <w:tcW w:w="1384" w:type="dxa"/>
            <w:shd w:val="clear" w:color="auto" w:fill="auto"/>
            <w:tcMar>
              <w:top w:w="115" w:type="dxa"/>
              <w:left w:w="115" w:type="dxa"/>
              <w:bottom w:w="115" w:type="dxa"/>
              <w:right w:w="115" w:type="dxa"/>
            </w:tcMar>
          </w:tcPr>
          <w:p w14:paraId="1B96115B" w14:textId="77777777" w:rsidR="00663EAE" w:rsidRDefault="00FA640D" w:rsidP="00ED543F">
            <w:pPr>
              <w:suppressLineNumbers/>
              <w:suppressAutoHyphens/>
              <w:spacing w:before="40" w:after="40"/>
              <w:rPr>
                <w:snapToGrid w:val="0"/>
                <w:kern w:val="22"/>
                <w:sz w:val="22"/>
                <w:szCs w:val="22"/>
                <w:lang w:val="fr-FR"/>
              </w:rPr>
            </w:pPr>
            <w:r w:rsidRPr="00465996">
              <w:rPr>
                <w:snapToGrid w:val="0"/>
                <w:kern w:val="22"/>
                <w:sz w:val="22"/>
                <w:szCs w:val="22"/>
                <w:lang w:val="fr-FR"/>
              </w:rPr>
              <w:t>Lundi</w:t>
            </w:r>
            <w:r w:rsidR="00663EAE">
              <w:rPr>
                <w:snapToGrid w:val="0"/>
                <w:kern w:val="22"/>
                <w:sz w:val="22"/>
                <w:szCs w:val="22"/>
                <w:lang w:val="fr-FR"/>
              </w:rPr>
              <w:t xml:space="preserve"> </w:t>
            </w:r>
          </w:p>
          <w:p w14:paraId="5779AAD9" w14:textId="7944E537" w:rsidR="00AE7235" w:rsidRPr="00465996" w:rsidRDefault="00663EAE" w:rsidP="00663EAE">
            <w:pPr>
              <w:suppressLineNumbers/>
              <w:suppressAutoHyphens/>
              <w:spacing w:before="40" w:after="40"/>
              <w:rPr>
                <w:b/>
                <w:bCs/>
                <w:i/>
                <w:iCs/>
                <w:snapToGrid w:val="0"/>
                <w:kern w:val="22"/>
                <w:sz w:val="22"/>
                <w:szCs w:val="22"/>
                <w:lang w:val="fr-FR"/>
              </w:rPr>
            </w:pPr>
            <w:r>
              <w:rPr>
                <w:snapToGrid w:val="0"/>
                <w:kern w:val="22"/>
                <w:sz w:val="22"/>
                <w:szCs w:val="22"/>
                <w:lang w:val="fr-FR"/>
              </w:rPr>
              <w:t xml:space="preserve">9 </w:t>
            </w:r>
            <w:r w:rsidRPr="00663EAE">
              <w:rPr>
                <w:snapToGrid w:val="0"/>
                <w:kern w:val="22"/>
                <w:sz w:val="22"/>
                <w:szCs w:val="22"/>
                <w:lang w:val="fr-FR"/>
              </w:rPr>
              <w:t>novembre</w:t>
            </w:r>
            <w:r w:rsidR="00AA2E78" w:rsidRPr="00465996">
              <w:rPr>
                <w:snapToGrid w:val="0"/>
                <w:kern w:val="22"/>
                <w:sz w:val="22"/>
                <w:szCs w:val="22"/>
                <w:lang w:val="fr-FR"/>
              </w:rPr>
              <w:t xml:space="preserve"> 2020</w:t>
            </w:r>
          </w:p>
        </w:tc>
        <w:tc>
          <w:tcPr>
            <w:tcW w:w="4111" w:type="dxa"/>
            <w:shd w:val="clear" w:color="auto" w:fill="auto"/>
            <w:tcMar>
              <w:top w:w="115" w:type="dxa"/>
              <w:left w:w="115" w:type="dxa"/>
              <w:bottom w:w="115" w:type="dxa"/>
              <w:right w:w="115" w:type="dxa"/>
            </w:tcMar>
          </w:tcPr>
          <w:p w14:paraId="719C3799" w14:textId="343680C1" w:rsidR="00AE7235" w:rsidRPr="00465996" w:rsidRDefault="00AE7235" w:rsidP="00ED543F">
            <w:pPr>
              <w:pStyle w:val="Para1"/>
              <w:numPr>
                <w:ilvl w:val="0"/>
                <w:numId w:val="17"/>
              </w:numPr>
              <w:suppressLineNumbers/>
              <w:suppressAutoHyphens/>
              <w:spacing w:before="40" w:after="40"/>
              <w:ind w:left="342" w:hanging="342"/>
              <w:rPr>
                <w:kern w:val="22"/>
                <w:sz w:val="22"/>
                <w:szCs w:val="22"/>
                <w:lang w:val="fr-FR"/>
              </w:rPr>
            </w:pPr>
            <w:r w:rsidRPr="00465996">
              <w:rPr>
                <w:kern w:val="22"/>
                <w:sz w:val="22"/>
                <w:szCs w:val="22"/>
                <w:lang w:val="fr-FR"/>
              </w:rPr>
              <w:t>O</w:t>
            </w:r>
            <w:r w:rsidR="00FA640D" w:rsidRPr="00465996">
              <w:rPr>
                <w:kern w:val="22"/>
                <w:sz w:val="22"/>
                <w:szCs w:val="22"/>
                <w:lang w:val="fr-FR"/>
              </w:rPr>
              <w:t>uverture de la réunion</w:t>
            </w:r>
          </w:p>
          <w:p w14:paraId="110DD096" w14:textId="7051DAA0" w:rsidR="00AE7235" w:rsidRPr="00465996" w:rsidRDefault="00AE7235" w:rsidP="00ED543F">
            <w:pPr>
              <w:pStyle w:val="Para1"/>
              <w:numPr>
                <w:ilvl w:val="0"/>
                <w:numId w:val="17"/>
              </w:numPr>
              <w:suppressLineNumbers/>
              <w:suppressAutoHyphens/>
              <w:spacing w:before="40" w:after="40"/>
              <w:ind w:left="342" w:hanging="342"/>
              <w:rPr>
                <w:kern w:val="22"/>
                <w:sz w:val="22"/>
                <w:szCs w:val="22"/>
                <w:lang w:val="fr-FR"/>
              </w:rPr>
            </w:pPr>
            <w:r w:rsidRPr="00465996">
              <w:rPr>
                <w:kern w:val="22"/>
                <w:sz w:val="22"/>
                <w:szCs w:val="22"/>
                <w:lang w:val="fr-FR"/>
              </w:rPr>
              <w:t xml:space="preserve">Adoption </w:t>
            </w:r>
            <w:r w:rsidR="00274A1F" w:rsidRPr="00465996">
              <w:rPr>
                <w:kern w:val="22"/>
                <w:sz w:val="22"/>
                <w:szCs w:val="22"/>
                <w:lang w:val="fr-FR"/>
              </w:rPr>
              <w:t>de l’ordre du jour et organisation des travaux</w:t>
            </w:r>
          </w:p>
          <w:p w14:paraId="5A07C276" w14:textId="3A6DE8C9" w:rsidR="00AE7235" w:rsidRPr="00465996" w:rsidRDefault="00274A1F" w:rsidP="00ED543F">
            <w:pPr>
              <w:pStyle w:val="Para1"/>
              <w:numPr>
                <w:ilvl w:val="0"/>
                <w:numId w:val="17"/>
              </w:numPr>
              <w:suppressLineNumbers/>
              <w:suppressAutoHyphens/>
              <w:spacing w:before="40" w:after="40"/>
              <w:ind w:left="342" w:hanging="342"/>
              <w:rPr>
                <w:kern w:val="22"/>
                <w:sz w:val="22"/>
                <w:szCs w:val="22"/>
                <w:lang w:val="fr-FR"/>
              </w:rPr>
            </w:pPr>
            <w:r w:rsidRPr="00465996">
              <w:rPr>
                <w:kern w:val="22"/>
                <w:sz w:val="22"/>
                <w:szCs w:val="22"/>
                <w:lang w:val="fr-FR"/>
              </w:rPr>
              <w:t xml:space="preserve">Examen des progrès accomplis dans l’application de la Convention et la mise en œuvre du Plan stratégique pour la diversité biologique </w:t>
            </w:r>
            <w:r w:rsidR="00AE7235" w:rsidRPr="00465996">
              <w:rPr>
                <w:kern w:val="22"/>
                <w:sz w:val="22"/>
                <w:szCs w:val="22"/>
                <w:lang w:val="fr-FR"/>
              </w:rPr>
              <w:t>2011-2020</w:t>
            </w:r>
          </w:p>
          <w:p w14:paraId="76BC1D01" w14:textId="7DDEFF1A" w:rsidR="00AE7235" w:rsidRPr="00465996" w:rsidRDefault="00274A1F" w:rsidP="00ED543F">
            <w:pPr>
              <w:pStyle w:val="Para1"/>
              <w:numPr>
                <w:ilvl w:val="0"/>
                <w:numId w:val="17"/>
              </w:numPr>
              <w:suppressLineNumbers/>
              <w:suppressAutoHyphens/>
              <w:spacing w:before="40" w:after="40"/>
              <w:ind w:left="342" w:hanging="342"/>
              <w:rPr>
                <w:kern w:val="22"/>
                <w:sz w:val="22"/>
                <w:szCs w:val="22"/>
                <w:lang w:val="fr-FR"/>
              </w:rPr>
            </w:pPr>
            <w:r w:rsidRPr="00465996">
              <w:rPr>
                <w:kern w:val="22"/>
                <w:sz w:val="22"/>
                <w:szCs w:val="22"/>
                <w:lang w:val="fr-FR"/>
              </w:rPr>
              <w:t>Évaluation et examen de l’efficacité du Protocole de Cartagena sur la prévention des risques biotechnologiques</w:t>
            </w:r>
          </w:p>
        </w:tc>
        <w:tc>
          <w:tcPr>
            <w:tcW w:w="4111" w:type="dxa"/>
            <w:shd w:val="clear" w:color="auto" w:fill="FFFFFF"/>
            <w:tcMar>
              <w:top w:w="115" w:type="dxa"/>
              <w:left w:w="115" w:type="dxa"/>
              <w:bottom w:w="115" w:type="dxa"/>
              <w:right w:w="115" w:type="dxa"/>
            </w:tcMar>
          </w:tcPr>
          <w:p w14:paraId="5C50363D" w14:textId="576362AB" w:rsidR="00AE7235" w:rsidRPr="00465996" w:rsidRDefault="00FC27FF" w:rsidP="00ED543F">
            <w:pPr>
              <w:numPr>
                <w:ilvl w:val="0"/>
                <w:numId w:val="17"/>
              </w:numPr>
              <w:suppressLineNumbers/>
              <w:suppressAutoHyphens/>
              <w:spacing w:before="40" w:after="40"/>
              <w:ind w:left="336" w:hanging="336"/>
              <w:rPr>
                <w:iCs/>
                <w:snapToGrid w:val="0"/>
                <w:kern w:val="22"/>
                <w:sz w:val="22"/>
                <w:szCs w:val="22"/>
                <w:lang w:val="fr-FR"/>
              </w:rPr>
            </w:pPr>
            <w:r w:rsidRPr="00465996">
              <w:rPr>
                <w:sz w:val="22"/>
                <w:szCs w:val="22"/>
                <w:lang w:val="fr-FR"/>
              </w:rPr>
              <w:t>Cadre mondial de la biodiversité pour l’après-2020</w:t>
            </w:r>
          </w:p>
          <w:p w14:paraId="1E087DB0" w14:textId="62FC85D7" w:rsidR="0064106A" w:rsidRPr="00465996" w:rsidRDefault="00FC27FF" w:rsidP="00ED543F">
            <w:pPr>
              <w:numPr>
                <w:ilvl w:val="0"/>
                <w:numId w:val="17"/>
              </w:numPr>
              <w:suppressLineNumbers/>
              <w:suppressAutoHyphens/>
              <w:spacing w:before="40" w:after="40"/>
              <w:ind w:left="336" w:hanging="336"/>
              <w:rPr>
                <w:iCs/>
                <w:snapToGrid w:val="0"/>
                <w:kern w:val="22"/>
                <w:sz w:val="22"/>
                <w:szCs w:val="22"/>
                <w:lang w:val="fr-FR"/>
              </w:rPr>
            </w:pPr>
            <w:r w:rsidRPr="00465996">
              <w:rPr>
                <w:sz w:val="22"/>
                <w:szCs w:val="22"/>
                <w:lang w:val="fr-FR"/>
              </w:rPr>
              <w:t>Mobilisation des ressources et mécanisme de financement</w:t>
            </w:r>
          </w:p>
        </w:tc>
      </w:tr>
      <w:tr w:rsidR="00AE7235" w:rsidRPr="00283853" w14:paraId="5E1C88EB" w14:textId="77777777" w:rsidTr="00ED543F">
        <w:trPr>
          <w:cantSplit/>
          <w:jc w:val="center"/>
        </w:trPr>
        <w:tc>
          <w:tcPr>
            <w:tcW w:w="1384" w:type="dxa"/>
            <w:shd w:val="clear" w:color="auto" w:fill="auto"/>
            <w:tcMar>
              <w:top w:w="115" w:type="dxa"/>
              <w:left w:w="115" w:type="dxa"/>
              <w:bottom w:w="115" w:type="dxa"/>
              <w:right w:w="115" w:type="dxa"/>
            </w:tcMar>
          </w:tcPr>
          <w:p w14:paraId="62D70BE0" w14:textId="786AC6BE" w:rsidR="00AE7235" w:rsidRPr="00465996" w:rsidRDefault="00FA640D" w:rsidP="00ED543F">
            <w:pPr>
              <w:suppressLineNumbers/>
              <w:suppressAutoHyphens/>
              <w:spacing w:before="40" w:after="40"/>
              <w:rPr>
                <w:snapToGrid w:val="0"/>
                <w:kern w:val="22"/>
                <w:sz w:val="22"/>
                <w:szCs w:val="22"/>
                <w:lang w:val="fr-FR"/>
              </w:rPr>
            </w:pPr>
            <w:r w:rsidRPr="00465996">
              <w:rPr>
                <w:snapToGrid w:val="0"/>
                <w:kern w:val="22"/>
                <w:sz w:val="22"/>
                <w:szCs w:val="22"/>
                <w:lang w:val="fr-FR"/>
              </w:rPr>
              <w:t>Mardi</w:t>
            </w:r>
          </w:p>
          <w:p w14:paraId="6EEF6EEF" w14:textId="532864A5" w:rsidR="00AE7235" w:rsidRPr="00465996" w:rsidRDefault="00663EAE"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fr-FR"/>
              </w:rPr>
            </w:pPr>
            <w:r>
              <w:rPr>
                <w:rFonts w:ascii="Times New Roman" w:hAnsi="Times New Roman" w:cs="Times New Roman"/>
                <w:b w:val="0"/>
                <w:bCs w:val="0"/>
                <w:i w:val="0"/>
                <w:iCs w:val="0"/>
                <w:snapToGrid w:val="0"/>
                <w:kern w:val="22"/>
                <w:sz w:val="22"/>
                <w:szCs w:val="22"/>
                <w:lang w:val="fr-FR"/>
              </w:rPr>
              <w:t>10 n</w:t>
            </w:r>
            <w:r w:rsidRPr="00663EAE">
              <w:rPr>
                <w:rFonts w:ascii="Times New Roman" w:hAnsi="Times New Roman" w:cs="Times New Roman"/>
                <w:b w:val="0"/>
                <w:bCs w:val="0"/>
                <w:i w:val="0"/>
                <w:iCs w:val="0"/>
                <w:snapToGrid w:val="0"/>
                <w:kern w:val="22"/>
                <w:sz w:val="22"/>
                <w:szCs w:val="22"/>
                <w:lang w:val="fr-FR"/>
              </w:rPr>
              <w:t>ovembre</w:t>
            </w:r>
            <w:r w:rsidR="00AB33AE" w:rsidRPr="00465996">
              <w:rPr>
                <w:rFonts w:ascii="Times New Roman" w:hAnsi="Times New Roman" w:cs="Times New Roman"/>
                <w:b w:val="0"/>
                <w:bCs w:val="0"/>
                <w:i w:val="0"/>
                <w:iCs w:val="0"/>
                <w:snapToGrid w:val="0"/>
                <w:kern w:val="22"/>
                <w:sz w:val="22"/>
                <w:szCs w:val="22"/>
                <w:lang w:val="fr-FR"/>
              </w:rPr>
              <w:t xml:space="preserve"> </w:t>
            </w:r>
            <w:r w:rsidR="00AA2E78" w:rsidRPr="00465996">
              <w:rPr>
                <w:rFonts w:ascii="Times New Roman" w:hAnsi="Times New Roman" w:cs="Times New Roman"/>
                <w:b w:val="0"/>
                <w:bCs w:val="0"/>
                <w:i w:val="0"/>
                <w:iCs w:val="0"/>
                <w:snapToGrid w:val="0"/>
                <w:kern w:val="22"/>
                <w:sz w:val="22"/>
                <w:szCs w:val="22"/>
                <w:lang w:val="fr-FR"/>
              </w:rPr>
              <w:t>2020</w:t>
            </w:r>
          </w:p>
        </w:tc>
        <w:tc>
          <w:tcPr>
            <w:tcW w:w="4111" w:type="dxa"/>
            <w:tcBorders>
              <w:bottom w:val="single" w:sz="4" w:space="0" w:color="auto"/>
            </w:tcBorders>
            <w:shd w:val="clear" w:color="auto" w:fill="auto"/>
            <w:tcMar>
              <w:top w:w="115" w:type="dxa"/>
              <w:left w:w="115" w:type="dxa"/>
              <w:bottom w:w="115" w:type="dxa"/>
              <w:right w:w="115" w:type="dxa"/>
            </w:tcMar>
          </w:tcPr>
          <w:p w14:paraId="04508873" w14:textId="240DE6BD" w:rsidR="0064106A" w:rsidRPr="00465996" w:rsidRDefault="00274A1F" w:rsidP="00ED543F">
            <w:pPr>
              <w:numPr>
                <w:ilvl w:val="0"/>
                <w:numId w:val="17"/>
              </w:numPr>
              <w:suppressLineNumbers/>
              <w:suppressAutoHyphens/>
              <w:spacing w:before="40" w:after="40"/>
              <w:ind w:left="342" w:hanging="342"/>
              <w:rPr>
                <w:iCs/>
                <w:snapToGrid w:val="0"/>
                <w:kern w:val="22"/>
                <w:sz w:val="22"/>
                <w:szCs w:val="22"/>
                <w:lang w:val="fr-FR"/>
              </w:rPr>
            </w:pPr>
            <w:r w:rsidRPr="00465996">
              <w:rPr>
                <w:snapToGrid w:val="0"/>
                <w:kern w:val="22"/>
                <w:sz w:val="22"/>
                <w:szCs w:val="22"/>
                <w:lang w:val="fr-FR"/>
              </w:rPr>
              <w:t>Renforcement des capacités</w:t>
            </w:r>
            <w:r w:rsidR="0064106A" w:rsidRPr="00465996">
              <w:rPr>
                <w:snapToGrid w:val="0"/>
                <w:kern w:val="22"/>
                <w:sz w:val="22"/>
                <w:szCs w:val="22"/>
                <w:lang w:val="fr-FR"/>
              </w:rPr>
              <w:t xml:space="preserve">, </w:t>
            </w:r>
            <w:r w:rsidR="00FC27FF" w:rsidRPr="00465996">
              <w:rPr>
                <w:snapToGrid w:val="0"/>
                <w:kern w:val="22"/>
                <w:sz w:val="22"/>
                <w:szCs w:val="22"/>
                <w:lang w:val="fr-FR"/>
              </w:rPr>
              <w:t xml:space="preserve">coopération technique et scientifique </w:t>
            </w:r>
            <w:r w:rsidR="00FC27FF" w:rsidRPr="00465996">
              <w:rPr>
                <w:sz w:val="22"/>
                <w:szCs w:val="22"/>
                <w:lang w:val="fr-FR"/>
              </w:rPr>
              <w:t>transfert de technologie, gestion des connaissances et communication</w:t>
            </w:r>
          </w:p>
          <w:p w14:paraId="26969C3F" w14:textId="47E7DD9C" w:rsidR="00AE7235" w:rsidRPr="00465996" w:rsidRDefault="00FC27FF" w:rsidP="00ED543F">
            <w:pPr>
              <w:numPr>
                <w:ilvl w:val="0"/>
                <w:numId w:val="17"/>
              </w:numPr>
              <w:suppressLineNumbers/>
              <w:suppressAutoHyphens/>
              <w:spacing w:before="40" w:after="40"/>
              <w:ind w:left="342" w:hanging="342"/>
              <w:rPr>
                <w:snapToGrid w:val="0"/>
                <w:kern w:val="22"/>
                <w:sz w:val="22"/>
                <w:szCs w:val="22"/>
                <w:lang w:val="fr-FR"/>
              </w:rPr>
            </w:pPr>
            <w:r w:rsidRPr="00465996">
              <w:rPr>
                <w:sz w:val="22"/>
                <w:szCs w:val="22"/>
                <w:lang w:val="fr-FR"/>
              </w:rPr>
              <w:t>Coopération avec d’autres conventions, organisations et initiatives internationales</w:t>
            </w:r>
          </w:p>
        </w:tc>
        <w:tc>
          <w:tcPr>
            <w:tcW w:w="4111" w:type="dxa"/>
            <w:shd w:val="clear" w:color="auto" w:fill="FFFFFF"/>
            <w:tcMar>
              <w:top w:w="115" w:type="dxa"/>
              <w:left w:w="115" w:type="dxa"/>
              <w:bottom w:w="115" w:type="dxa"/>
              <w:right w:w="115" w:type="dxa"/>
            </w:tcMar>
          </w:tcPr>
          <w:p w14:paraId="532C3F7D" w14:textId="568917EA" w:rsidR="00AE7235" w:rsidRPr="00465996" w:rsidRDefault="00FC27FF" w:rsidP="00ED543F">
            <w:pPr>
              <w:numPr>
                <w:ilvl w:val="0"/>
                <w:numId w:val="19"/>
              </w:numPr>
              <w:suppressLineNumbers/>
              <w:suppressAutoHyphens/>
              <w:spacing w:before="40" w:after="40"/>
              <w:ind w:left="336" w:hanging="336"/>
              <w:rPr>
                <w:snapToGrid w:val="0"/>
                <w:kern w:val="22"/>
                <w:sz w:val="22"/>
                <w:szCs w:val="22"/>
                <w:lang w:val="fr-FR"/>
              </w:rPr>
            </w:pPr>
            <w:r w:rsidRPr="00465996">
              <w:rPr>
                <w:sz w:val="22"/>
                <w:szCs w:val="22"/>
                <w:lang w:val="fr-FR"/>
              </w:rPr>
              <w:t>Examen de l’efficacité des processus au titre de la Convention et de ses protocoles</w:t>
            </w:r>
          </w:p>
          <w:p w14:paraId="4E20DF1F" w14:textId="73D55D08" w:rsidR="00817F44" w:rsidRPr="00465996" w:rsidRDefault="00FC27FF" w:rsidP="00ED543F">
            <w:pPr>
              <w:numPr>
                <w:ilvl w:val="0"/>
                <w:numId w:val="19"/>
              </w:numPr>
              <w:suppressLineNumbers/>
              <w:suppressAutoHyphens/>
              <w:spacing w:before="40" w:after="40"/>
              <w:ind w:left="336" w:hanging="336"/>
              <w:rPr>
                <w:snapToGrid w:val="0"/>
                <w:kern w:val="22"/>
                <w:sz w:val="22"/>
                <w:szCs w:val="22"/>
                <w:lang w:val="fr-FR"/>
              </w:rPr>
            </w:pPr>
            <w:r w:rsidRPr="00465996">
              <w:rPr>
                <w:sz w:val="22"/>
                <w:szCs w:val="22"/>
                <w:lang w:val="fr-FR"/>
              </w:rPr>
              <w:t>Intégration de la biodiversité dans les secteurs et entre eux, et autres mesures stratégiques destinées à renforcer la mise en œuvre</w:t>
            </w:r>
          </w:p>
        </w:tc>
      </w:tr>
      <w:tr w:rsidR="00AE7235" w:rsidRPr="00283853" w14:paraId="43F696FB" w14:textId="77777777" w:rsidTr="00ED543F">
        <w:trPr>
          <w:cantSplit/>
          <w:jc w:val="center"/>
        </w:trPr>
        <w:tc>
          <w:tcPr>
            <w:tcW w:w="1384" w:type="dxa"/>
            <w:shd w:val="clear" w:color="auto" w:fill="auto"/>
            <w:tcMar>
              <w:top w:w="115" w:type="dxa"/>
              <w:left w:w="115" w:type="dxa"/>
              <w:bottom w:w="115" w:type="dxa"/>
              <w:right w:w="115" w:type="dxa"/>
            </w:tcMar>
          </w:tcPr>
          <w:p w14:paraId="07BD855A" w14:textId="79CCDD6C" w:rsidR="00AE7235" w:rsidRPr="00465996" w:rsidRDefault="00FA640D" w:rsidP="00ED543F">
            <w:pPr>
              <w:suppressLineNumbers/>
              <w:suppressAutoHyphens/>
              <w:spacing w:before="40" w:after="40"/>
              <w:rPr>
                <w:snapToGrid w:val="0"/>
                <w:kern w:val="22"/>
                <w:sz w:val="22"/>
                <w:szCs w:val="22"/>
                <w:lang w:val="fr-FR"/>
              </w:rPr>
            </w:pPr>
            <w:r w:rsidRPr="00465996">
              <w:rPr>
                <w:snapToGrid w:val="0"/>
                <w:kern w:val="22"/>
                <w:sz w:val="22"/>
                <w:szCs w:val="22"/>
                <w:lang w:val="fr-FR"/>
              </w:rPr>
              <w:t>Mercredi</w:t>
            </w:r>
          </w:p>
          <w:p w14:paraId="0CB18957" w14:textId="0FD74CBF" w:rsidR="00AE7235" w:rsidRPr="00465996" w:rsidRDefault="00663EAE"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fr-FR"/>
              </w:rPr>
            </w:pPr>
            <w:r>
              <w:rPr>
                <w:rFonts w:ascii="Times New Roman" w:hAnsi="Times New Roman" w:cs="Times New Roman"/>
                <w:b w:val="0"/>
                <w:bCs w:val="0"/>
                <w:i w:val="0"/>
                <w:iCs w:val="0"/>
                <w:snapToGrid w:val="0"/>
                <w:kern w:val="22"/>
                <w:sz w:val="22"/>
                <w:szCs w:val="22"/>
                <w:lang w:val="fr-FR"/>
              </w:rPr>
              <w:t>11 n</w:t>
            </w:r>
            <w:r w:rsidRPr="00663EAE">
              <w:rPr>
                <w:rFonts w:ascii="Times New Roman" w:hAnsi="Times New Roman" w:cs="Times New Roman"/>
                <w:b w:val="0"/>
                <w:bCs w:val="0"/>
                <w:i w:val="0"/>
                <w:iCs w:val="0"/>
                <w:snapToGrid w:val="0"/>
                <w:kern w:val="22"/>
                <w:sz w:val="22"/>
                <w:szCs w:val="22"/>
                <w:lang w:val="fr-FR"/>
              </w:rPr>
              <w:t>ovembre</w:t>
            </w:r>
            <w:r w:rsidRPr="00465996">
              <w:rPr>
                <w:rFonts w:ascii="Times New Roman" w:hAnsi="Times New Roman" w:cs="Times New Roman"/>
                <w:b w:val="0"/>
                <w:bCs w:val="0"/>
                <w:i w:val="0"/>
                <w:iCs w:val="0"/>
                <w:snapToGrid w:val="0"/>
                <w:kern w:val="22"/>
                <w:sz w:val="22"/>
                <w:szCs w:val="22"/>
                <w:lang w:val="fr-FR"/>
              </w:rPr>
              <w:t xml:space="preserve"> 2020</w:t>
            </w:r>
          </w:p>
        </w:tc>
        <w:tc>
          <w:tcPr>
            <w:tcW w:w="4111" w:type="dxa"/>
            <w:shd w:val="clear" w:color="auto" w:fill="auto"/>
            <w:tcMar>
              <w:top w:w="115" w:type="dxa"/>
              <w:left w:w="115" w:type="dxa"/>
              <w:bottom w:w="115" w:type="dxa"/>
              <w:right w:w="115" w:type="dxa"/>
            </w:tcMar>
          </w:tcPr>
          <w:p w14:paraId="69D5ACB0" w14:textId="47E970EB" w:rsidR="0064106A" w:rsidRPr="00465996" w:rsidRDefault="00FC27FF" w:rsidP="00ED543F">
            <w:pPr>
              <w:numPr>
                <w:ilvl w:val="0"/>
                <w:numId w:val="17"/>
              </w:numPr>
              <w:suppressLineNumbers/>
              <w:suppressAutoHyphens/>
              <w:spacing w:before="40" w:after="40"/>
              <w:ind w:left="342" w:hanging="342"/>
              <w:rPr>
                <w:snapToGrid w:val="0"/>
                <w:kern w:val="22"/>
                <w:sz w:val="22"/>
                <w:szCs w:val="22"/>
                <w:lang w:val="fr-FR"/>
              </w:rPr>
            </w:pPr>
            <w:r w:rsidRPr="00465996">
              <w:rPr>
                <w:sz w:val="22"/>
                <w:szCs w:val="22"/>
                <w:lang w:val="fr-FR"/>
              </w:rPr>
              <w:t>Instruments internationaux spécialisés en matière d’accès et de partage des avantages dans le contexte du paragraphe 4 de l’article 4 du Protocole de Nagoya</w:t>
            </w:r>
          </w:p>
          <w:p w14:paraId="43FF578B" w14:textId="15B45E6B" w:rsidR="00817F44" w:rsidRPr="00465996" w:rsidRDefault="00FC27FF" w:rsidP="00663EAE">
            <w:pPr>
              <w:numPr>
                <w:ilvl w:val="0"/>
                <w:numId w:val="17"/>
              </w:numPr>
              <w:suppressLineNumbers/>
              <w:suppressAutoHyphens/>
              <w:spacing w:before="40" w:after="40"/>
              <w:ind w:left="342" w:hanging="342"/>
              <w:rPr>
                <w:snapToGrid w:val="0"/>
                <w:kern w:val="22"/>
                <w:sz w:val="22"/>
                <w:szCs w:val="22"/>
                <w:lang w:val="fr-FR"/>
              </w:rPr>
            </w:pPr>
            <w:r w:rsidRPr="00465996">
              <w:rPr>
                <w:sz w:val="22"/>
                <w:szCs w:val="22"/>
                <w:lang w:val="fr-FR"/>
              </w:rPr>
              <w:t>Mécanisme multilatéral mondial de partage des avantages (article 10 du Protocole de Nagoya)</w:t>
            </w:r>
          </w:p>
        </w:tc>
        <w:tc>
          <w:tcPr>
            <w:tcW w:w="4111" w:type="dxa"/>
            <w:shd w:val="clear" w:color="auto" w:fill="auto"/>
            <w:tcMar>
              <w:top w:w="115" w:type="dxa"/>
              <w:left w:w="115" w:type="dxa"/>
              <w:bottom w:w="115" w:type="dxa"/>
              <w:right w:w="115" w:type="dxa"/>
            </w:tcMar>
          </w:tcPr>
          <w:p w14:paraId="4A83F90F" w14:textId="3E40021B" w:rsidR="00AE7235" w:rsidRPr="00465996" w:rsidRDefault="002E7B49" w:rsidP="00ED543F">
            <w:pPr>
              <w:suppressLineNumbers/>
              <w:suppressAutoHyphens/>
              <w:spacing w:before="40" w:after="40"/>
              <w:rPr>
                <w:snapToGrid w:val="0"/>
                <w:kern w:val="22"/>
                <w:sz w:val="22"/>
                <w:szCs w:val="22"/>
                <w:lang w:val="fr-FR"/>
              </w:rPr>
            </w:pPr>
            <w:r w:rsidRPr="00465996">
              <w:rPr>
                <w:iCs/>
                <w:snapToGrid w:val="0"/>
                <w:color w:val="000000"/>
                <w:kern w:val="22"/>
                <w:sz w:val="22"/>
                <w:szCs w:val="22"/>
                <w:lang w:val="fr-FR"/>
              </w:rPr>
              <w:t>Forum à composition non limitée sur le point 9 de l’ordre du jour (</w:t>
            </w:r>
            <w:r w:rsidRPr="00465996">
              <w:rPr>
                <w:sz w:val="22"/>
                <w:szCs w:val="22"/>
                <w:lang w:val="fr-FR"/>
              </w:rPr>
              <w:t>Mécanismes d’établissement des rapports, d’évaluation et d’examen de l’application</w:t>
            </w:r>
            <w:r w:rsidR="00817F44" w:rsidRPr="00465996">
              <w:rPr>
                <w:iCs/>
                <w:snapToGrid w:val="0"/>
                <w:color w:val="000000"/>
                <w:kern w:val="22"/>
                <w:sz w:val="22"/>
                <w:szCs w:val="22"/>
                <w:lang w:val="fr-FR"/>
              </w:rPr>
              <w:t>)</w:t>
            </w:r>
          </w:p>
        </w:tc>
      </w:tr>
      <w:tr w:rsidR="0064106A" w:rsidRPr="00283853" w14:paraId="27BE58A9" w14:textId="77777777" w:rsidTr="00ED543F">
        <w:trPr>
          <w:cantSplit/>
          <w:jc w:val="center"/>
        </w:trPr>
        <w:tc>
          <w:tcPr>
            <w:tcW w:w="1384" w:type="dxa"/>
            <w:shd w:val="clear" w:color="auto" w:fill="auto"/>
            <w:tcMar>
              <w:top w:w="115" w:type="dxa"/>
              <w:left w:w="115" w:type="dxa"/>
              <w:bottom w:w="115" w:type="dxa"/>
              <w:right w:w="115" w:type="dxa"/>
            </w:tcMar>
          </w:tcPr>
          <w:p w14:paraId="660AEF8D" w14:textId="7D2E0FD6" w:rsidR="0064106A" w:rsidRPr="00465996" w:rsidRDefault="00FA640D" w:rsidP="00ED543F">
            <w:pPr>
              <w:suppressLineNumbers/>
              <w:suppressAutoHyphens/>
              <w:spacing w:before="40" w:after="40"/>
              <w:rPr>
                <w:snapToGrid w:val="0"/>
                <w:kern w:val="22"/>
                <w:sz w:val="22"/>
                <w:szCs w:val="22"/>
                <w:lang w:val="fr-FR"/>
              </w:rPr>
            </w:pPr>
            <w:r w:rsidRPr="00465996">
              <w:rPr>
                <w:snapToGrid w:val="0"/>
                <w:kern w:val="22"/>
                <w:sz w:val="22"/>
                <w:szCs w:val="22"/>
                <w:lang w:val="fr-FR"/>
              </w:rPr>
              <w:t>Jeudi</w:t>
            </w:r>
          </w:p>
          <w:p w14:paraId="4C94E24B" w14:textId="733EBA8F" w:rsidR="0064106A" w:rsidRPr="00465996" w:rsidRDefault="00663EAE"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fr-FR"/>
              </w:rPr>
            </w:pPr>
            <w:r>
              <w:rPr>
                <w:rFonts w:ascii="Times New Roman" w:hAnsi="Times New Roman" w:cs="Times New Roman"/>
                <w:b w:val="0"/>
                <w:bCs w:val="0"/>
                <w:i w:val="0"/>
                <w:iCs w:val="0"/>
                <w:snapToGrid w:val="0"/>
                <w:kern w:val="22"/>
                <w:sz w:val="22"/>
                <w:szCs w:val="22"/>
                <w:lang w:val="fr-FR"/>
              </w:rPr>
              <w:t>12 n</w:t>
            </w:r>
            <w:r w:rsidRPr="00663EAE">
              <w:rPr>
                <w:rFonts w:ascii="Times New Roman" w:hAnsi="Times New Roman" w:cs="Times New Roman"/>
                <w:b w:val="0"/>
                <w:bCs w:val="0"/>
                <w:i w:val="0"/>
                <w:iCs w:val="0"/>
                <w:snapToGrid w:val="0"/>
                <w:kern w:val="22"/>
                <w:sz w:val="22"/>
                <w:szCs w:val="22"/>
                <w:lang w:val="fr-FR"/>
              </w:rPr>
              <w:t>ovembre</w:t>
            </w:r>
            <w:r w:rsidRPr="00465996">
              <w:rPr>
                <w:rFonts w:ascii="Times New Roman" w:hAnsi="Times New Roman" w:cs="Times New Roman"/>
                <w:b w:val="0"/>
                <w:bCs w:val="0"/>
                <w:i w:val="0"/>
                <w:iCs w:val="0"/>
                <w:snapToGrid w:val="0"/>
                <w:kern w:val="22"/>
                <w:sz w:val="22"/>
                <w:szCs w:val="22"/>
                <w:lang w:val="fr-FR"/>
              </w:rPr>
              <w:t xml:space="preserve"> 2020</w:t>
            </w:r>
          </w:p>
        </w:tc>
        <w:tc>
          <w:tcPr>
            <w:tcW w:w="4111" w:type="dxa"/>
            <w:shd w:val="clear" w:color="auto" w:fill="auto"/>
            <w:tcMar>
              <w:top w:w="115" w:type="dxa"/>
              <w:left w:w="115" w:type="dxa"/>
              <w:bottom w:w="115" w:type="dxa"/>
              <w:right w:w="115" w:type="dxa"/>
            </w:tcMar>
          </w:tcPr>
          <w:p w14:paraId="0E512E60" w14:textId="1F0DB75F" w:rsidR="00FC27FF" w:rsidRPr="00465996" w:rsidRDefault="00FC27FF" w:rsidP="00FC27FF">
            <w:pPr>
              <w:suppressLineNumbers/>
              <w:suppressAutoHyphens/>
              <w:spacing w:before="40" w:after="40"/>
              <w:ind w:left="343" w:hanging="343"/>
              <w:rPr>
                <w:iCs/>
                <w:snapToGrid w:val="0"/>
                <w:kern w:val="22"/>
                <w:sz w:val="22"/>
                <w:szCs w:val="22"/>
                <w:lang w:val="fr-FR"/>
              </w:rPr>
            </w:pPr>
            <w:r w:rsidRPr="00465996">
              <w:rPr>
                <w:sz w:val="22"/>
                <w:szCs w:val="22"/>
                <w:lang w:val="fr-FR"/>
              </w:rPr>
              <w:t>9.</w:t>
            </w:r>
            <w:r w:rsidRPr="00465996">
              <w:rPr>
                <w:sz w:val="22"/>
                <w:szCs w:val="22"/>
                <w:lang w:val="fr-FR"/>
              </w:rPr>
              <w:tab/>
              <w:t>Mécanismes d’établissement des rapports, d’évaluation et d’examen de l’application</w:t>
            </w:r>
          </w:p>
          <w:p w14:paraId="06BA2A92" w14:textId="36F47297" w:rsidR="0064106A" w:rsidRPr="00465996" w:rsidRDefault="007D6D03" w:rsidP="00ED543F">
            <w:pPr>
              <w:suppressLineNumbers/>
              <w:suppressAutoHyphens/>
              <w:spacing w:before="40" w:after="40"/>
              <w:rPr>
                <w:iCs/>
                <w:snapToGrid w:val="0"/>
                <w:color w:val="000000"/>
                <w:kern w:val="22"/>
                <w:sz w:val="22"/>
                <w:szCs w:val="22"/>
                <w:lang w:val="fr-FR"/>
              </w:rPr>
            </w:pPr>
            <w:r w:rsidRPr="00465996">
              <w:rPr>
                <w:iCs/>
                <w:snapToGrid w:val="0"/>
                <w:kern w:val="22"/>
                <w:sz w:val="22"/>
                <w:szCs w:val="22"/>
                <w:lang w:val="fr-FR"/>
              </w:rPr>
              <w:t>Examen des documents de séance</w:t>
            </w:r>
            <w:r w:rsidR="00817F44" w:rsidRPr="00465996" w:rsidDel="005D3EC9">
              <w:rPr>
                <w:iCs/>
                <w:snapToGrid w:val="0"/>
                <w:color w:val="000000"/>
                <w:kern w:val="22"/>
                <w:sz w:val="22"/>
                <w:szCs w:val="22"/>
                <w:lang w:val="fr-FR"/>
              </w:rPr>
              <w:t xml:space="preserve"> </w:t>
            </w:r>
          </w:p>
        </w:tc>
        <w:tc>
          <w:tcPr>
            <w:tcW w:w="4111" w:type="dxa"/>
            <w:shd w:val="clear" w:color="auto" w:fill="auto"/>
            <w:tcMar>
              <w:top w:w="115" w:type="dxa"/>
              <w:left w:w="115" w:type="dxa"/>
              <w:bottom w:w="115" w:type="dxa"/>
              <w:right w:w="115" w:type="dxa"/>
            </w:tcMar>
          </w:tcPr>
          <w:p w14:paraId="2EFFD5EB" w14:textId="49F27876" w:rsidR="0064106A" w:rsidRPr="00465996" w:rsidRDefault="007D6D03" w:rsidP="00ED543F">
            <w:pPr>
              <w:suppressLineNumbers/>
              <w:suppressAutoHyphens/>
              <w:spacing w:before="40" w:after="40"/>
              <w:rPr>
                <w:iCs/>
                <w:snapToGrid w:val="0"/>
                <w:kern w:val="22"/>
                <w:sz w:val="22"/>
                <w:szCs w:val="22"/>
                <w:lang w:val="fr-FR"/>
              </w:rPr>
            </w:pPr>
            <w:r w:rsidRPr="00465996">
              <w:rPr>
                <w:iCs/>
                <w:snapToGrid w:val="0"/>
                <w:kern w:val="22"/>
                <w:sz w:val="22"/>
                <w:szCs w:val="22"/>
                <w:lang w:val="fr-FR"/>
              </w:rPr>
              <w:t>Examen des documents de séance</w:t>
            </w:r>
          </w:p>
        </w:tc>
      </w:tr>
      <w:tr w:rsidR="0064106A" w:rsidRPr="00283853" w14:paraId="26ECDF0F" w14:textId="77777777" w:rsidTr="00ED543F">
        <w:trPr>
          <w:cantSplit/>
          <w:jc w:val="center"/>
        </w:trPr>
        <w:tc>
          <w:tcPr>
            <w:tcW w:w="1384" w:type="dxa"/>
            <w:shd w:val="clear" w:color="auto" w:fill="auto"/>
            <w:tcMar>
              <w:top w:w="115" w:type="dxa"/>
              <w:left w:w="115" w:type="dxa"/>
              <w:bottom w:w="115" w:type="dxa"/>
              <w:right w:w="115" w:type="dxa"/>
            </w:tcMar>
          </w:tcPr>
          <w:p w14:paraId="4C5C1F64" w14:textId="3587CACF" w:rsidR="0064106A" w:rsidRPr="00465996" w:rsidRDefault="00FA640D" w:rsidP="00ED543F">
            <w:pPr>
              <w:suppressLineNumbers/>
              <w:suppressAutoHyphens/>
              <w:spacing w:before="40" w:after="40"/>
              <w:rPr>
                <w:snapToGrid w:val="0"/>
                <w:kern w:val="22"/>
                <w:sz w:val="22"/>
                <w:szCs w:val="22"/>
                <w:lang w:val="fr-FR"/>
              </w:rPr>
            </w:pPr>
            <w:r w:rsidRPr="00465996">
              <w:rPr>
                <w:snapToGrid w:val="0"/>
                <w:kern w:val="22"/>
                <w:sz w:val="22"/>
                <w:szCs w:val="22"/>
                <w:lang w:val="fr-FR"/>
              </w:rPr>
              <w:t>Vendredi</w:t>
            </w:r>
          </w:p>
          <w:p w14:paraId="052D0A8F" w14:textId="522BDB2E" w:rsidR="0064106A" w:rsidRPr="00465996" w:rsidRDefault="00663EAE"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fr-FR"/>
              </w:rPr>
            </w:pPr>
            <w:r>
              <w:rPr>
                <w:rFonts w:ascii="Times New Roman" w:hAnsi="Times New Roman" w:cs="Times New Roman"/>
                <w:b w:val="0"/>
                <w:bCs w:val="0"/>
                <w:i w:val="0"/>
                <w:iCs w:val="0"/>
                <w:snapToGrid w:val="0"/>
                <w:kern w:val="22"/>
                <w:sz w:val="22"/>
                <w:szCs w:val="22"/>
                <w:lang w:val="fr-FR"/>
              </w:rPr>
              <w:t>13 novembre</w:t>
            </w:r>
            <w:r w:rsidR="00AB33AE" w:rsidRPr="00465996">
              <w:rPr>
                <w:rFonts w:ascii="Times New Roman" w:hAnsi="Times New Roman" w:cs="Times New Roman"/>
                <w:b w:val="0"/>
                <w:bCs w:val="0"/>
                <w:i w:val="0"/>
                <w:iCs w:val="0"/>
                <w:snapToGrid w:val="0"/>
                <w:kern w:val="22"/>
                <w:sz w:val="22"/>
                <w:szCs w:val="22"/>
                <w:lang w:val="fr-FR"/>
              </w:rPr>
              <w:t xml:space="preserve"> </w:t>
            </w:r>
            <w:r w:rsidR="0064106A" w:rsidRPr="00465996">
              <w:rPr>
                <w:rFonts w:ascii="Times New Roman" w:hAnsi="Times New Roman" w:cs="Times New Roman"/>
                <w:b w:val="0"/>
                <w:bCs w:val="0"/>
                <w:i w:val="0"/>
                <w:iCs w:val="0"/>
                <w:snapToGrid w:val="0"/>
                <w:kern w:val="22"/>
                <w:sz w:val="22"/>
                <w:szCs w:val="22"/>
                <w:lang w:val="fr-FR"/>
              </w:rPr>
              <w:t>2020</w:t>
            </w:r>
          </w:p>
        </w:tc>
        <w:tc>
          <w:tcPr>
            <w:tcW w:w="4111" w:type="dxa"/>
            <w:shd w:val="clear" w:color="auto" w:fill="auto"/>
            <w:tcMar>
              <w:top w:w="115" w:type="dxa"/>
              <w:left w:w="115" w:type="dxa"/>
              <w:bottom w:w="115" w:type="dxa"/>
              <w:right w:w="115" w:type="dxa"/>
            </w:tcMar>
          </w:tcPr>
          <w:p w14:paraId="504465F5" w14:textId="722D1CD6" w:rsidR="0064106A" w:rsidRPr="00465996" w:rsidRDefault="007D6D03" w:rsidP="00ED543F">
            <w:pPr>
              <w:suppressLineNumbers/>
              <w:suppressAutoHyphens/>
              <w:spacing w:before="40" w:after="40"/>
              <w:rPr>
                <w:snapToGrid w:val="0"/>
                <w:color w:val="000000"/>
                <w:kern w:val="22"/>
                <w:sz w:val="22"/>
                <w:szCs w:val="22"/>
                <w:lang w:val="fr-FR"/>
              </w:rPr>
            </w:pPr>
            <w:r w:rsidRPr="00465996">
              <w:rPr>
                <w:iCs/>
                <w:snapToGrid w:val="0"/>
                <w:kern w:val="22"/>
                <w:sz w:val="22"/>
                <w:szCs w:val="22"/>
                <w:lang w:val="fr-FR"/>
              </w:rPr>
              <w:t>Examen des documents de séance</w:t>
            </w:r>
          </w:p>
        </w:tc>
        <w:tc>
          <w:tcPr>
            <w:tcW w:w="4111" w:type="dxa"/>
            <w:shd w:val="clear" w:color="auto" w:fill="auto"/>
            <w:tcMar>
              <w:top w:w="115" w:type="dxa"/>
              <w:left w:w="115" w:type="dxa"/>
              <w:bottom w:w="115" w:type="dxa"/>
              <w:right w:w="115" w:type="dxa"/>
            </w:tcMar>
          </w:tcPr>
          <w:p w14:paraId="35A21ADA" w14:textId="20DA25DC" w:rsidR="0064106A" w:rsidRPr="00465996" w:rsidRDefault="007D6D03" w:rsidP="00ED543F">
            <w:pPr>
              <w:suppressLineNumbers/>
              <w:suppressAutoHyphens/>
              <w:spacing w:before="40" w:after="40"/>
              <w:rPr>
                <w:snapToGrid w:val="0"/>
                <w:color w:val="000000"/>
                <w:kern w:val="22"/>
                <w:sz w:val="22"/>
                <w:szCs w:val="22"/>
                <w:lang w:val="fr-FR"/>
              </w:rPr>
            </w:pPr>
            <w:r w:rsidRPr="00465996">
              <w:rPr>
                <w:iCs/>
                <w:snapToGrid w:val="0"/>
                <w:kern w:val="22"/>
                <w:sz w:val="22"/>
                <w:szCs w:val="22"/>
                <w:lang w:val="fr-FR"/>
              </w:rPr>
              <w:t>Examen des documents de séance</w:t>
            </w:r>
          </w:p>
        </w:tc>
      </w:tr>
      <w:tr w:rsidR="0064106A" w:rsidRPr="00465996" w14:paraId="6D86A685" w14:textId="77777777" w:rsidTr="00ED543F">
        <w:trPr>
          <w:cantSplit/>
          <w:jc w:val="center"/>
        </w:trPr>
        <w:tc>
          <w:tcPr>
            <w:tcW w:w="1384" w:type="dxa"/>
            <w:shd w:val="clear" w:color="auto" w:fill="auto"/>
            <w:tcMar>
              <w:top w:w="115" w:type="dxa"/>
              <w:left w:w="115" w:type="dxa"/>
              <w:bottom w:w="115" w:type="dxa"/>
              <w:right w:w="115" w:type="dxa"/>
            </w:tcMar>
          </w:tcPr>
          <w:p w14:paraId="59ED6849" w14:textId="454DB447" w:rsidR="0064106A" w:rsidRPr="00465996" w:rsidRDefault="0064106A" w:rsidP="00ED543F">
            <w:pPr>
              <w:suppressLineNumbers/>
              <w:suppressAutoHyphens/>
              <w:spacing w:before="40" w:after="40"/>
              <w:rPr>
                <w:snapToGrid w:val="0"/>
                <w:kern w:val="22"/>
                <w:sz w:val="22"/>
                <w:szCs w:val="22"/>
                <w:lang w:val="fr-FR"/>
              </w:rPr>
            </w:pPr>
            <w:r w:rsidRPr="00465996">
              <w:rPr>
                <w:snapToGrid w:val="0"/>
                <w:kern w:val="22"/>
                <w:sz w:val="22"/>
                <w:szCs w:val="22"/>
                <w:lang w:val="fr-FR"/>
              </w:rPr>
              <w:t>Sa</w:t>
            </w:r>
            <w:r w:rsidR="00FA640D" w:rsidRPr="00465996">
              <w:rPr>
                <w:snapToGrid w:val="0"/>
                <w:kern w:val="22"/>
                <w:sz w:val="22"/>
                <w:szCs w:val="22"/>
                <w:lang w:val="fr-FR"/>
              </w:rPr>
              <w:t>medi</w:t>
            </w:r>
          </w:p>
          <w:p w14:paraId="2A7A8083" w14:textId="5CAD2855" w:rsidR="0064106A" w:rsidRPr="00465996" w:rsidRDefault="00663EAE" w:rsidP="00ED543F">
            <w:pPr>
              <w:suppressLineNumbers/>
              <w:suppressAutoHyphens/>
              <w:spacing w:before="40" w:after="40"/>
              <w:rPr>
                <w:snapToGrid w:val="0"/>
                <w:kern w:val="22"/>
                <w:sz w:val="22"/>
                <w:szCs w:val="22"/>
                <w:lang w:val="fr-FR"/>
              </w:rPr>
            </w:pPr>
            <w:r>
              <w:rPr>
                <w:snapToGrid w:val="0"/>
                <w:kern w:val="22"/>
                <w:sz w:val="22"/>
                <w:szCs w:val="22"/>
                <w:lang w:val="fr-FR"/>
              </w:rPr>
              <w:t>14 novembre</w:t>
            </w:r>
            <w:r w:rsidR="0064106A" w:rsidRPr="00465996">
              <w:rPr>
                <w:snapToGrid w:val="0"/>
                <w:kern w:val="22"/>
                <w:sz w:val="22"/>
                <w:szCs w:val="22"/>
                <w:lang w:val="fr-FR"/>
              </w:rPr>
              <w:t xml:space="preserve"> 2020</w:t>
            </w:r>
          </w:p>
        </w:tc>
        <w:tc>
          <w:tcPr>
            <w:tcW w:w="4111" w:type="dxa"/>
            <w:shd w:val="clear" w:color="auto" w:fill="auto"/>
            <w:tcMar>
              <w:top w:w="115" w:type="dxa"/>
              <w:left w:w="115" w:type="dxa"/>
              <w:bottom w:w="115" w:type="dxa"/>
              <w:right w:w="115" w:type="dxa"/>
            </w:tcMar>
          </w:tcPr>
          <w:p w14:paraId="51604948" w14:textId="1FEBDB78" w:rsidR="0064106A" w:rsidRPr="00465996" w:rsidRDefault="0064106A" w:rsidP="00ED543F">
            <w:pPr>
              <w:suppressLineNumbers/>
              <w:suppressAutoHyphens/>
              <w:spacing w:before="40" w:after="40"/>
              <w:ind w:left="342" w:hanging="342"/>
              <w:rPr>
                <w:snapToGrid w:val="0"/>
                <w:color w:val="000000"/>
                <w:kern w:val="22"/>
                <w:sz w:val="22"/>
                <w:szCs w:val="22"/>
                <w:lang w:val="fr-FR"/>
              </w:rPr>
            </w:pPr>
            <w:r w:rsidRPr="00465996">
              <w:rPr>
                <w:snapToGrid w:val="0"/>
                <w:color w:val="000000"/>
                <w:kern w:val="22"/>
                <w:sz w:val="22"/>
                <w:szCs w:val="22"/>
                <w:lang w:val="fr-FR"/>
              </w:rPr>
              <w:t>15.</w:t>
            </w:r>
            <w:r w:rsidRPr="00465996">
              <w:rPr>
                <w:snapToGrid w:val="0"/>
                <w:color w:val="000000"/>
                <w:kern w:val="22"/>
                <w:sz w:val="22"/>
                <w:szCs w:val="22"/>
                <w:lang w:val="fr-FR"/>
              </w:rPr>
              <w:tab/>
            </w:r>
            <w:r w:rsidR="007D6D03" w:rsidRPr="00465996">
              <w:rPr>
                <w:snapToGrid w:val="0"/>
                <w:color w:val="000000"/>
                <w:kern w:val="22"/>
                <w:sz w:val="22"/>
                <w:szCs w:val="22"/>
                <w:lang w:val="fr-FR"/>
              </w:rPr>
              <w:t>Questions diverses</w:t>
            </w:r>
          </w:p>
          <w:p w14:paraId="38A0DD15" w14:textId="40BB1FDE" w:rsidR="0064106A" w:rsidRPr="00465996" w:rsidRDefault="0064106A" w:rsidP="00ED543F">
            <w:pPr>
              <w:suppressLineNumbers/>
              <w:suppressAutoHyphens/>
              <w:spacing w:before="40" w:after="40"/>
              <w:ind w:left="342" w:hanging="342"/>
              <w:rPr>
                <w:snapToGrid w:val="0"/>
                <w:color w:val="000000"/>
                <w:kern w:val="22"/>
                <w:sz w:val="22"/>
                <w:szCs w:val="22"/>
                <w:lang w:val="fr-FR"/>
              </w:rPr>
            </w:pPr>
            <w:r w:rsidRPr="00465996">
              <w:rPr>
                <w:snapToGrid w:val="0"/>
                <w:color w:val="000000"/>
                <w:kern w:val="22"/>
                <w:sz w:val="22"/>
                <w:szCs w:val="22"/>
                <w:lang w:val="fr-FR"/>
              </w:rPr>
              <w:t>16.</w:t>
            </w:r>
            <w:r w:rsidRPr="00465996">
              <w:rPr>
                <w:snapToGrid w:val="0"/>
                <w:color w:val="000000"/>
                <w:kern w:val="22"/>
                <w:sz w:val="22"/>
                <w:szCs w:val="22"/>
                <w:lang w:val="fr-FR"/>
              </w:rPr>
              <w:tab/>
            </w:r>
            <w:r w:rsidRPr="00465996">
              <w:rPr>
                <w:snapToGrid w:val="0"/>
                <w:kern w:val="22"/>
                <w:sz w:val="22"/>
                <w:szCs w:val="22"/>
                <w:lang w:val="fr-FR"/>
              </w:rPr>
              <w:t xml:space="preserve">Adoption </w:t>
            </w:r>
            <w:r w:rsidR="007D6D03" w:rsidRPr="00465996">
              <w:rPr>
                <w:snapToGrid w:val="0"/>
                <w:kern w:val="22"/>
                <w:sz w:val="22"/>
                <w:szCs w:val="22"/>
                <w:lang w:val="fr-FR"/>
              </w:rPr>
              <w:t>du rapport</w:t>
            </w:r>
          </w:p>
        </w:tc>
        <w:tc>
          <w:tcPr>
            <w:tcW w:w="4111" w:type="dxa"/>
            <w:shd w:val="clear" w:color="auto" w:fill="auto"/>
            <w:tcMar>
              <w:top w:w="115" w:type="dxa"/>
              <w:left w:w="115" w:type="dxa"/>
              <w:bottom w:w="115" w:type="dxa"/>
              <w:right w:w="115" w:type="dxa"/>
            </w:tcMar>
          </w:tcPr>
          <w:p w14:paraId="6964EEAF" w14:textId="12A523EC" w:rsidR="0064106A" w:rsidRPr="00465996" w:rsidRDefault="007D6D03" w:rsidP="00ED543F">
            <w:pPr>
              <w:suppressLineNumbers/>
              <w:suppressAutoHyphens/>
              <w:spacing w:before="40" w:after="40"/>
              <w:rPr>
                <w:snapToGrid w:val="0"/>
                <w:kern w:val="22"/>
                <w:sz w:val="22"/>
                <w:szCs w:val="22"/>
                <w:lang w:val="fr-FR"/>
              </w:rPr>
            </w:pPr>
            <w:r w:rsidRPr="00465996">
              <w:rPr>
                <w:snapToGrid w:val="0"/>
                <w:kern w:val="22"/>
                <w:sz w:val="22"/>
                <w:szCs w:val="22"/>
                <w:lang w:val="fr-FR"/>
              </w:rPr>
              <w:t>Suite du point</w:t>
            </w:r>
            <w:r w:rsidR="0064106A" w:rsidRPr="00465996">
              <w:rPr>
                <w:snapToGrid w:val="0"/>
                <w:kern w:val="22"/>
                <w:sz w:val="22"/>
                <w:szCs w:val="22"/>
                <w:lang w:val="fr-FR"/>
              </w:rPr>
              <w:t xml:space="preserve"> 16</w:t>
            </w:r>
            <w:r w:rsidR="002E7B49" w:rsidRPr="00465996">
              <w:rPr>
                <w:snapToGrid w:val="0"/>
                <w:kern w:val="22"/>
                <w:sz w:val="22"/>
                <w:szCs w:val="22"/>
                <w:lang w:val="fr-FR"/>
              </w:rPr>
              <w:t>, selon qu’il conviendra</w:t>
            </w:r>
          </w:p>
          <w:p w14:paraId="0E4E5103" w14:textId="2D1A41B6" w:rsidR="0064106A" w:rsidRPr="00465996" w:rsidRDefault="0064106A" w:rsidP="00ED543F">
            <w:pPr>
              <w:suppressLineNumbers/>
              <w:suppressAutoHyphens/>
              <w:spacing w:before="40" w:after="40"/>
              <w:ind w:left="336" w:hanging="336"/>
              <w:rPr>
                <w:snapToGrid w:val="0"/>
                <w:kern w:val="22"/>
                <w:sz w:val="22"/>
                <w:szCs w:val="22"/>
                <w:lang w:val="fr-FR"/>
              </w:rPr>
            </w:pPr>
            <w:r w:rsidRPr="00465996">
              <w:rPr>
                <w:snapToGrid w:val="0"/>
                <w:kern w:val="22"/>
                <w:sz w:val="22"/>
                <w:szCs w:val="22"/>
                <w:lang w:val="fr-FR"/>
              </w:rPr>
              <w:t>17.</w:t>
            </w:r>
            <w:r w:rsidRPr="00465996">
              <w:rPr>
                <w:snapToGrid w:val="0"/>
                <w:kern w:val="22"/>
                <w:sz w:val="22"/>
                <w:szCs w:val="22"/>
                <w:lang w:val="fr-FR"/>
              </w:rPr>
              <w:tab/>
              <w:t>Cl</w:t>
            </w:r>
            <w:r w:rsidR="002E7B49" w:rsidRPr="00465996">
              <w:rPr>
                <w:snapToGrid w:val="0"/>
                <w:kern w:val="22"/>
                <w:sz w:val="22"/>
                <w:szCs w:val="22"/>
                <w:lang w:val="fr-FR"/>
              </w:rPr>
              <w:t>ôture de la réunion</w:t>
            </w:r>
          </w:p>
        </w:tc>
      </w:tr>
    </w:tbl>
    <w:p w14:paraId="66732287" w14:textId="2B73B953" w:rsidR="00AE7A38" w:rsidRPr="00465996" w:rsidRDefault="00AE7A38" w:rsidP="00ED543F">
      <w:pPr>
        <w:pStyle w:val="Para1"/>
        <w:suppressLineNumbers/>
        <w:suppressAutoHyphens/>
        <w:jc w:val="center"/>
        <w:rPr>
          <w:i/>
          <w:kern w:val="22"/>
          <w:sz w:val="22"/>
          <w:szCs w:val="22"/>
          <w:lang w:val="fr-FR"/>
        </w:rPr>
      </w:pPr>
      <w:r w:rsidRPr="00465996">
        <w:rPr>
          <w:i/>
          <w:kern w:val="22"/>
          <w:sz w:val="22"/>
          <w:szCs w:val="22"/>
          <w:lang w:val="fr-FR"/>
        </w:rPr>
        <w:lastRenderedPageBreak/>
        <w:t>Annex</w:t>
      </w:r>
      <w:r w:rsidR="007D5F39">
        <w:rPr>
          <w:i/>
          <w:kern w:val="22"/>
          <w:sz w:val="22"/>
          <w:szCs w:val="22"/>
          <w:lang w:val="fr-FR"/>
        </w:rPr>
        <w:t>e</w:t>
      </w:r>
      <w:r w:rsidRPr="00465996">
        <w:rPr>
          <w:i/>
          <w:kern w:val="22"/>
          <w:sz w:val="22"/>
          <w:szCs w:val="22"/>
          <w:lang w:val="fr-FR"/>
        </w:rPr>
        <w:t xml:space="preserve"> II</w:t>
      </w:r>
    </w:p>
    <w:p w14:paraId="6A008BCD" w14:textId="00503669" w:rsidR="00AE7A38" w:rsidRPr="00465996" w:rsidRDefault="00AE7A38" w:rsidP="00ED543F">
      <w:pPr>
        <w:pStyle w:val="Para1"/>
        <w:suppressLineNumbers/>
        <w:suppressAutoHyphens/>
        <w:spacing w:before="120"/>
        <w:jc w:val="center"/>
        <w:rPr>
          <w:b/>
          <w:kern w:val="22"/>
          <w:sz w:val="22"/>
          <w:szCs w:val="22"/>
          <w:lang w:val="fr-FR"/>
        </w:rPr>
      </w:pPr>
      <w:r w:rsidRPr="00465996">
        <w:rPr>
          <w:b/>
          <w:kern w:val="22"/>
          <w:sz w:val="22"/>
          <w:szCs w:val="22"/>
          <w:lang w:val="fr-FR"/>
        </w:rPr>
        <w:t>LIST</w:t>
      </w:r>
      <w:r w:rsidR="00D537F3" w:rsidRPr="00465996">
        <w:rPr>
          <w:b/>
          <w:kern w:val="22"/>
          <w:sz w:val="22"/>
          <w:szCs w:val="22"/>
          <w:lang w:val="fr-FR"/>
        </w:rPr>
        <w:t>E DES DOCUMENTS DE TRAVAIL</w:t>
      </w:r>
    </w:p>
    <w:tbl>
      <w:tblPr>
        <w:tblW w:w="9647" w:type="dxa"/>
        <w:jc w:val="center"/>
        <w:tblLook w:val="04A0" w:firstRow="1" w:lastRow="0" w:firstColumn="1" w:lastColumn="0" w:noHBand="0" w:noVBand="1"/>
      </w:tblPr>
      <w:tblGrid>
        <w:gridCol w:w="2586"/>
        <w:gridCol w:w="5940"/>
        <w:gridCol w:w="1121"/>
      </w:tblGrid>
      <w:tr w:rsidR="00A73ABB" w:rsidRPr="00283853" w14:paraId="5B41AE6C" w14:textId="77777777" w:rsidTr="00431DCD">
        <w:trPr>
          <w:cantSplit/>
          <w:trHeight w:val="465"/>
          <w:tblHeader/>
          <w:jc w:val="center"/>
        </w:trPr>
        <w:tc>
          <w:tcPr>
            <w:tcW w:w="2586" w:type="dxa"/>
            <w:noWrap/>
            <w:vAlign w:val="center"/>
            <w:hideMark/>
          </w:tcPr>
          <w:p w14:paraId="7AED4E60" w14:textId="13A37887" w:rsidR="00A73ABB" w:rsidRPr="00465996" w:rsidRDefault="00D537F3" w:rsidP="00ED543F">
            <w:pPr>
              <w:suppressLineNumbers/>
              <w:suppressAutoHyphens/>
              <w:spacing w:before="60" w:after="60"/>
              <w:jc w:val="center"/>
              <w:rPr>
                <w:bCs/>
                <w:i/>
                <w:iCs/>
                <w:snapToGrid w:val="0"/>
                <w:kern w:val="22"/>
                <w:sz w:val="22"/>
                <w:szCs w:val="22"/>
                <w:lang w:val="fr-FR"/>
              </w:rPr>
            </w:pPr>
            <w:r w:rsidRPr="00465996">
              <w:rPr>
                <w:bCs/>
                <w:i/>
                <w:iCs/>
                <w:snapToGrid w:val="0"/>
                <w:kern w:val="22"/>
                <w:sz w:val="22"/>
                <w:szCs w:val="22"/>
                <w:lang w:val="fr-FR"/>
              </w:rPr>
              <w:t>Cote</w:t>
            </w:r>
          </w:p>
        </w:tc>
        <w:tc>
          <w:tcPr>
            <w:tcW w:w="5940" w:type="dxa"/>
            <w:vAlign w:val="center"/>
            <w:hideMark/>
          </w:tcPr>
          <w:p w14:paraId="7CE4C224" w14:textId="2F2590F9" w:rsidR="00A73ABB" w:rsidRPr="00465996" w:rsidRDefault="00A73ABB" w:rsidP="00ED543F">
            <w:pPr>
              <w:suppressLineNumbers/>
              <w:suppressAutoHyphens/>
              <w:spacing w:before="60" w:after="60"/>
              <w:jc w:val="center"/>
              <w:rPr>
                <w:bCs/>
                <w:i/>
                <w:iCs/>
                <w:snapToGrid w:val="0"/>
                <w:kern w:val="22"/>
                <w:sz w:val="22"/>
                <w:szCs w:val="22"/>
                <w:lang w:val="fr-FR"/>
              </w:rPr>
            </w:pPr>
            <w:r w:rsidRPr="00465996">
              <w:rPr>
                <w:bCs/>
                <w:i/>
                <w:iCs/>
                <w:snapToGrid w:val="0"/>
                <w:kern w:val="22"/>
                <w:sz w:val="22"/>
                <w:szCs w:val="22"/>
                <w:lang w:val="fr-FR"/>
              </w:rPr>
              <w:t>T</w:t>
            </w:r>
            <w:r w:rsidR="00D537F3" w:rsidRPr="00465996">
              <w:rPr>
                <w:bCs/>
                <w:i/>
                <w:iCs/>
                <w:snapToGrid w:val="0"/>
                <w:kern w:val="22"/>
                <w:sz w:val="22"/>
                <w:szCs w:val="22"/>
                <w:lang w:val="fr-FR"/>
              </w:rPr>
              <w:t>itre</w:t>
            </w:r>
          </w:p>
        </w:tc>
        <w:tc>
          <w:tcPr>
            <w:tcW w:w="1121" w:type="dxa"/>
            <w:vAlign w:val="center"/>
            <w:hideMark/>
          </w:tcPr>
          <w:p w14:paraId="6EF8D649" w14:textId="2FA6D0CD" w:rsidR="00A73ABB" w:rsidRPr="00465996" w:rsidRDefault="00D537F3" w:rsidP="00ED543F">
            <w:pPr>
              <w:suppressLineNumbers/>
              <w:suppressAutoHyphens/>
              <w:spacing w:before="60" w:after="60"/>
              <w:jc w:val="center"/>
              <w:rPr>
                <w:bCs/>
                <w:i/>
                <w:iCs/>
                <w:snapToGrid w:val="0"/>
                <w:kern w:val="22"/>
                <w:sz w:val="22"/>
                <w:szCs w:val="22"/>
                <w:lang w:val="fr-FR"/>
              </w:rPr>
            </w:pPr>
            <w:r w:rsidRPr="00465996">
              <w:rPr>
                <w:bCs/>
                <w:i/>
                <w:iCs/>
                <w:snapToGrid w:val="0"/>
                <w:kern w:val="22"/>
                <w:sz w:val="22"/>
                <w:szCs w:val="22"/>
                <w:lang w:val="fr-FR"/>
              </w:rPr>
              <w:t>Point de l’ordre du jour</w:t>
            </w:r>
          </w:p>
        </w:tc>
      </w:tr>
      <w:tr w:rsidR="00A73ABB" w:rsidRPr="00465996" w14:paraId="02A96C78" w14:textId="77777777" w:rsidTr="00431DCD">
        <w:trPr>
          <w:trHeight w:val="347"/>
          <w:jc w:val="center"/>
        </w:trPr>
        <w:tc>
          <w:tcPr>
            <w:tcW w:w="2586" w:type="dxa"/>
            <w:noWrap/>
            <w:hideMark/>
          </w:tcPr>
          <w:p w14:paraId="01CD417A" w14:textId="6AA3EF99" w:rsidR="00A73ABB" w:rsidRPr="00465996" w:rsidRDefault="00A73ABB" w:rsidP="00ED543F">
            <w:pPr>
              <w:suppressLineNumbers/>
              <w:suppressAutoHyphens/>
              <w:spacing w:after="60"/>
              <w:rPr>
                <w:snapToGrid w:val="0"/>
                <w:kern w:val="22"/>
                <w:sz w:val="22"/>
                <w:szCs w:val="22"/>
                <w:lang w:val="fr-FR"/>
              </w:rPr>
            </w:pPr>
            <w:r w:rsidRPr="00465996">
              <w:rPr>
                <w:snapToGrid w:val="0"/>
                <w:kern w:val="22"/>
                <w:sz w:val="22"/>
                <w:szCs w:val="22"/>
                <w:lang w:val="fr-FR"/>
              </w:rPr>
              <w:t>CBD/SBI/</w:t>
            </w:r>
            <w:r w:rsidR="008A69D0" w:rsidRPr="00465996">
              <w:rPr>
                <w:snapToGrid w:val="0"/>
                <w:kern w:val="22"/>
                <w:sz w:val="22"/>
                <w:szCs w:val="22"/>
                <w:lang w:val="fr-FR"/>
              </w:rPr>
              <w:t>3</w:t>
            </w:r>
            <w:r w:rsidRPr="00465996">
              <w:rPr>
                <w:snapToGrid w:val="0"/>
                <w:kern w:val="22"/>
                <w:sz w:val="22"/>
                <w:szCs w:val="22"/>
                <w:lang w:val="fr-FR"/>
              </w:rPr>
              <w:t>/1/Rev.1</w:t>
            </w:r>
          </w:p>
        </w:tc>
        <w:tc>
          <w:tcPr>
            <w:tcW w:w="5940" w:type="dxa"/>
            <w:hideMark/>
          </w:tcPr>
          <w:p w14:paraId="3A558970" w14:textId="2BCD6E37" w:rsidR="00A73ABB" w:rsidRPr="00465996" w:rsidRDefault="00D34FA6" w:rsidP="00ED543F">
            <w:pPr>
              <w:suppressLineNumbers/>
              <w:suppressAutoHyphens/>
              <w:spacing w:after="60"/>
              <w:rPr>
                <w:snapToGrid w:val="0"/>
                <w:kern w:val="22"/>
                <w:sz w:val="22"/>
                <w:szCs w:val="22"/>
                <w:lang w:val="fr-FR"/>
              </w:rPr>
            </w:pPr>
            <w:r>
              <w:rPr>
                <w:snapToGrid w:val="0"/>
                <w:kern w:val="22"/>
                <w:sz w:val="22"/>
                <w:szCs w:val="22"/>
                <w:lang w:val="fr-FR"/>
              </w:rPr>
              <w:t>Ordre du jour provisoire</w:t>
            </w:r>
          </w:p>
        </w:tc>
        <w:tc>
          <w:tcPr>
            <w:tcW w:w="1121" w:type="dxa"/>
            <w:hideMark/>
          </w:tcPr>
          <w:p w14:paraId="7E86564B" w14:textId="77777777" w:rsidR="00A73ABB" w:rsidRPr="00465996" w:rsidRDefault="00A73ABB" w:rsidP="00ED543F">
            <w:pPr>
              <w:suppressLineNumbers/>
              <w:suppressAutoHyphens/>
              <w:spacing w:after="60"/>
              <w:jc w:val="center"/>
              <w:rPr>
                <w:snapToGrid w:val="0"/>
                <w:kern w:val="22"/>
                <w:sz w:val="22"/>
                <w:szCs w:val="22"/>
                <w:lang w:val="fr-FR"/>
              </w:rPr>
            </w:pPr>
            <w:r w:rsidRPr="00465996">
              <w:rPr>
                <w:snapToGrid w:val="0"/>
                <w:kern w:val="22"/>
                <w:sz w:val="22"/>
                <w:szCs w:val="22"/>
                <w:lang w:val="fr-FR"/>
              </w:rPr>
              <w:t>2</w:t>
            </w:r>
          </w:p>
        </w:tc>
      </w:tr>
      <w:tr w:rsidR="00A73ABB" w:rsidRPr="00465996" w14:paraId="4653E349" w14:textId="77777777" w:rsidTr="00431DCD">
        <w:trPr>
          <w:trHeight w:val="302"/>
          <w:jc w:val="center"/>
        </w:trPr>
        <w:tc>
          <w:tcPr>
            <w:tcW w:w="2586" w:type="dxa"/>
            <w:noWrap/>
            <w:hideMark/>
          </w:tcPr>
          <w:p w14:paraId="38B2D664" w14:textId="617A37FB" w:rsidR="00A73ABB" w:rsidRPr="00465996" w:rsidRDefault="00A73ABB" w:rsidP="00ED543F">
            <w:pPr>
              <w:suppressLineNumbers/>
              <w:suppressAutoHyphens/>
              <w:spacing w:after="60"/>
              <w:rPr>
                <w:snapToGrid w:val="0"/>
                <w:kern w:val="22"/>
                <w:sz w:val="22"/>
                <w:szCs w:val="22"/>
                <w:lang w:val="fr-FR"/>
              </w:rPr>
            </w:pPr>
            <w:r w:rsidRPr="00465996">
              <w:rPr>
                <w:snapToGrid w:val="0"/>
                <w:kern w:val="22"/>
                <w:sz w:val="22"/>
                <w:szCs w:val="22"/>
                <w:lang w:val="fr-FR"/>
              </w:rPr>
              <w:t>CBD/SBI/</w:t>
            </w:r>
            <w:r w:rsidR="008A69D0" w:rsidRPr="00465996">
              <w:rPr>
                <w:snapToGrid w:val="0"/>
                <w:kern w:val="22"/>
                <w:sz w:val="22"/>
                <w:szCs w:val="22"/>
                <w:lang w:val="fr-FR"/>
              </w:rPr>
              <w:t>3</w:t>
            </w:r>
            <w:r w:rsidRPr="00465996">
              <w:rPr>
                <w:snapToGrid w:val="0"/>
                <w:kern w:val="22"/>
                <w:sz w:val="22"/>
                <w:szCs w:val="22"/>
                <w:lang w:val="fr-FR"/>
              </w:rPr>
              <w:t>/1/Add.1</w:t>
            </w:r>
            <w:r w:rsidR="00431DCD">
              <w:rPr>
                <w:snapToGrid w:val="0"/>
                <w:kern w:val="22"/>
                <w:sz w:val="22"/>
                <w:szCs w:val="22"/>
                <w:lang w:val="fr-FR"/>
              </w:rPr>
              <w:t>/Rev.</w:t>
            </w:r>
            <w:r w:rsidR="00B02D20">
              <w:rPr>
                <w:snapToGrid w:val="0"/>
                <w:kern w:val="22"/>
                <w:sz w:val="22"/>
                <w:szCs w:val="22"/>
                <w:lang w:val="fr-FR"/>
              </w:rPr>
              <w:t>2</w:t>
            </w:r>
          </w:p>
        </w:tc>
        <w:tc>
          <w:tcPr>
            <w:tcW w:w="5940" w:type="dxa"/>
            <w:hideMark/>
          </w:tcPr>
          <w:p w14:paraId="3FD786E8" w14:textId="6C5184F3" w:rsidR="00A73ABB" w:rsidRPr="00465996" w:rsidRDefault="00D34FA6" w:rsidP="00ED543F">
            <w:pPr>
              <w:suppressLineNumbers/>
              <w:suppressAutoHyphens/>
              <w:spacing w:after="60"/>
              <w:rPr>
                <w:snapToGrid w:val="0"/>
                <w:kern w:val="22"/>
                <w:sz w:val="22"/>
                <w:szCs w:val="22"/>
                <w:lang w:val="fr-FR"/>
              </w:rPr>
            </w:pPr>
            <w:r>
              <w:rPr>
                <w:snapToGrid w:val="0"/>
                <w:kern w:val="22"/>
                <w:sz w:val="22"/>
                <w:szCs w:val="22"/>
                <w:lang w:val="fr-FR"/>
              </w:rPr>
              <w:t>Ordre du jour provisoire annoté</w:t>
            </w:r>
            <w:r w:rsidR="00431DCD">
              <w:rPr>
                <w:snapToGrid w:val="0"/>
                <w:kern w:val="22"/>
                <w:sz w:val="22"/>
                <w:szCs w:val="22"/>
                <w:lang w:val="fr-FR"/>
              </w:rPr>
              <w:t xml:space="preserve"> révisé</w:t>
            </w:r>
          </w:p>
        </w:tc>
        <w:tc>
          <w:tcPr>
            <w:tcW w:w="1121" w:type="dxa"/>
            <w:hideMark/>
          </w:tcPr>
          <w:p w14:paraId="4A5F5530" w14:textId="77777777" w:rsidR="00A73ABB" w:rsidRPr="00465996" w:rsidRDefault="00A73ABB" w:rsidP="00ED543F">
            <w:pPr>
              <w:suppressLineNumbers/>
              <w:suppressAutoHyphens/>
              <w:spacing w:after="60"/>
              <w:jc w:val="center"/>
              <w:rPr>
                <w:snapToGrid w:val="0"/>
                <w:kern w:val="22"/>
                <w:sz w:val="22"/>
                <w:szCs w:val="22"/>
                <w:lang w:val="fr-FR"/>
              </w:rPr>
            </w:pPr>
            <w:r w:rsidRPr="00465996">
              <w:rPr>
                <w:snapToGrid w:val="0"/>
                <w:kern w:val="22"/>
                <w:sz w:val="22"/>
                <w:szCs w:val="22"/>
                <w:lang w:val="fr-FR"/>
              </w:rPr>
              <w:t>2</w:t>
            </w:r>
          </w:p>
        </w:tc>
      </w:tr>
      <w:tr w:rsidR="00A73ABB" w:rsidRPr="00465996" w14:paraId="07E3D163" w14:textId="77777777" w:rsidTr="00431DCD">
        <w:trPr>
          <w:trHeight w:val="355"/>
          <w:jc w:val="center"/>
        </w:trPr>
        <w:tc>
          <w:tcPr>
            <w:tcW w:w="2586" w:type="dxa"/>
            <w:noWrap/>
            <w:hideMark/>
          </w:tcPr>
          <w:p w14:paraId="1B4340FD" w14:textId="4DCD988A" w:rsidR="00A73ABB" w:rsidRPr="00465996" w:rsidRDefault="00A73ABB" w:rsidP="00ED543F">
            <w:pPr>
              <w:suppressLineNumbers/>
              <w:suppressAutoHyphens/>
              <w:spacing w:after="60"/>
              <w:rPr>
                <w:snapToGrid w:val="0"/>
                <w:kern w:val="22"/>
                <w:sz w:val="22"/>
                <w:szCs w:val="22"/>
                <w:lang w:val="fr-FR"/>
              </w:rPr>
            </w:pPr>
            <w:r w:rsidRPr="00465996">
              <w:rPr>
                <w:snapToGrid w:val="0"/>
                <w:kern w:val="22"/>
                <w:sz w:val="22"/>
                <w:szCs w:val="22"/>
                <w:lang w:val="fr-FR"/>
              </w:rPr>
              <w:t>CBD/SBI/</w:t>
            </w:r>
            <w:r w:rsidR="008A69D0" w:rsidRPr="00465996">
              <w:rPr>
                <w:snapToGrid w:val="0"/>
                <w:kern w:val="22"/>
                <w:sz w:val="22"/>
                <w:szCs w:val="22"/>
                <w:lang w:val="fr-FR"/>
              </w:rPr>
              <w:t>3</w:t>
            </w:r>
            <w:r w:rsidRPr="00465996">
              <w:rPr>
                <w:snapToGrid w:val="0"/>
                <w:kern w:val="22"/>
                <w:sz w:val="22"/>
                <w:szCs w:val="22"/>
                <w:lang w:val="fr-FR"/>
              </w:rPr>
              <w:t>/2</w:t>
            </w:r>
          </w:p>
        </w:tc>
        <w:tc>
          <w:tcPr>
            <w:tcW w:w="5940" w:type="dxa"/>
            <w:hideMark/>
          </w:tcPr>
          <w:p w14:paraId="7E20D8BD" w14:textId="0BE5458F" w:rsidR="00A73ABB" w:rsidRPr="00730395" w:rsidRDefault="00730395" w:rsidP="00ED543F">
            <w:pPr>
              <w:suppressLineNumbers/>
              <w:suppressAutoHyphens/>
              <w:spacing w:after="60"/>
              <w:rPr>
                <w:snapToGrid w:val="0"/>
                <w:kern w:val="22"/>
                <w:sz w:val="22"/>
                <w:szCs w:val="22"/>
                <w:lang w:val="fr-FR"/>
              </w:rPr>
            </w:pPr>
            <w:r w:rsidRPr="00730395">
              <w:rPr>
                <w:sz w:val="22"/>
                <w:szCs w:val="22"/>
                <w:lang w:val="fr-FR"/>
              </w:rPr>
              <w:t>Progrès accomplis dans l’application de la Convention et la mise en œuvre du Plan stratégique pour la diversité biologique 2011-2020</w:t>
            </w:r>
          </w:p>
        </w:tc>
        <w:tc>
          <w:tcPr>
            <w:tcW w:w="1121" w:type="dxa"/>
            <w:hideMark/>
          </w:tcPr>
          <w:p w14:paraId="4D27B8A8" w14:textId="77777777" w:rsidR="00A73ABB" w:rsidRPr="00465996" w:rsidRDefault="00A73ABB" w:rsidP="00ED543F">
            <w:pPr>
              <w:suppressLineNumbers/>
              <w:suppressAutoHyphens/>
              <w:spacing w:after="60"/>
              <w:jc w:val="center"/>
              <w:rPr>
                <w:snapToGrid w:val="0"/>
                <w:kern w:val="22"/>
                <w:sz w:val="22"/>
                <w:szCs w:val="22"/>
                <w:lang w:val="fr-FR"/>
              </w:rPr>
            </w:pPr>
            <w:r w:rsidRPr="00465996">
              <w:rPr>
                <w:snapToGrid w:val="0"/>
                <w:kern w:val="22"/>
                <w:sz w:val="22"/>
                <w:szCs w:val="22"/>
                <w:lang w:val="fr-FR"/>
              </w:rPr>
              <w:t>3</w:t>
            </w:r>
          </w:p>
        </w:tc>
      </w:tr>
      <w:tr w:rsidR="00431DCD" w:rsidRPr="00465996" w14:paraId="363DE880" w14:textId="77777777" w:rsidTr="00431DCD">
        <w:trPr>
          <w:trHeight w:val="355"/>
          <w:jc w:val="center"/>
        </w:trPr>
        <w:tc>
          <w:tcPr>
            <w:tcW w:w="2586" w:type="dxa"/>
            <w:noWrap/>
          </w:tcPr>
          <w:p w14:paraId="1B32E545" w14:textId="2855E470" w:rsidR="00431DCD" w:rsidRPr="00465996" w:rsidRDefault="00431DCD" w:rsidP="00ED543F">
            <w:pPr>
              <w:suppressLineNumbers/>
              <w:suppressAutoHyphens/>
              <w:spacing w:after="60"/>
              <w:rPr>
                <w:snapToGrid w:val="0"/>
                <w:kern w:val="22"/>
                <w:sz w:val="22"/>
                <w:szCs w:val="22"/>
                <w:lang w:val="fr-FR"/>
              </w:rPr>
            </w:pPr>
            <w:r w:rsidRPr="00465996">
              <w:rPr>
                <w:snapToGrid w:val="0"/>
                <w:kern w:val="22"/>
                <w:sz w:val="22"/>
                <w:szCs w:val="22"/>
                <w:lang w:val="fr-FR"/>
              </w:rPr>
              <w:t>CBD/SBI/3/2</w:t>
            </w:r>
            <w:r>
              <w:rPr>
                <w:snapToGrid w:val="0"/>
                <w:kern w:val="22"/>
                <w:sz w:val="22"/>
                <w:szCs w:val="22"/>
                <w:lang w:val="fr-FR"/>
              </w:rPr>
              <w:t>/Add.1</w:t>
            </w:r>
          </w:p>
        </w:tc>
        <w:tc>
          <w:tcPr>
            <w:tcW w:w="5940" w:type="dxa"/>
          </w:tcPr>
          <w:p w14:paraId="0A924211" w14:textId="087032B4" w:rsidR="00431DCD" w:rsidRPr="00730395" w:rsidRDefault="00431DCD" w:rsidP="00ED543F">
            <w:pPr>
              <w:suppressLineNumbers/>
              <w:suppressAutoHyphens/>
              <w:spacing w:after="60"/>
              <w:rPr>
                <w:sz w:val="22"/>
                <w:szCs w:val="22"/>
                <w:lang w:val="fr-FR"/>
              </w:rPr>
            </w:pPr>
            <w:r>
              <w:rPr>
                <w:sz w:val="22"/>
                <w:szCs w:val="22"/>
                <w:lang w:val="fr-FR"/>
              </w:rPr>
              <w:t xml:space="preserve">Mise à jour sur les progrès accomplis dans la révision ou actualisation et mise en œuvre des stratégies et plans d’action pour la biodiversité, y compris </w:t>
            </w:r>
            <w:r w:rsidR="0070283B">
              <w:rPr>
                <w:sz w:val="22"/>
                <w:szCs w:val="22"/>
                <w:lang w:val="fr-FR"/>
              </w:rPr>
              <w:t>des objectifs nationaux</w:t>
            </w:r>
          </w:p>
        </w:tc>
        <w:tc>
          <w:tcPr>
            <w:tcW w:w="1121" w:type="dxa"/>
          </w:tcPr>
          <w:p w14:paraId="27FD29EB" w14:textId="5113F35D" w:rsidR="00431DCD" w:rsidRPr="00465996" w:rsidRDefault="001231C7" w:rsidP="00ED543F">
            <w:pPr>
              <w:suppressLineNumbers/>
              <w:suppressAutoHyphens/>
              <w:spacing w:after="60"/>
              <w:jc w:val="center"/>
              <w:rPr>
                <w:snapToGrid w:val="0"/>
                <w:kern w:val="22"/>
                <w:sz w:val="22"/>
                <w:szCs w:val="22"/>
                <w:lang w:val="fr-FR"/>
              </w:rPr>
            </w:pPr>
            <w:r>
              <w:rPr>
                <w:snapToGrid w:val="0"/>
                <w:kern w:val="22"/>
                <w:sz w:val="22"/>
                <w:szCs w:val="22"/>
                <w:lang w:val="fr-FR"/>
              </w:rPr>
              <w:t>3</w:t>
            </w:r>
          </w:p>
        </w:tc>
      </w:tr>
      <w:tr w:rsidR="00431DCD" w:rsidRPr="00465996" w14:paraId="624DEB63" w14:textId="77777777" w:rsidTr="00431DCD">
        <w:trPr>
          <w:trHeight w:val="355"/>
          <w:jc w:val="center"/>
        </w:trPr>
        <w:tc>
          <w:tcPr>
            <w:tcW w:w="2586" w:type="dxa"/>
            <w:noWrap/>
          </w:tcPr>
          <w:p w14:paraId="0BC023EB" w14:textId="7044841B" w:rsidR="00431DCD" w:rsidRPr="00465996" w:rsidRDefault="00431DCD" w:rsidP="00431DCD">
            <w:pPr>
              <w:suppressLineNumbers/>
              <w:suppressAutoHyphens/>
              <w:spacing w:after="60"/>
              <w:rPr>
                <w:snapToGrid w:val="0"/>
                <w:kern w:val="22"/>
                <w:sz w:val="22"/>
                <w:szCs w:val="22"/>
                <w:lang w:val="fr-FR"/>
              </w:rPr>
            </w:pPr>
            <w:r w:rsidRPr="00465996">
              <w:rPr>
                <w:snapToGrid w:val="0"/>
                <w:kern w:val="22"/>
                <w:sz w:val="22"/>
                <w:szCs w:val="22"/>
                <w:lang w:val="fr-FR"/>
              </w:rPr>
              <w:t>CBD/SBI/3/2</w:t>
            </w:r>
            <w:r>
              <w:rPr>
                <w:snapToGrid w:val="0"/>
                <w:kern w:val="22"/>
                <w:sz w:val="22"/>
                <w:szCs w:val="22"/>
                <w:lang w:val="fr-FR"/>
              </w:rPr>
              <w:t>/Add.2</w:t>
            </w:r>
          </w:p>
        </w:tc>
        <w:tc>
          <w:tcPr>
            <w:tcW w:w="5940" w:type="dxa"/>
          </w:tcPr>
          <w:p w14:paraId="652E9987" w14:textId="17911471" w:rsidR="00431DCD" w:rsidRPr="00730395" w:rsidRDefault="0070283B" w:rsidP="00431DCD">
            <w:pPr>
              <w:suppressLineNumbers/>
              <w:suppressAutoHyphens/>
              <w:spacing w:after="60"/>
              <w:rPr>
                <w:sz w:val="22"/>
                <w:szCs w:val="22"/>
                <w:lang w:val="fr-FR"/>
              </w:rPr>
            </w:pPr>
            <w:r>
              <w:rPr>
                <w:sz w:val="22"/>
                <w:szCs w:val="22"/>
                <w:lang w:val="fr-FR"/>
              </w:rPr>
              <w:t>Analyse de la contribution des objectifs fixés par les Parties et des progrès accomplis dans la réalisation des Objectifs d’Aichi pour la biodiversité</w:t>
            </w:r>
          </w:p>
        </w:tc>
        <w:tc>
          <w:tcPr>
            <w:tcW w:w="1121" w:type="dxa"/>
          </w:tcPr>
          <w:p w14:paraId="47C4C1DC" w14:textId="056C1FFD" w:rsidR="00431DCD" w:rsidRPr="00465996" w:rsidRDefault="001231C7" w:rsidP="00431DCD">
            <w:pPr>
              <w:suppressLineNumbers/>
              <w:suppressAutoHyphens/>
              <w:spacing w:after="60"/>
              <w:jc w:val="center"/>
              <w:rPr>
                <w:snapToGrid w:val="0"/>
                <w:kern w:val="22"/>
                <w:sz w:val="22"/>
                <w:szCs w:val="22"/>
                <w:lang w:val="fr-FR"/>
              </w:rPr>
            </w:pPr>
            <w:r>
              <w:rPr>
                <w:snapToGrid w:val="0"/>
                <w:kern w:val="22"/>
                <w:sz w:val="22"/>
                <w:szCs w:val="22"/>
                <w:lang w:val="fr-FR"/>
              </w:rPr>
              <w:t>3</w:t>
            </w:r>
          </w:p>
        </w:tc>
      </w:tr>
      <w:tr w:rsidR="00431DCD" w:rsidRPr="00465996" w14:paraId="3E4E5EA5" w14:textId="77777777" w:rsidTr="00431DCD">
        <w:trPr>
          <w:trHeight w:val="355"/>
          <w:jc w:val="center"/>
        </w:trPr>
        <w:tc>
          <w:tcPr>
            <w:tcW w:w="2586" w:type="dxa"/>
            <w:noWrap/>
          </w:tcPr>
          <w:p w14:paraId="149ED54C" w14:textId="2C0A6A16" w:rsidR="00431DCD" w:rsidRPr="00465996" w:rsidRDefault="00431DCD" w:rsidP="00431DCD">
            <w:pPr>
              <w:suppressLineNumbers/>
              <w:suppressAutoHyphens/>
              <w:spacing w:after="60"/>
              <w:rPr>
                <w:snapToGrid w:val="0"/>
                <w:kern w:val="22"/>
                <w:sz w:val="22"/>
                <w:szCs w:val="22"/>
                <w:lang w:val="fr-FR"/>
              </w:rPr>
            </w:pPr>
            <w:r w:rsidRPr="00465996">
              <w:rPr>
                <w:snapToGrid w:val="0"/>
                <w:kern w:val="22"/>
                <w:sz w:val="22"/>
                <w:szCs w:val="22"/>
                <w:lang w:val="fr-FR"/>
              </w:rPr>
              <w:t>CBD/SBI/3/2</w:t>
            </w:r>
            <w:r>
              <w:rPr>
                <w:snapToGrid w:val="0"/>
                <w:kern w:val="22"/>
                <w:sz w:val="22"/>
                <w:szCs w:val="22"/>
                <w:lang w:val="fr-FR"/>
              </w:rPr>
              <w:t>/Add.3</w:t>
            </w:r>
          </w:p>
        </w:tc>
        <w:tc>
          <w:tcPr>
            <w:tcW w:w="5940" w:type="dxa"/>
          </w:tcPr>
          <w:p w14:paraId="2C6970E5" w14:textId="6341A3A0" w:rsidR="00431DCD" w:rsidRPr="00730395" w:rsidRDefault="0070283B" w:rsidP="00431DCD">
            <w:pPr>
              <w:suppressLineNumbers/>
              <w:suppressAutoHyphens/>
              <w:spacing w:after="60"/>
              <w:rPr>
                <w:sz w:val="22"/>
                <w:szCs w:val="22"/>
                <w:lang w:val="fr-FR"/>
              </w:rPr>
            </w:pPr>
            <w:r>
              <w:rPr>
                <w:sz w:val="22"/>
                <w:szCs w:val="22"/>
                <w:lang w:val="fr-FR"/>
              </w:rPr>
              <w:t>Examen de la mise en œuvre du plan d’action pour l’égalité des sexes 2015-2020</w:t>
            </w:r>
          </w:p>
        </w:tc>
        <w:tc>
          <w:tcPr>
            <w:tcW w:w="1121" w:type="dxa"/>
          </w:tcPr>
          <w:p w14:paraId="641CC214" w14:textId="2013E14A" w:rsidR="00431DCD" w:rsidRPr="00465996" w:rsidRDefault="001231C7" w:rsidP="00431DCD">
            <w:pPr>
              <w:suppressLineNumbers/>
              <w:suppressAutoHyphens/>
              <w:spacing w:after="60"/>
              <w:jc w:val="center"/>
              <w:rPr>
                <w:snapToGrid w:val="0"/>
                <w:kern w:val="22"/>
                <w:sz w:val="22"/>
                <w:szCs w:val="22"/>
                <w:lang w:val="fr-FR"/>
              </w:rPr>
            </w:pPr>
            <w:r>
              <w:rPr>
                <w:snapToGrid w:val="0"/>
                <w:kern w:val="22"/>
                <w:sz w:val="22"/>
                <w:szCs w:val="22"/>
                <w:lang w:val="fr-FR"/>
              </w:rPr>
              <w:t>3</w:t>
            </w:r>
          </w:p>
        </w:tc>
      </w:tr>
      <w:tr w:rsidR="00431DCD" w:rsidRPr="00465996" w14:paraId="1ED24406" w14:textId="77777777" w:rsidTr="00431DCD">
        <w:trPr>
          <w:trHeight w:val="355"/>
          <w:jc w:val="center"/>
        </w:trPr>
        <w:tc>
          <w:tcPr>
            <w:tcW w:w="2586" w:type="dxa"/>
            <w:noWrap/>
          </w:tcPr>
          <w:p w14:paraId="775793B7" w14:textId="2AD5C327" w:rsidR="00431DCD" w:rsidRPr="00465996" w:rsidRDefault="00431DCD" w:rsidP="00431DCD">
            <w:pPr>
              <w:suppressLineNumbers/>
              <w:suppressAutoHyphens/>
              <w:spacing w:after="60"/>
              <w:rPr>
                <w:snapToGrid w:val="0"/>
                <w:kern w:val="22"/>
                <w:sz w:val="22"/>
                <w:szCs w:val="22"/>
                <w:lang w:val="fr-FR"/>
              </w:rPr>
            </w:pPr>
            <w:r w:rsidRPr="00465996">
              <w:rPr>
                <w:snapToGrid w:val="0"/>
                <w:kern w:val="22"/>
                <w:sz w:val="22"/>
                <w:szCs w:val="22"/>
                <w:lang w:val="fr-FR"/>
              </w:rPr>
              <w:t>CBD/SBI/3/2</w:t>
            </w:r>
            <w:r>
              <w:rPr>
                <w:snapToGrid w:val="0"/>
                <w:kern w:val="22"/>
                <w:sz w:val="22"/>
                <w:szCs w:val="22"/>
                <w:lang w:val="fr-FR"/>
              </w:rPr>
              <w:t>/Add.4</w:t>
            </w:r>
          </w:p>
        </w:tc>
        <w:tc>
          <w:tcPr>
            <w:tcW w:w="5940" w:type="dxa"/>
          </w:tcPr>
          <w:p w14:paraId="75CAB868" w14:textId="3D08FB4C" w:rsidR="00431DCD" w:rsidRPr="00730395" w:rsidRDefault="0070283B" w:rsidP="00431DCD">
            <w:pPr>
              <w:suppressLineNumbers/>
              <w:suppressAutoHyphens/>
              <w:spacing w:after="60"/>
              <w:rPr>
                <w:sz w:val="22"/>
                <w:szCs w:val="22"/>
                <w:lang w:val="fr-FR"/>
              </w:rPr>
            </w:pPr>
            <w:r>
              <w:rPr>
                <w:sz w:val="22"/>
                <w:szCs w:val="22"/>
                <w:lang w:val="fr-FR"/>
              </w:rPr>
              <w:t>Progrès accomplis dans la réalisation de l’objectif d’Aichi 18 pour la biodiversité sur les connaissances traditionnelles et l’utilisation coutumière durable de la biodiversité</w:t>
            </w:r>
          </w:p>
        </w:tc>
        <w:tc>
          <w:tcPr>
            <w:tcW w:w="1121" w:type="dxa"/>
          </w:tcPr>
          <w:p w14:paraId="7D116164" w14:textId="35B68616" w:rsidR="00431DCD" w:rsidRPr="00465996" w:rsidRDefault="001231C7" w:rsidP="00431DCD">
            <w:pPr>
              <w:suppressLineNumbers/>
              <w:suppressAutoHyphens/>
              <w:spacing w:after="60"/>
              <w:jc w:val="center"/>
              <w:rPr>
                <w:snapToGrid w:val="0"/>
                <w:kern w:val="22"/>
                <w:sz w:val="22"/>
                <w:szCs w:val="22"/>
                <w:lang w:val="fr-FR"/>
              </w:rPr>
            </w:pPr>
            <w:r>
              <w:rPr>
                <w:snapToGrid w:val="0"/>
                <w:kern w:val="22"/>
                <w:sz w:val="22"/>
                <w:szCs w:val="22"/>
                <w:lang w:val="fr-FR"/>
              </w:rPr>
              <w:t>3</w:t>
            </w:r>
          </w:p>
        </w:tc>
      </w:tr>
      <w:tr w:rsidR="00431DCD" w:rsidRPr="00465996" w14:paraId="2F7A3229" w14:textId="77777777" w:rsidTr="00431DCD">
        <w:trPr>
          <w:trHeight w:val="355"/>
          <w:jc w:val="center"/>
        </w:trPr>
        <w:tc>
          <w:tcPr>
            <w:tcW w:w="2586" w:type="dxa"/>
            <w:noWrap/>
          </w:tcPr>
          <w:p w14:paraId="666A8B8D" w14:textId="2A18427A" w:rsidR="00431DCD" w:rsidRPr="00465996" w:rsidRDefault="00431DCD" w:rsidP="00431DCD">
            <w:pPr>
              <w:suppressLineNumbers/>
              <w:suppressAutoHyphens/>
              <w:spacing w:after="60"/>
              <w:rPr>
                <w:snapToGrid w:val="0"/>
                <w:kern w:val="22"/>
                <w:sz w:val="22"/>
                <w:szCs w:val="22"/>
                <w:lang w:val="fr-FR"/>
              </w:rPr>
            </w:pPr>
            <w:r w:rsidRPr="00465996">
              <w:rPr>
                <w:snapToGrid w:val="0"/>
                <w:kern w:val="22"/>
                <w:sz w:val="22"/>
                <w:szCs w:val="22"/>
                <w:lang w:val="fr-FR"/>
              </w:rPr>
              <w:t>CBD/SBI/3/3</w:t>
            </w:r>
          </w:p>
        </w:tc>
        <w:tc>
          <w:tcPr>
            <w:tcW w:w="5940" w:type="dxa"/>
          </w:tcPr>
          <w:p w14:paraId="20789D35" w14:textId="1E568463" w:rsidR="00431DCD" w:rsidRPr="00730395" w:rsidRDefault="00431DCD" w:rsidP="00431DCD">
            <w:pPr>
              <w:suppressLineNumbers/>
              <w:suppressAutoHyphens/>
              <w:spacing w:after="60"/>
              <w:rPr>
                <w:snapToGrid w:val="0"/>
                <w:kern w:val="22"/>
                <w:sz w:val="22"/>
                <w:szCs w:val="22"/>
                <w:lang w:val="fr-FR"/>
              </w:rPr>
            </w:pPr>
            <w:r w:rsidRPr="00730395">
              <w:rPr>
                <w:sz w:val="22"/>
                <w:szCs w:val="22"/>
                <w:lang w:val="fr-FR"/>
              </w:rPr>
              <w:t>Évaluation et examen de l’efficacité du Protocole de Cartagena sur la prévention des risques biotechnologiques</w:t>
            </w:r>
          </w:p>
        </w:tc>
        <w:tc>
          <w:tcPr>
            <w:tcW w:w="1121" w:type="dxa"/>
          </w:tcPr>
          <w:p w14:paraId="4E33ACD4" w14:textId="77777777" w:rsidR="00431DCD" w:rsidRPr="00465996" w:rsidRDefault="00431DCD" w:rsidP="00431DCD">
            <w:pPr>
              <w:suppressLineNumbers/>
              <w:suppressAutoHyphens/>
              <w:spacing w:after="60"/>
              <w:jc w:val="center"/>
              <w:rPr>
                <w:snapToGrid w:val="0"/>
                <w:kern w:val="22"/>
                <w:sz w:val="22"/>
                <w:szCs w:val="22"/>
                <w:lang w:val="fr-FR"/>
              </w:rPr>
            </w:pPr>
            <w:r w:rsidRPr="00465996">
              <w:rPr>
                <w:snapToGrid w:val="0"/>
                <w:kern w:val="22"/>
                <w:sz w:val="22"/>
                <w:szCs w:val="22"/>
                <w:lang w:val="fr-FR"/>
              </w:rPr>
              <w:t>4</w:t>
            </w:r>
          </w:p>
        </w:tc>
      </w:tr>
      <w:tr w:rsidR="00CA4693" w:rsidRPr="00465996" w14:paraId="70F5594C" w14:textId="77777777" w:rsidTr="00431DCD">
        <w:trPr>
          <w:trHeight w:val="355"/>
          <w:jc w:val="center"/>
        </w:trPr>
        <w:tc>
          <w:tcPr>
            <w:tcW w:w="2586" w:type="dxa"/>
            <w:noWrap/>
          </w:tcPr>
          <w:p w14:paraId="00121B1F" w14:textId="11492A7A" w:rsidR="00CA4693" w:rsidRPr="00465996" w:rsidRDefault="00CA4693" w:rsidP="00431DCD">
            <w:pPr>
              <w:suppressLineNumbers/>
              <w:suppressAutoHyphens/>
              <w:spacing w:after="60"/>
              <w:rPr>
                <w:snapToGrid w:val="0"/>
                <w:kern w:val="22"/>
                <w:sz w:val="22"/>
                <w:szCs w:val="22"/>
                <w:lang w:val="fr-FR"/>
              </w:rPr>
            </w:pPr>
            <w:r w:rsidRPr="00465996">
              <w:rPr>
                <w:snapToGrid w:val="0"/>
                <w:kern w:val="22"/>
                <w:sz w:val="22"/>
                <w:szCs w:val="22"/>
                <w:lang w:val="fr-FR"/>
              </w:rPr>
              <w:t>CBD/SBI/3/</w:t>
            </w:r>
            <w:r>
              <w:rPr>
                <w:snapToGrid w:val="0"/>
                <w:kern w:val="22"/>
                <w:sz w:val="22"/>
                <w:szCs w:val="22"/>
                <w:lang w:val="fr-FR"/>
              </w:rPr>
              <w:t>3/Add.1</w:t>
            </w:r>
          </w:p>
        </w:tc>
        <w:tc>
          <w:tcPr>
            <w:tcW w:w="5940" w:type="dxa"/>
          </w:tcPr>
          <w:p w14:paraId="51A712E8" w14:textId="62BF570B" w:rsidR="00CA4693" w:rsidRPr="00730395" w:rsidRDefault="00CA4693" w:rsidP="00431DCD">
            <w:pPr>
              <w:suppressLineNumbers/>
              <w:suppressAutoHyphens/>
              <w:spacing w:after="60"/>
              <w:rPr>
                <w:sz w:val="22"/>
                <w:szCs w:val="22"/>
                <w:lang w:val="fr-FR"/>
              </w:rPr>
            </w:pPr>
            <w:r>
              <w:rPr>
                <w:sz w:val="22"/>
                <w:szCs w:val="22"/>
                <w:lang w:val="fr-FR"/>
              </w:rPr>
              <w:t>Analyse des informations fournies pour l’évaluation et examen de l’efficacité du Protocole de Cartagena sur la prévention des risques biotechnologique et l’évaluation finale du Plan stratégique du Protocole de Cartagena pour la période 2011-2020</w:t>
            </w:r>
          </w:p>
        </w:tc>
        <w:tc>
          <w:tcPr>
            <w:tcW w:w="1121" w:type="dxa"/>
          </w:tcPr>
          <w:p w14:paraId="118D334A" w14:textId="5F8609A4" w:rsidR="00CA4693" w:rsidRPr="00465996" w:rsidRDefault="00106312" w:rsidP="00431DCD">
            <w:pPr>
              <w:suppressLineNumbers/>
              <w:suppressAutoHyphens/>
              <w:spacing w:after="60"/>
              <w:jc w:val="center"/>
              <w:rPr>
                <w:snapToGrid w:val="0"/>
                <w:kern w:val="22"/>
                <w:sz w:val="22"/>
                <w:szCs w:val="22"/>
                <w:lang w:val="fr-FR"/>
              </w:rPr>
            </w:pPr>
            <w:r>
              <w:rPr>
                <w:snapToGrid w:val="0"/>
                <w:kern w:val="22"/>
                <w:sz w:val="22"/>
                <w:szCs w:val="22"/>
                <w:lang w:val="fr-FR"/>
              </w:rPr>
              <w:t>4</w:t>
            </w:r>
          </w:p>
        </w:tc>
      </w:tr>
      <w:tr w:rsidR="00431DCD" w:rsidRPr="00465996" w14:paraId="6217FC3F" w14:textId="77777777" w:rsidTr="00431DCD">
        <w:trPr>
          <w:trHeight w:val="365"/>
          <w:jc w:val="center"/>
        </w:trPr>
        <w:tc>
          <w:tcPr>
            <w:tcW w:w="2586" w:type="dxa"/>
          </w:tcPr>
          <w:p w14:paraId="7DE30D02" w14:textId="4714AF80" w:rsidR="00431DCD" w:rsidRPr="00465996" w:rsidRDefault="00431DCD" w:rsidP="00431DCD">
            <w:pPr>
              <w:suppressLineNumbers/>
              <w:suppressAutoHyphens/>
              <w:spacing w:after="60"/>
              <w:rPr>
                <w:snapToGrid w:val="0"/>
                <w:kern w:val="22"/>
                <w:sz w:val="22"/>
                <w:szCs w:val="22"/>
                <w:lang w:val="fr-FR"/>
              </w:rPr>
            </w:pPr>
            <w:r w:rsidRPr="00465996">
              <w:rPr>
                <w:snapToGrid w:val="0"/>
                <w:kern w:val="22"/>
                <w:sz w:val="22"/>
                <w:szCs w:val="22"/>
                <w:lang w:val="fr-FR"/>
              </w:rPr>
              <w:t>CBD/SBI/3/4</w:t>
            </w:r>
          </w:p>
        </w:tc>
        <w:tc>
          <w:tcPr>
            <w:tcW w:w="5940" w:type="dxa"/>
          </w:tcPr>
          <w:p w14:paraId="0A76F5D3" w14:textId="46B383C0" w:rsidR="00431DCD" w:rsidRPr="00465996" w:rsidRDefault="00431DCD" w:rsidP="00431DCD">
            <w:pPr>
              <w:suppressLineNumbers/>
              <w:suppressAutoHyphens/>
              <w:spacing w:after="60"/>
              <w:rPr>
                <w:snapToGrid w:val="0"/>
                <w:kern w:val="22"/>
                <w:sz w:val="22"/>
                <w:szCs w:val="22"/>
                <w:lang w:val="fr-FR"/>
              </w:rPr>
            </w:pPr>
            <w:r>
              <w:rPr>
                <w:snapToGrid w:val="0"/>
                <w:kern w:val="22"/>
                <w:sz w:val="22"/>
                <w:szCs w:val="22"/>
                <w:lang w:val="fr-FR"/>
              </w:rPr>
              <w:t>Cadre mondial de la biodiversité pour l’après-2020</w:t>
            </w:r>
          </w:p>
        </w:tc>
        <w:tc>
          <w:tcPr>
            <w:tcW w:w="1121" w:type="dxa"/>
          </w:tcPr>
          <w:p w14:paraId="10C148F1" w14:textId="77777777" w:rsidR="00431DCD" w:rsidRPr="00465996" w:rsidRDefault="00431DCD" w:rsidP="00431DCD">
            <w:pPr>
              <w:suppressLineNumbers/>
              <w:suppressAutoHyphens/>
              <w:spacing w:after="60"/>
              <w:jc w:val="center"/>
              <w:rPr>
                <w:snapToGrid w:val="0"/>
                <w:kern w:val="22"/>
                <w:sz w:val="22"/>
                <w:szCs w:val="22"/>
                <w:lang w:val="fr-FR"/>
              </w:rPr>
            </w:pPr>
            <w:r w:rsidRPr="00465996">
              <w:rPr>
                <w:snapToGrid w:val="0"/>
                <w:kern w:val="22"/>
                <w:sz w:val="22"/>
                <w:szCs w:val="22"/>
                <w:lang w:val="fr-FR"/>
              </w:rPr>
              <w:t>5</w:t>
            </w:r>
          </w:p>
        </w:tc>
      </w:tr>
      <w:tr w:rsidR="00CA4693" w:rsidRPr="00283853" w14:paraId="0E947467" w14:textId="77777777" w:rsidTr="00431DCD">
        <w:trPr>
          <w:trHeight w:val="365"/>
          <w:jc w:val="center"/>
        </w:trPr>
        <w:tc>
          <w:tcPr>
            <w:tcW w:w="2586" w:type="dxa"/>
          </w:tcPr>
          <w:p w14:paraId="5745BD30" w14:textId="5327F34A"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CBD/SBI/3/4</w:t>
            </w:r>
            <w:r>
              <w:rPr>
                <w:snapToGrid w:val="0"/>
                <w:kern w:val="22"/>
                <w:sz w:val="22"/>
                <w:szCs w:val="22"/>
                <w:lang w:val="fr-FR"/>
              </w:rPr>
              <w:t>/Add.1</w:t>
            </w:r>
          </w:p>
        </w:tc>
        <w:tc>
          <w:tcPr>
            <w:tcW w:w="5940" w:type="dxa"/>
          </w:tcPr>
          <w:p w14:paraId="2977D087" w14:textId="580BA05D" w:rsidR="00CA4693" w:rsidRDefault="001231C7" w:rsidP="00CA4693">
            <w:pPr>
              <w:suppressLineNumbers/>
              <w:suppressAutoHyphens/>
              <w:spacing w:after="60"/>
              <w:rPr>
                <w:snapToGrid w:val="0"/>
                <w:kern w:val="22"/>
                <w:sz w:val="22"/>
                <w:szCs w:val="22"/>
                <w:lang w:val="fr-FR"/>
              </w:rPr>
            </w:pPr>
            <w:r>
              <w:rPr>
                <w:snapToGrid w:val="0"/>
                <w:kern w:val="22"/>
                <w:sz w:val="22"/>
                <w:szCs w:val="22"/>
                <w:lang w:val="fr-FR"/>
              </w:rPr>
              <w:t>Propositions communiquées pour le cadre mondial de la biodiversité pour l’après-2020</w:t>
            </w:r>
          </w:p>
        </w:tc>
        <w:tc>
          <w:tcPr>
            <w:tcW w:w="1121" w:type="dxa"/>
          </w:tcPr>
          <w:p w14:paraId="748788B5" w14:textId="77777777" w:rsidR="00CA4693" w:rsidRPr="00465996" w:rsidRDefault="00CA4693" w:rsidP="00CA4693">
            <w:pPr>
              <w:suppressLineNumbers/>
              <w:suppressAutoHyphens/>
              <w:spacing w:after="60"/>
              <w:jc w:val="center"/>
              <w:rPr>
                <w:snapToGrid w:val="0"/>
                <w:kern w:val="22"/>
                <w:sz w:val="22"/>
                <w:szCs w:val="22"/>
                <w:lang w:val="fr-FR"/>
              </w:rPr>
            </w:pPr>
          </w:p>
        </w:tc>
      </w:tr>
      <w:tr w:rsidR="00CA4693" w:rsidRPr="00465996" w14:paraId="7D005F9D" w14:textId="77777777" w:rsidTr="00431DCD">
        <w:trPr>
          <w:trHeight w:val="365"/>
          <w:jc w:val="center"/>
        </w:trPr>
        <w:tc>
          <w:tcPr>
            <w:tcW w:w="2586" w:type="dxa"/>
          </w:tcPr>
          <w:p w14:paraId="3E501DB6" w14:textId="7CBFBDAC"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CBD/SBI/3/5</w:t>
            </w:r>
          </w:p>
        </w:tc>
        <w:tc>
          <w:tcPr>
            <w:tcW w:w="5940" w:type="dxa"/>
          </w:tcPr>
          <w:p w14:paraId="22909374" w14:textId="52BBEB52"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Mobilisation des ressources</w:t>
            </w:r>
          </w:p>
        </w:tc>
        <w:tc>
          <w:tcPr>
            <w:tcW w:w="1121" w:type="dxa"/>
          </w:tcPr>
          <w:p w14:paraId="1F7595CB" w14:textId="77777777"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6</w:t>
            </w:r>
          </w:p>
        </w:tc>
      </w:tr>
      <w:tr w:rsidR="001231C7" w:rsidRPr="00465996" w14:paraId="03A43044" w14:textId="77777777" w:rsidTr="00431DCD">
        <w:trPr>
          <w:trHeight w:val="365"/>
          <w:jc w:val="center"/>
        </w:trPr>
        <w:tc>
          <w:tcPr>
            <w:tcW w:w="2586" w:type="dxa"/>
          </w:tcPr>
          <w:p w14:paraId="33A08789" w14:textId="504E349D" w:rsidR="001231C7" w:rsidRPr="00465996" w:rsidRDefault="001231C7" w:rsidP="00CA4693">
            <w:pPr>
              <w:suppressLineNumbers/>
              <w:suppressAutoHyphens/>
              <w:spacing w:after="60"/>
              <w:rPr>
                <w:snapToGrid w:val="0"/>
                <w:kern w:val="22"/>
                <w:sz w:val="22"/>
                <w:szCs w:val="22"/>
                <w:lang w:val="fr-FR"/>
              </w:rPr>
            </w:pPr>
            <w:r w:rsidRPr="00465996">
              <w:rPr>
                <w:snapToGrid w:val="0"/>
                <w:kern w:val="22"/>
                <w:sz w:val="22"/>
                <w:szCs w:val="22"/>
                <w:lang w:val="fr-FR"/>
              </w:rPr>
              <w:t>CBD/SBI/3/5</w:t>
            </w:r>
            <w:r>
              <w:rPr>
                <w:snapToGrid w:val="0"/>
                <w:kern w:val="22"/>
                <w:sz w:val="22"/>
                <w:szCs w:val="22"/>
                <w:lang w:val="fr-FR"/>
              </w:rPr>
              <w:t>/Add.1</w:t>
            </w:r>
          </w:p>
        </w:tc>
        <w:tc>
          <w:tcPr>
            <w:tcW w:w="5940" w:type="dxa"/>
          </w:tcPr>
          <w:p w14:paraId="307C63C5" w14:textId="08ED4AFC" w:rsidR="001231C7" w:rsidRDefault="00B02D20" w:rsidP="00CA4693">
            <w:pPr>
              <w:suppressLineNumbers/>
              <w:suppressAutoHyphens/>
              <w:spacing w:after="60"/>
              <w:rPr>
                <w:snapToGrid w:val="0"/>
                <w:kern w:val="22"/>
                <w:sz w:val="22"/>
                <w:szCs w:val="22"/>
                <w:lang w:val="fr-FR"/>
              </w:rPr>
            </w:pPr>
            <w:r>
              <w:rPr>
                <w:snapToGrid w:val="0"/>
                <w:kern w:val="22"/>
                <w:sz w:val="22"/>
                <w:szCs w:val="22"/>
                <w:lang w:val="fr-FR"/>
              </w:rPr>
              <w:t xml:space="preserve">Évaluation et examen de la stratégie de mobilisation des ressources et de l’Objectif 20 d’Aichi pour la biodiversité. Résumé du premier rapport du </w:t>
            </w:r>
            <w:r w:rsidR="001231C7">
              <w:rPr>
                <w:snapToGrid w:val="0"/>
                <w:kern w:val="22"/>
                <w:sz w:val="22"/>
                <w:szCs w:val="22"/>
                <w:lang w:val="fr-FR"/>
              </w:rPr>
              <w:t xml:space="preserve">groupe d’experts </w:t>
            </w:r>
            <w:r>
              <w:rPr>
                <w:snapToGrid w:val="0"/>
                <w:kern w:val="22"/>
                <w:sz w:val="22"/>
                <w:szCs w:val="22"/>
                <w:lang w:val="fr-FR"/>
              </w:rPr>
              <w:t>sur la mobilisation des ressources</w:t>
            </w:r>
          </w:p>
        </w:tc>
        <w:tc>
          <w:tcPr>
            <w:tcW w:w="1121" w:type="dxa"/>
          </w:tcPr>
          <w:p w14:paraId="2F0C3D9B" w14:textId="25644426" w:rsidR="001231C7"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6</w:t>
            </w:r>
          </w:p>
        </w:tc>
      </w:tr>
      <w:tr w:rsidR="001231C7" w:rsidRPr="00465996" w14:paraId="0FBFD3C1" w14:textId="77777777" w:rsidTr="00431DCD">
        <w:trPr>
          <w:trHeight w:val="365"/>
          <w:jc w:val="center"/>
        </w:trPr>
        <w:tc>
          <w:tcPr>
            <w:tcW w:w="2586" w:type="dxa"/>
          </w:tcPr>
          <w:p w14:paraId="01B3D142" w14:textId="36C0718F" w:rsidR="001231C7" w:rsidRPr="00465996" w:rsidRDefault="001231C7" w:rsidP="00CA4693">
            <w:pPr>
              <w:suppressLineNumbers/>
              <w:suppressAutoHyphens/>
              <w:spacing w:after="60"/>
              <w:rPr>
                <w:snapToGrid w:val="0"/>
                <w:kern w:val="22"/>
                <w:sz w:val="22"/>
                <w:szCs w:val="22"/>
                <w:lang w:val="fr-FR"/>
              </w:rPr>
            </w:pPr>
            <w:r w:rsidRPr="00465996">
              <w:rPr>
                <w:snapToGrid w:val="0"/>
                <w:kern w:val="22"/>
                <w:sz w:val="22"/>
                <w:szCs w:val="22"/>
                <w:lang w:val="fr-FR"/>
              </w:rPr>
              <w:t>CBD/SBI/3/5</w:t>
            </w:r>
            <w:r>
              <w:rPr>
                <w:snapToGrid w:val="0"/>
                <w:kern w:val="22"/>
                <w:sz w:val="22"/>
                <w:szCs w:val="22"/>
                <w:lang w:val="fr-FR"/>
              </w:rPr>
              <w:t>/Add.2</w:t>
            </w:r>
          </w:p>
        </w:tc>
        <w:tc>
          <w:tcPr>
            <w:tcW w:w="5940" w:type="dxa"/>
          </w:tcPr>
          <w:p w14:paraId="6A6F8546" w14:textId="47D4A1A7" w:rsidR="001231C7" w:rsidRDefault="00260247" w:rsidP="00CA4693">
            <w:pPr>
              <w:suppressLineNumbers/>
              <w:suppressAutoHyphens/>
              <w:spacing w:after="60"/>
              <w:rPr>
                <w:snapToGrid w:val="0"/>
                <w:kern w:val="22"/>
                <w:sz w:val="22"/>
                <w:szCs w:val="22"/>
                <w:lang w:val="fr-FR"/>
              </w:rPr>
            </w:pPr>
            <w:r>
              <w:rPr>
                <w:snapToGrid w:val="0"/>
                <w:kern w:val="22"/>
                <w:sz w:val="22"/>
                <w:szCs w:val="22"/>
                <w:lang w:val="fr-FR"/>
              </w:rPr>
              <w:t xml:space="preserve">Estimation des ressources nécessaires pour la mise en œuvre du cadre mondial de la biodiversité pour l’après-2020. Deuxième rapport préliminaire du groupe d’experts </w:t>
            </w:r>
            <w:proofErr w:type="spellStart"/>
            <w:r>
              <w:rPr>
                <w:snapToGrid w:val="0"/>
                <w:kern w:val="22"/>
                <w:sz w:val="22"/>
                <w:szCs w:val="22"/>
                <w:lang w:val="fr-FR"/>
              </w:rPr>
              <w:t>su</w:t>
            </w:r>
            <w:proofErr w:type="spellEnd"/>
            <w:r>
              <w:rPr>
                <w:snapToGrid w:val="0"/>
                <w:kern w:val="22"/>
                <w:sz w:val="22"/>
                <w:szCs w:val="22"/>
                <w:lang w:val="fr-FR"/>
              </w:rPr>
              <w:t xml:space="preserve"> la mobilisation des ressources</w:t>
            </w:r>
          </w:p>
        </w:tc>
        <w:tc>
          <w:tcPr>
            <w:tcW w:w="1121" w:type="dxa"/>
          </w:tcPr>
          <w:p w14:paraId="5358C664" w14:textId="12973AB4" w:rsidR="001231C7"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6</w:t>
            </w:r>
          </w:p>
        </w:tc>
      </w:tr>
      <w:tr w:rsidR="001231C7" w:rsidRPr="00465996" w14:paraId="477109F0" w14:textId="77777777" w:rsidTr="00431DCD">
        <w:trPr>
          <w:trHeight w:val="365"/>
          <w:jc w:val="center"/>
        </w:trPr>
        <w:tc>
          <w:tcPr>
            <w:tcW w:w="2586" w:type="dxa"/>
          </w:tcPr>
          <w:p w14:paraId="295FBF8E" w14:textId="6B612A0E" w:rsidR="001231C7" w:rsidRPr="00465996" w:rsidRDefault="001231C7" w:rsidP="00CA4693">
            <w:pPr>
              <w:suppressLineNumbers/>
              <w:suppressAutoHyphens/>
              <w:spacing w:after="60"/>
              <w:rPr>
                <w:snapToGrid w:val="0"/>
                <w:kern w:val="22"/>
                <w:sz w:val="22"/>
                <w:szCs w:val="22"/>
                <w:lang w:val="fr-FR"/>
              </w:rPr>
            </w:pPr>
            <w:r w:rsidRPr="00465996">
              <w:rPr>
                <w:snapToGrid w:val="0"/>
                <w:kern w:val="22"/>
                <w:sz w:val="22"/>
                <w:szCs w:val="22"/>
                <w:lang w:val="fr-FR"/>
              </w:rPr>
              <w:t>CBD/SBI/3/5</w:t>
            </w:r>
            <w:r>
              <w:rPr>
                <w:snapToGrid w:val="0"/>
                <w:kern w:val="22"/>
                <w:sz w:val="22"/>
                <w:szCs w:val="22"/>
                <w:lang w:val="fr-FR"/>
              </w:rPr>
              <w:t>/Add.3</w:t>
            </w:r>
          </w:p>
        </w:tc>
        <w:tc>
          <w:tcPr>
            <w:tcW w:w="5940" w:type="dxa"/>
          </w:tcPr>
          <w:p w14:paraId="5944815A" w14:textId="5A485852" w:rsidR="001231C7" w:rsidRDefault="00260247" w:rsidP="00CA4693">
            <w:pPr>
              <w:suppressLineNumbers/>
              <w:suppressAutoHyphens/>
              <w:spacing w:after="60"/>
              <w:rPr>
                <w:snapToGrid w:val="0"/>
                <w:kern w:val="22"/>
                <w:sz w:val="22"/>
                <w:szCs w:val="22"/>
                <w:lang w:val="fr-FR"/>
              </w:rPr>
            </w:pPr>
            <w:r>
              <w:rPr>
                <w:snapToGrid w:val="0"/>
                <w:kern w:val="22"/>
                <w:sz w:val="22"/>
                <w:szCs w:val="22"/>
                <w:lang w:val="fr-FR"/>
              </w:rPr>
              <w:t>Contribution à un projet d’élément mobilisation des ressources pour le cadre mondial de la biodiversité pour l’après-2020. Troisième rapport du groupe d’experts sur la mobilisation des ressources</w:t>
            </w:r>
          </w:p>
        </w:tc>
        <w:tc>
          <w:tcPr>
            <w:tcW w:w="1121" w:type="dxa"/>
          </w:tcPr>
          <w:p w14:paraId="34234093" w14:textId="4EB3B726" w:rsidR="001231C7"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6</w:t>
            </w:r>
          </w:p>
        </w:tc>
      </w:tr>
      <w:tr w:rsidR="00CA4693" w:rsidRPr="00465996" w14:paraId="0A8695BD" w14:textId="77777777" w:rsidTr="00431DCD">
        <w:trPr>
          <w:trHeight w:val="365"/>
          <w:jc w:val="center"/>
        </w:trPr>
        <w:tc>
          <w:tcPr>
            <w:tcW w:w="2586" w:type="dxa"/>
          </w:tcPr>
          <w:p w14:paraId="12610632" w14:textId="3FC66CE3"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CBD/SBI/3/6</w:t>
            </w:r>
          </w:p>
        </w:tc>
        <w:tc>
          <w:tcPr>
            <w:tcW w:w="5940" w:type="dxa"/>
          </w:tcPr>
          <w:p w14:paraId="2F375EE4" w14:textId="5D5C2787"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Orientations au mécanisme de financement</w:t>
            </w:r>
          </w:p>
        </w:tc>
        <w:tc>
          <w:tcPr>
            <w:tcW w:w="1121" w:type="dxa"/>
          </w:tcPr>
          <w:p w14:paraId="7A40298A" w14:textId="7D6810C3"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6</w:t>
            </w:r>
          </w:p>
        </w:tc>
      </w:tr>
      <w:tr w:rsidR="00CA4693" w:rsidRPr="00465996" w14:paraId="48DA2933" w14:textId="77777777" w:rsidTr="00431DCD">
        <w:trPr>
          <w:trHeight w:val="365"/>
          <w:jc w:val="center"/>
        </w:trPr>
        <w:tc>
          <w:tcPr>
            <w:tcW w:w="2586" w:type="dxa"/>
          </w:tcPr>
          <w:p w14:paraId="4BE9E0FC" w14:textId="55F92D19"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CBD/SBI/3/6/Add.1</w:t>
            </w:r>
          </w:p>
        </w:tc>
        <w:tc>
          <w:tcPr>
            <w:tcW w:w="5940" w:type="dxa"/>
          </w:tcPr>
          <w:p w14:paraId="666903D4" w14:textId="0D22002A"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Rapport préliminaire du Fonds pour l’environnement mondial</w:t>
            </w:r>
          </w:p>
        </w:tc>
        <w:tc>
          <w:tcPr>
            <w:tcW w:w="1121" w:type="dxa"/>
          </w:tcPr>
          <w:p w14:paraId="65C4C583" w14:textId="7256C8E0"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6</w:t>
            </w:r>
          </w:p>
        </w:tc>
      </w:tr>
      <w:tr w:rsidR="00FE26CA" w:rsidRPr="00465996" w14:paraId="15875C3F" w14:textId="77777777" w:rsidTr="00431DCD">
        <w:trPr>
          <w:trHeight w:val="365"/>
          <w:jc w:val="center"/>
        </w:trPr>
        <w:tc>
          <w:tcPr>
            <w:tcW w:w="2586" w:type="dxa"/>
          </w:tcPr>
          <w:p w14:paraId="6880053B" w14:textId="3245E85E" w:rsidR="00FE26CA" w:rsidRPr="00465996" w:rsidRDefault="00FE26CA" w:rsidP="00CA4693">
            <w:pPr>
              <w:suppressLineNumbers/>
              <w:suppressAutoHyphens/>
              <w:spacing w:after="60"/>
              <w:rPr>
                <w:snapToGrid w:val="0"/>
                <w:kern w:val="22"/>
                <w:sz w:val="22"/>
                <w:szCs w:val="22"/>
                <w:lang w:val="fr-FR"/>
              </w:rPr>
            </w:pPr>
            <w:r w:rsidRPr="00465996">
              <w:rPr>
                <w:snapToGrid w:val="0"/>
                <w:kern w:val="22"/>
                <w:sz w:val="22"/>
                <w:szCs w:val="22"/>
                <w:lang w:val="fr-FR"/>
              </w:rPr>
              <w:lastRenderedPageBreak/>
              <w:t>CBD/SBI/3/6/Add.</w:t>
            </w:r>
            <w:r>
              <w:rPr>
                <w:snapToGrid w:val="0"/>
                <w:kern w:val="22"/>
                <w:sz w:val="22"/>
                <w:szCs w:val="22"/>
                <w:lang w:val="fr-FR"/>
              </w:rPr>
              <w:t>2</w:t>
            </w:r>
          </w:p>
        </w:tc>
        <w:tc>
          <w:tcPr>
            <w:tcW w:w="5940" w:type="dxa"/>
          </w:tcPr>
          <w:p w14:paraId="12558A38" w14:textId="49AEB4F2" w:rsidR="00FE26CA" w:rsidRDefault="00FE26CA" w:rsidP="00CA4693">
            <w:pPr>
              <w:suppressLineNumbers/>
              <w:suppressAutoHyphens/>
              <w:spacing w:after="60"/>
              <w:rPr>
                <w:snapToGrid w:val="0"/>
                <w:kern w:val="22"/>
                <w:sz w:val="22"/>
                <w:szCs w:val="22"/>
                <w:lang w:val="fr-FR"/>
              </w:rPr>
            </w:pPr>
            <w:r>
              <w:rPr>
                <w:snapToGrid w:val="0"/>
                <w:kern w:val="22"/>
                <w:sz w:val="22"/>
                <w:szCs w:val="22"/>
                <w:lang w:val="fr-FR"/>
              </w:rPr>
              <w:t xml:space="preserve">Rapport intérimaire sur l’évaluation du montant des fonds nécessaires à l’application de la Convention et de ses protocoles pendant la huitième période de reconstitution du Fonds d’affectation spéciale du Fonds pour l’environnement mondial </w:t>
            </w:r>
          </w:p>
        </w:tc>
        <w:tc>
          <w:tcPr>
            <w:tcW w:w="1121" w:type="dxa"/>
          </w:tcPr>
          <w:p w14:paraId="76A43B64" w14:textId="50E968BF" w:rsidR="00FE26CA"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6</w:t>
            </w:r>
          </w:p>
        </w:tc>
      </w:tr>
      <w:tr w:rsidR="00CA4693" w:rsidRPr="00465996" w14:paraId="5AA16DEB" w14:textId="77777777" w:rsidTr="00431DCD">
        <w:trPr>
          <w:trHeight w:val="427"/>
          <w:jc w:val="center"/>
        </w:trPr>
        <w:tc>
          <w:tcPr>
            <w:tcW w:w="2586" w:type="dxa"/>
          </w:tcPr>
          <w:p w14:paraId="682B17D9" w14:textId="16ECF93D"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CBD/SBI/3/7</w:t>
            </w:r>
          </w:p>
        </w:tc>
        <w:tc>
          <w:tcPr>
            <w:tcW w:w="5940" w:type="dxa"/>
          </w:tcPr>
          <w:p w14:paraId="583ED5C5" w14:textId="7C315F97" w:rsidR="00CA4693" w:rsidRPr="00730395" w:rsidRDefault="00CA4693" w:rsidP="00CA4693">
            <w:pPr>
              <w:suppressLineNumbers/>
              <w:suppressAutoHyphens/>
              <w:spacing w:after="60"/>
              <w:rPr>
                <w:snapToGrid w:val="0"/>
                <w:kern w:val="22"/>
                <w:sz w:val="22"/>
                <w:szCs w:val="22"/>
                <w:lang w:val="fr-FR"/>
              </w:rPr>
            </w:pPr>
            <w:r w:rsidRPr="00730395">
              <w:rPr>
                <w:sz w:val="22"/>
                <w:szCs w:val="22"/>
                <w:lang w:val="fr-FR"/>
              </w:rPr>
              <w:t>Renforcement des capacités, coopération technique et scientifique, transfert de technologie, gestion des connaissances et communication</w:t>
            </w:r>
          </w:p>
        </w:tc>
        <w:tc>
          <w:tcPr>
            <w:tcW w:w="1121" w:type="dxa"/>
          </w:tcPr>
          <w:p w14:paraId="7D9BBCA8" w14:textId="5AE47F5B"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7</w:t>
            </w:r>
          </w:p>
        </w:tc>
      </w:tr>
      <w:tr w:rsidR="00CA4693" w:rsidRPr="00465996" w14:paraId="661115C4" w14:textId="77777777" w:rsidTr="00431DCD">
        <w:trPr>
          <w:trHeight w:val="427"/>
          <w:jc w:val="center"/>
        </w:trPr>
        <w:tc>
          <w:tcPr>
            <w:tcW w:w="2586" w:type="dxa"/>
          </w:tcPr>
          <w:p w14:paraId="509512EF" w14:textId="69A00046"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CBD/SBI/3/7/Add.1</w:t>
            </w:r>
          </w:p>
        </w:tc>
        <w:tc>
          <w:tcPr>
            <w:tcW w:w="5940" w:type="dxa"/>
          </w:tcPr>
          <w:p w14:paraId="02042A1A" w14:textId="0DEC40B8"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 xml:space="preserve">Projet de </w:t>
            </w:r>
            <w:r w:rsidR="009E47F4">
              <w:rPr>
                <w:snapToGrid w:val="0"/>
                <w:kern w:val="22"/>
                <w:sz w:val="22"/>
                <w:szCs w:val="22"/>
                <w:lang w:val="fr-FR"/>
              </w:rPr>
              <w:t xml:space="preserve">cadre stratégique à long terme pour </w:t>
            </w:r>
            <w:r>
              <w:rPr>
                <w:snapToGrid w:val="0"/>
                <w:kern w:val="22"/>
                <w:sz w:val="22"/>
                <w:szCs w:val="22"/>
                <w:lang w:val="fr-FR"/>
              </w:rPr>
              <w:t>le renforcement des capacités</w:t>
            </w:r>
            <w:r w:rsidR="009E47F4">
              <w:rPr>
                <w:snapToGrid w:val="0"/>
                <w:kern w:val="22"/>
                <w:sz w:val="22"/>
                <w:szCs w:val="22"/>
                <w:lang w:val="fr-FR"/>
              </w:rPr>
              <w:t xml:space="preserve"> au-delà de 2020</w:t>
            </w:r>
          </w:p>
        </w:tc>
        <w:tc>
          <w:tcPr>
            <w:tcW w:w="1121" w:type="dxa"/>
          </w:tcPr>
          <w:p w14:paraId="74CFE1A9" w14:textId="7C4BF37F"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7</w:t>
            </w:r>
          </w:p>
        </w:tc>
      </w:tr>
      <w:tr w:rsidR="00CA4693" w:rsidRPr="00465996" w14:paraId="226C2096" w14:textId="77777777" w:rsidTr="00431DCD">
        <w:trPr>
          <w:trHeight w:val="427"/>
          <w:jc w:val="center"/>
        </w:trPr>
        <w:tc>
          <w:tcPr>
            <w:tcW w:w="2586" w:type="dxa"/>
          </w:tcPr>
          <w:p w14:paraId="0A5A8E61" w14:textId="661D4265"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CBD/SBI/3/7/Add.2</w:t>
            </w:r>
          </w:p>
        </w:tc>
        <w:tc>
          <w:tcPr>
            <w:tcW w:w="5940" w:type="dxa"/>
          </w:tcPr>
          <w:p w14:paraId="4F14C5AD" w14:textId="21AEBACD"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 xml:space="preserve">Projet de </w:t>
            </w:r>
            <w:r w:rsidR="009E47F4">
              <w:rPr>
                <w:snapToGrid w:val="0"/>
                <w:kern w:val="22"/>
                <w:sz w:val="22"/>
                <w:szCs w:val="22"/>
                <w:lang w:val="fr-FR"/>
              </w:rPr>
              <w:t>propositions</w:t>
            </w:r>
            <w:r>
              <w:rPr>
                <w:snapToGrid w:val="0"/>
                <w:kern w:val="22"/>
                <w:sz w:val="22"/>
                <w:szCs w:val="22"/>
                <w:lang w:val="fr-FR"/>
              </w:rPr>
              <w:t xml:space="preserve"> pour le renforcement </w:t>
            </w:r>
            <w:r w:rsidR="009E47F4">
              <w:rPr>
                <w:snapToGrid w:val="0"/>
                <w:kern w:val="22"/>
                <w:sz w:val="22"/>
                <w:szCs w:val="22"/>
                <w:lang w:val="fr-FR"/>
              </w:rPr>
              <w:t>de la coopération technique et scientifique à l’appui du cadre mondial de la biodiversité pour l’après-2020</w:t>
            </w:r>
          </w:p>
        </w:tc>
        <w:tc>
          <w:tcPr>
            <w:tcW w:w="1121" w:type="dxa"/>
          </w:tcPr>
          <w:p w14:paraId="6AF05EA7" w14:textId="315B3C64"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7</w:t>
            </w:r>
          </w:p>
        </w:tc>
      </w:tr>
      <w:tr w:rsidR="00CA4693" w:rsidRPr="00465996" w14:paraId="129623B5" w14:textId="77777777" w:rsidTr="00431DCD">
        <w:trPr>
          <w:trHeight w:val="480"/>
          <w:jc w:val="center"/>
        </w:trPr>
        <w:tc>
          <w:tcPr>
            <w:tcW w:w="2586" w:type="dxa"/>
            <w:noWrap/>
          </w:tcPr>
          <w:p w14:paraId="7E02B7FE" w14:textId="6F358918"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CBD/SBI/3/8</w:t>
            </w:r>
          </w:p>
        </w:tc>
        <w:tc>
          <w:tcPr>
            <w:tcW w:w="5940" w:type="dxa"/>
          </w:tcPr>
          <w:p w14:paraId="4959937E" w14:textId="2A3EE601"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Gestion des connaissances et mécanisme d’échange</w:t>
            </w:r>
          </w:p>
        </w:tc>
        <w:tc>
          <w:tcPr>
            <w:tcW w:w="1121" w:type="dxa"/>
          </w:tcPr>
          <w:p w14:paraId="0C7C2B4F" w14:textId="55BA6E5B"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7</w:t>
            </w:r>
          </w:p>
        </w:tc>
      </w:tr>
      <w:tr w:rsidR="00CA4693" w:rsidRPr="00465996" w14:paraId="2B33A857" w14:textId="77777777" w:rsidTr="00431DCD">
        <w:trPr>
          <w:trHeight w:val="365"/>
          <w:jc w:val="center"/>
        </w:trPr>
        <w:tc>
          <w:tcPr>
            <w:tcW w:w="2586" w:type="dxa"/>
          </w:tcPr>
          <w:p w14:paraId="244B1BDA" w14:textId="0C4E3C02"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CBD/SBI/3/9</w:t>
            </w:r>
          </w:p>
        </w:tc>
        <w:tc>
          <w:tcPr>
            <w:tcW w:w="5940" w:type="dxa"/>
          </w:tcPr>
          <w:p w14:paraId="707843FF" w14:textId="6C288E05" w:rsidR="00CA4693" w:rsidRPr="00465996" w:rsidRDefault="00CA4693" w:rsidP="00CA4693">
            <w:pPr>
              <w:suppressLineNumbers/>
              <w:suppressAutoHyphens/>
              <w:spacing w:after="60"/>
              <w:rPr>
                <w:snapToGrid w:val="0"/>
                <w:kern w:val="22"/>
                <w:sz w:val="22"/>
                <w:szCs w:val="22"/>
                <w:lang w:val="fr-FR"/>
              </w:rPr>
            </w:pPr>
            <w:r w:rsidRPr="00465996">
              <w:rPr>
                <w:rFonts w:eastAsia="Malgun Gothic"/>
                <w:snapToGrid w:val="0"/>
                <w:kern w:val="22"/>
                <w:sz w:val="22"/>
                <w:szCs w:val="22"/>
                <w:lang w:val="fr-FR"/>
              </w:rPr>
              <w:t>Communication</w:t>
            </w:r>
          </w:p>
        </w:tc>
        <w:tc>
          <w:tcPr>
            <w:tcW w:w="1121" w:type="dxa"/>
          </w:tcPr>
          <w:p w14:paraId="50D58A9E" w14:textId="6ADD4469"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7</w:t>
            </w:r>
          </w:p>
        </w:tc>
      </w:tr>
      <w:tr w:rsidR="00CA4693" w:rsidRPr="00465996" w14:paraId="5D31CBF1" w14:textId="77777777" w:rsidTr="00431DCD">
        <w:trPr>
          <w:trHeight w:val="480"/>
          <w:jc w:val="center"/>
        </w:trPr>
        <w:tc>
          <w:tcPr>
            <w:tcW w:w="2586" w:type="dxa"/>
            <w:noWrap/>
          </w:tcPr>
          <w:p w14:paraId="77CDDC61" w14:textId="0B5EA5E3"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CBD/SBI/3/10</w:t>
            </w:r>
          </w:p>
        </w:tc>
        <w:tc>
          <w:tcPr>
            <w:tcW w:w="5940" w:type="dxa"/>
          </w:tcPr>
          <w:p w14:paraId="2F8C8015" w14:textId="2DD4F011"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Coop</w:t>
            </w:r>
            <w:r>
              <w:rPr>
                <w:snapToGrid w:val="0"/>
                <w:kern w:val="22"/>
                <w:sz w:val="22"/>
                <w:szCs w:val="22"/>
                <w:lang w:val="fr-FR"/>
              </w:rPr>
              <w:t>ération avec d’autres conventions, organisation et initiatives internationales</w:t>
            </w:r>
          </w:p>
        </w:tc>
        <w:tc>
          <w:tcPr>
            <w:tcW w:w="1121" w:type="dxa"/>
          </w:tcPr>
          <w:p w14:paraId="3C1A6F6F" w14:textId="72C811EA"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8</w:t>
            </w:r>
          </w:p>
        </w:tc>
      </w:tr>
      <w:tr w:rsidR="00CA4693" w:rsidRPr="00465996" w14:paraId="1D0A8C00" w14:textId="77777777" w:rsidTr="00431DCD">
        <w:trPr>
          <w:trHeight w:val="480"/>
          <w:jc w:val="center"/>
        </w:trPr>
        <w:tc>
          <w:tcPr>
            <w:tcW w:w="2586" w:type="dxa"/>
            <w:noWrap/>
          </w:tcPr>
          <w:p w14:paraId="5CD413BD" w14:textId="3F72EEE5"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CBD/SBI/3/11</w:t>
            </w:r>
          </w:p>
        </w:tc>
        <w:tc>
          <w:tcPr>
            <w:tcW w:w="5940" w:type="dxa"/>
          </w:tcPr>
          <w:p w14:paraId="4F062DCC" w14:textId="0C274A42" w:rsidR="00CA4693" w:rsidRPr="00465996" w:rsidRDefault="00CA4693" w:rsidP="00CA4693">
            <w:pPr>
              <w:suppressLineNumbers/>
              <w:suppressAutoHyphens/>
              <w:spacing w:after="60"/>
              <w:rPr>
                <w:rFonts w:eastAsia="Malgun Gothic"/>
                <w:snapToGrid w:val="0"/>
                <w:kern w:val="22"/>
                <w:sz w:val="22"/>
                <w:szCs w:val="22"/>
                <w:lang w:val="fr-FR"/>
              </w:rPr>
            </w:pPr>
            <w:r w:rsidRPr="00465996">
              <w:rPr>
                <w:snapToGrid w:val="0"/>
                <w:kern w:val="22"/>
                <w:sz w:val="22"/>
                <w:szCs w:val="22"/>
                <w:lang w:val="fr-FR"/>
              </w:rPr>
              <w:t>M</w:t>
            </w:r>
            <w:r>
              <w:rPr>
                <w:snapToGrid w:val="0"/>
                <w:kern w:val="22"/>
                <w:sz w:val="22"/>
                <w:szCs w:val="22"/>
                <w:lang w:val="fr-FR"/>
              </w:rPr>
              <w:t>écanismes d’examen de l’application</w:t>
            </w:r>
          </w:p>
        </w:tc>
        <w:tc>
          <w:tcPr>
            <w:tcW w:w="1121" w:type="dxa"/>
          </w:tcPr>
          <w:p w14:paraId="3B17D9C7" w14:textId="5AE24101"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9</w:t>
            </w:r>
          </w:p>
        </w:tc>
      </w:tr>
      <w:tr w:rsidR="00CA4693" w:rsidRPr="00465996" w14:paraId="0822083B" w14:textId="77777777" w:rsidTr="00431DCD">
        <w:trPr>
          <w:trHeight w:val="480"/>
          <w:jc w:val="center"/>
        </w:trPr>
        <w:tc>
          <w:tcPr>
            <w:tcW w:w="2586" w:type="dxa"/>
            <w:noWrap/>
          </w:tcPr>
          <w:p w14:paraId="23922452" w14:textId="25734360"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CBD/SBI/3/11/Add.1</w:t>
            </w:r>
          </w:p>
        </w:tc>
        <w:tc>
          <w:tcPr>
            <w:tcW w:w="5940" w:type="dxa"/>
          </w:tcPr>
          <w:p w14:paraId="3888226D" w14:textId="13ECDBF7"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Établissement des rapports nationaux au titre de la Convention et de ses protocoles</w:t>
            </w:r>
          </w:p>
        </w:tc>
        <w:tc>
          <w:tcPr>
            <w:tcW w:w="1121" w:type="dxa"/>
          </w:tcPr>
          <w:p w14:paraId="599D71C2" w14:textId="49D06069"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9</w:t>
            </w:r>
          </w:p>
        </w:tc>
      </w:tr>
      <w:tr w:rsidR="009E47F4" w:rsidRPr="00465996" w14:paraId="4842DAE9" w14:textId="77777777" w:rsidTr="00431DCD">
        <w:trPr>
          <w:trHeight w:val="480"/>
          <w:jc w:val="center"/>
        </w:trPr>
        <w:tc>
          <w:tcPr>
            <w:tcW w:w="2586" w:type="dxa"/>
            <w:noWrap/>
          </w:tcPr>
          <w:p w14:paraId="08758625" w14:textId="3E8201BD" w:rsidR="009E47F4" w:rsidRPr="00465996" w:rsidRDefault="009E47F4" w:rsidP="00CA4693">
            <w:pPr>
              <w:suppressLineNumbers/>
              <w:suppressAutoHyphens/>
              <w:spacing w:after="60"/>
              <w:rPr>
                <w:snapToGrid w:val="0"/>
                <w:kern w:val="22"/>
                <w:sz w:val="22"/>
                <w:szCs w:val="22"/>
                <w:lang w:val="fr-FR"/>
              </w:rPr>
            </w:pPr>
            <w:r w:rsidRPr="00465996">
              <w:rPr>
                <w:snapToGrid w:val="0"/>
                <w:kern w:val="22"/>
                <w:sz w:val="22"/>
                <w:szCs w:val="22"/>
                <w:lang w:val="fr-FR"/>
              </w:rPr>
              <w:t>CBD/SBI/3/11/Add.</w:t>
            </w:r>
            <w:r>
              <w:rPr>
                <w:snapToGrid w:val="0"/>
                <w:kern w:val="22"/>
                <w:sz w:val="22"/>
                <w:szCs w:val="22"/>
                <w:lang w:val="fr-FR"/>
              </w:rPr>
              <w:t>2</w:t>
            </w:r>
          </w:p>
        </w:tc>
        <w:tc>
          <w:tcPr>
            <w:tcW w:w="5940" w:type="dxa"/>
          </w:tcPr>
          <w:p w14:paraId="1FA7DD7C" w14:textId="0A4B2389" w:rsidR="009E47F4" w:rsidRDefault="00C26BE3" w:rsidP="00CA4693">
            <w:pPr>
              <w:suppressLineNumbers/>
              <w:suppressAutoHyphens/>
              <w:spacing w:after="60"/>
              <w:rPr>
                <w:snapToGrid w:val="0"/>
                <w:kern w:val="22"/>
                <w:sz w:val="22"/>
                <w:szCs w:val="22"/>
                <w:lang w:val="fr-FR"/>
              </w:rPr>
            </w:pPr>
            <w:r>
              <w:rPr>
                <w:snapToGrid w:val="0"/>
                <w:kern w:val="22"/>
                <w:sz w:val="22"/>
                <w:szCs w:val="22"/>
                <w:lang w:val="fr-FR"/>
              </w:rPr>
              <w:t>Possibilités d’accroître les synergies en matière de rapport parmi les conventions relatives à la biodiversité et les conventions de Rio</w:t>
            </w:r>
          </w:p>
        </w:tc>
        <w:tc>
          <w:tcPr>
            <w:tcW w:w="1121" w:type="dxa"/>
          </w:tcPr>
          <w:p w14:paraId="05E89FB0" w14:textId="47CCA362" w:rsidR="009E47F4"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9</w:t>
            </w:r>
          </w:p>
        </w:tc>
      </w:tr>
      <w:tr w:rsidR="00CA4693" w:rsidRPr="00465996" w14:paraId="363665F6" w14:textId="77777777" w:rsidTr="00431DCD">
        <w:trPr>
          <w:trHeight w:val="480"/>
          <w:jc w:val="center"/>
        </w:trPr>
        <w:tc>
          <w:tcPr>
            <w:tcW w:w="2586" w:type="dxa"/>
            <w:noWrap/>
            <w:hideMark/>
          </w:tcPr>
          <w:p w14:paraId="38A99446" w14:textId="5A6DA519" w:rsidR="00CA4693" w:rsidRPr="00465996" w:rsidRDefault="00CA4693" w:rsidP="00CA4693">
            <w:pPr>
              <w:suppressLineNumbers/>
              <w:suppressAutoHyphens/>
              <w:spacing w:after="200" w:line="276" w:lineRule="auto"/>
              <w:rPr>
                <w:snapToGrid w:val="0"/>
                <w:kern w:val="22"/>
                <w:sz w:val="22"/>
                <w:szCs w:val="22"/>
                <w:lang w:val="fr-FR"/>
              </w:rPr>
            </w:pPr>
            <w:r w:rsidRPr="00465996">
              <w:rPr>
                <w:snapToGrid w:val="0"/>
                <w:kern w:val="22"/>
                <w:sz w:val="22"/>
                <w:szCs w:val="22"/>
                <w:lang w:val="fr-FR"/>
              </w:rPr>
              <w:t>CBD/SBI/3/12</w:t>
            </w:r>
          </w:p>
        </w:tc>
        <w:tc>
          <w:tcPr>
            <w:tcW w:w="5940" w:type="dxa"/>
          </w:tcPr>
          <w:p w14:paraId="5CAA04B7" w14:textId="66ECC0C0"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Examen de l’efficacité des processus au titre de la Convention et de ses protocoles</w:t>
            </w:r>
          </w:p>
        </w:tc>
        <w:tc>
          <w:tcPr>
            <w:tcW w:w="1121" w:type="dxa"/>
          </w:tcPr>
          <w:p w14:paraId="0183BEAB" w14:textId="0A6CC513"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10</w:t>
            </w:r>
          </w:p>
        </w:tc>
      </w:tr>
      <w:tr w:rsidR="00CA4693" w:rsidRPr="00465996" w14:paraId="46201CEA" w14:textId="77777777" w:rsidTr="00431DCD">
        <w:trPr>
          <w:trHeight w:val="480"/>
          <w:jc w:val="center"/>
        </w:trPr>
        <w:tc>
          <w:tcPr>
            <w:tcW w:w="2586" w:type="dxa"/>
            <w:noWrap/>
            <w:hideMark/>
          </w:tcPr>
          <w:p w14:paraId="5FF25EEA" w14:textId="76DF7B2F" w:rsidR="00CA4693" w:rsidRPr="00465996" w:rsidRDefault="00CA4693" w:rsidP="00CA4693">
            <w:pPr>
              <w:suppressLineNumbers/>
              <w:suppressAutoHyphens/>
              <w:spacing w:after="200" w:line="276" w:lineRule="auto"/>
              <w:rPr>
                <w:snapToGrid w:val="0"/>
                <w:kern w:val="22"/>
                <w:sz w:val="22"/>
                <w:szCs w:val="22"/>
                <w:lang w:val="fr-FR"/>
              </w:rPr>
            </w:pPr>
            <w:r w:rsidRPr="00465996">
              <w:rPr>
                <w:snapToGrid w:val="0"/>
                <w:kern w:val="22"/>
                <w:sz w:val="22"/>
                <w:szCs w:val="22"/>
                <w:lang w:val="fr-FR"/>
              </w:rPr>
              <w:t>CBD/SBI/3/13</w:t>
            </w:r>
          </w:p>
        </w:tc>
        <w:tc>
          <w:tcPr>
            <w:tcW w:w="5940" w:type="dxa"/>
          </w:tcPr>
          <w:p w14:paraId="7030266C" w14:textId="3EC934C4"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Intégration de la biodiversité dans les secteurs et entre eux</w:t>
            </w:r>
            <w:r w:rsidR="00260247">
              <w:rPr>
                <w:snapToGrid w:val="0"/>
                <w:kern w:val="22"/>
                <w:sz w:val="22"/>
                <w:szCs w:val="22"/>
                <w:lang w:val="fr-FR"/>
              </w:rPr>
              <w:t>, et autres mesures stratégiques pour améliorer la mise en œuvre – approche à long terme de l’intégration</w:t>
            </w:r>
          </w:p>
        </w:tc>
        <w:tc>
          <w:tcPr>
            <w:tcW w:w="1121" w:type="dxa"/>
          </w:tcPr>
          <w:p w14:paraId="023F0143" w14:textId="4DE6ED14"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11</w:t>
            </w:r>
          </w:p>
        </w:tc>
      </w:tr>
      <w:tr w:rsidR="00C26BE3" w:rsidRPr="00465996" w14:paraId="7EA3EAA2" w14:textId="77777777" w:rsidTr="00431DCD">
        <w:trPr>
          <w:trHeight w:val="480"/>
          <w:jc w:val="center"/>
        </w:trPr>
        <w:tc>
          <w:tcPr>
            <w:tcW w:w="2586" w:type="dxa"/>
            <w:noWrap/>
          </w:tcPr>
          <w:p w14:paraId="07226D78" w14:textId="03239169" w:rsidR="00C26BE3" w:rsidRPr="00465996" w:rsidRDefault="00C26BE3" w:rsidP="00CA4693">
            <w:pPr>
              <w:suppressLineNumbers/>
              <w:suppressAutoHyphens/>
              <w:spacing w:after="200" w:line="276" w:lineRule="auto"/>
              <w:rPr>
                <w:snapToGrid w:val="0"/>
                <w:kern w:val="22"/>
                <w:sz w:val="22"/>
                <w:szCs w:val="22"/>
                <w:lang w:val="fr-FR"/>
              </w:rPr>
            </w:pPr>
            <w:r w:rsidRPr="00465996">
              <w:rPr>
                <w:snapToGrid w:val="0"/>
                <w:kern w:val="22"/>
                <w:sz w:val="22"/>
                <w:szCs w:val="22"/>
                <w:lang w:val="fr-FR"/>
              </w:rPr>
              <w:t>CBD/SBI/3/13</w:t>
            </w:r>
            <w:r>
              <w:rPr>
                <w:snapToGrid w:val="0"/>
                <w:kern w:val="22"/>
                <w:sz w:val="22"/>
                <w:szCs w:val="22"/>
                <w:lang w:val="fr-FR"/>
              </w:rPr>
              <w:t>/Add.1</w:t>
            </w:r>
          </w:p>
        </w:tc>
        <w:tc>
          <w:tcPr>
            <w:tcW w:w="5940" w:type="dxa"/>
          </w:tcPr>
          <w:p w14:paraId="4ECE54A8" w14:textId="3747E7B2" w:rsidR="00C26BE3" w:rsidRDefault="00595031" w:rsidP="00CA4693">
            <w:pPr>
              <w:suppressLineNumbers/>
              <w:suppressAutoHyphens/>
              <w:spacing w:after="60"/>
              <w:rPr>
                <w:snapToGrid w:val="0"/>
                <w:kern w:val="22"/>
                <w:sz w:val="22"/>
                <w:szCs w:val="22"/>
                <w:lang w:val="fr-FR"/>
              </w:rPr>
            </w:pPr>
            <w:r>
              <w:rPr>
                <w:snapToGrid w:val="0"/>
                <w:kern w:val="22"/>
                <w:sz w:val="22"/>
                <w:szCs w:val="22"/>
                <w:lang w:val="fr-FR"/>
              </w:rPr>
              <w:t>Intégration de la biodiversité dans les secteurs et entre eux, et autres mesures stratégiques pour améliorer la mise en œuvre –</w:t>
            </w:r>
            <w:r w:rsidR="00106312">
              <w:rPr>
                <w:snapToGrid w:val="0"/>
                <w:kern w:val="22"/>
                <w:sz w:val="22"/>
                <w:szCs w:val="22"/>
                <w:lang w:val="fr-FR"/>
              </w:rPr>
              <w:t>Plan d’action pour une approche à long terme de l’intégration</w:t>
            </w:r>
          </w:p>
        </w:tc>
        <w:tc>
          <w:tcPr>
            <w:tcW w:w="1121" w:type="dxa"/>
          </w:tcPr>
          <w:p w14:paraId="5C92967C" w14:textId="199A5632" w:rsidR="00C26BE3" w:rsidRPr="00465996"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11</w:t>
            </w:r>
          </w:p>
        </w:tc>
      </w:tr>
      <w:tr w:rsidR="00CA4693" w:rsidRPr="00465996" w14:paraId="04908BB4" w14:textId="77777777" w:rsidTr="00431DCD">
        <w:trPr>
          <w:trHeight w:val="480"/>
          <w:jc w:val="center"/>
        </w:trPr>
        <w:tc>
          <w:tcPr>
            <w:tcW w:w="2586" w:type="dxa"/>
            <w:noWrap/>
            <w:hideMark/>
          </w:tcPr>
          <w:p w14:paraId="0787C420" w14:textId="421BCB1E"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CBD/SBI/3/14</w:t>
            </w:r>
          </w:p>
        </w:tc>
        <w:tc>
          <w:tcPr>
            <w:tcW w:w="5940" w:type="dxa"/>
          </w:tcPr>
          <w:p w14:paraId="7E7BC142" w14:textId="0B6AD942"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Instruments internationaux spécialisés en matière d’accès et de partage des avantages dans le contexte du paragraphe 4 de l’article 4 du Protocole de Nagoya</w:t>
            </w:r>
          </w:p>
        </w:tc>
        <w:tc>
          <w:tcPr>
            <w:tcW w:w="1121" w:type="dxa"/>
          </w:tcPr>
          <w:p w14:paraId="6CB205AC" w14:textId="27ADB845"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12</w:t>
            </w:r>
          </w:p>
        </w:tc>
      </w:tr>
      <w:tr w:rsidR="00CA4693" w:rsidRPr="00465996" w14:paraId="342DAA8D" w14:textId="77777777" w:rsidTr="00431DCD">
        <w:trPr>
          <w:trHeight w:val="480"/>
          <w:jc w:val="center"/>
        </w:trPr>
        <w:tc>
          <w:tcPr>
            <w:tcW w:w="2586" w:type="dxa"/>
            <w:noWrap/>
            <w:hideMark/>
          </w:tcPr>
          <w:p w14:paraId="384C2161" w14:textId="62E759F9" w:rsidR="00CA4693" w:rsidRPr="00465996" w:rsidRDefault="00CA4693" w:rsidP="00CA4693">
            <w:pPr>
              <w:suppressLineNumbers/>
              <w:suppressAutoHyphens/>
              <w:spacing w:after="60"/>
              <w:rPr>
                <w:snapToGrid w:val="0"/>
                <w:kern w:val="22"/>
                <w:sz w:val="22"/>
                <w:szCs w:val="22"/>
                <w:lang w:val="fr-FR"/>
              </w:rPr>
            </w:pPr>
            <w:r w:rsidRPr="00465996">
              <w:rPr>
                <w:snapToGrid w:val="0"/>
                <w:kern w:val="22"/>
                <w:sz w:val="22"/>
                <w:szCs w:val="22"/>
                <w:lang w:val="fr-FR"/>
              </w:rPr>
              <w:t>CBD/SBI/3/15</w:t>
            </w:r>
          </w:p>
        </w:tc>
        <w:tc>
          <w:tcPr>
            <w:tcW w:w="5940" w:type="dxa"/>
          </w:tcPr>
          <w:p w14:paraId="5BA9476D" w14:textId="77109DAC" w:rsidR="00CA4693" w:rsidRPr="00465996" w:rsidRDefault="00CA4693" w:rsidP="00CA4693">
            <w:pPr>
              <w:suppressLineNumbers/>
              <w:suppressAutoHyphens/>
              <w:spacing w:after="60"/>
              <w:rPr>
                <w:snapToGrid w:val="0"/>
                <w:kern w:val="22"/>
                <w:sz w:val="22"/>
                <w:szCs w:val="22"/>
                <w:lang w:val="fr-FR"/>
              </w:rPr>
            </w:pPr>
            <w:r>
              <w:rPr>
                <w:snapToGrid w:val="0"/>
                <w:kern w:val="22"/>
                <w:sz w:val="22"/>
                <w:szCs w:val="22"/>
                <w:lang w:val="fr-FR"/>
              </w:rPr>
              <w:t>Mécanisme multilatéral mondial de partage des avantages</w:t>
            </w:r>
            <w:r w:rsidRPr="00465996">
              <w:rPr>
                <w:snapToGrid w:val="0"/>
                <w:kern w:val="22"/>
                <w:sz w:val="22"/>
                <w:szCs w:val="22"/>
                <w:lang w:val="fr-FR"/>
              </w:rPr>
              <w:t xml:space="preserve"> (</w:t>
            </w:r>
            <w:r>
              <w:rPr>
                <w:snapToGrid w:val="0"/>
                <w:kern w:val="22"/>
                <w:sz w:val="22"/>
                <w:szCs w:val="22"/>
                <w:lang w:val="fr-FR"/>
              </w:rPr>
              <w:t>a</w:t>
            </w:r>
            <w:r w:rsidRPr="00465996">
              <w:rPr>
                <w:snapToGrid w:val="0"/>
                <w:kern w:val="22"/>
                <w:sz w:val="22"/>
                <w:szCs w:val="22"/>
                <w:lang w:val="fr-FR"/>
              </w:rPr>
              <w:t xml:space="preserve">rticle 10 </w:t>
            </w:r>
            <w:r>
              <w:rPr>
                <w:snapToGrid w:val="0"/>
                <w:kern w:val="22"/>
                <w:sz w:val="22"/>
                <w:szCs w:val="22"/>
                <w:lang w:val="fr-FR"/>
              </w:rPr>
              <w:t>du Protocole de Nagoya</w:t>
            </w:r>
            <w:r w:rsidRPr="00465996">
              <w:rPr>
                <w:snapToGrid w:val="0"/>
                <w:kern w:val="22"/>
                <w:sz w:val="22"/>
                <w:szCs w:val="22"/>
                <w:lang w:val="fr-FR"/>
              </w:rPr>
              <w:t>)</w:t>
            </w:r>
          </w:p>
        </w:tc>
        <w:tc>
          <w:tcPr>
            <w:tcW w:w="1121" w:type="dxa"/>
          </w:tcPr>
          <w:p w14:paraId="0825FB7D" w14:textId="10648736" w:rsidR="00CA4693" w:rsidRPr="00465996" w:rsidRDefault="00CA4693" w:rsidP="00CA4693">
            <w:pPr>
              <w:suppressLineNumbers/>
              <w:suppressAutoHyphens/>
              <w:spacing w:after="60"/>
              <w:jc w:val="center"/>
              <w:rPr>
                <w:snapToGrid w:val="0"/>
                <w:kern w:val="22"/>
                <w:sz w:val="22"/>
                <w:szCs w:val="22"/>
                <w:lang w:val="fr-FR"/>
              </w:rPr>
            </w:pPr>
            <w:r w:rsidRPr="00465996">
              <w:rPr>
                <w:snapToGrid w:val="0"/>
                <w:kern w:val="22"/>
                <w:sz w:val="22"/>
                <w:szCs w:val="22"/>
                <w:lang w:val="fr-FR"/>
              </w:rPr>
              <w:t>13</w:t>
            </w:r>
          </w:p>
        </w:tc>
      </w:tr>
      <w:tr w:rsidR="00CA4693" w:rsidRPr="00465996" w14:paraId="6A26B762" w14:textId="77777777" w:rsidTr="00431DCD">
        <w:trPr>
          <w:trHeight w:val="347"/>
          <w:jc w:val="center"/>
        </w:trPr>
        <w:tc>
          <w:tcPr>
            <w:tcW w:w="2586" w:type="dxa"/>
            <w:noWrap/>
            <w:hideMark/>
          </w:tcPr>
          <w:p w14:paraId="56F4A948" w14:textId="4A93D085" w:rsidR="00CA4693" w:rsidRPr="00465996" w:rsidRDefault="00CA4693" w:rsidP="00CA4693">
            <w:pPr>
              <w:suppressLineNumbers/>
              <w:tabs>
                <w:tab w:val="left" w:pos="2205"/>
              </w:tabs>
              <w:suppressAutoHyphens/>
              <w:spacing w:after="200" w:line="276" w:lineRule="auto"/>
              <w:rPr>
                <w:snapToGrid w:val="0"/>
                <w:kern w:val="22"/>
                <w:sz w:val="22"/>
                <w:szCs w:val="22"/>
                <w:lang w:val="fr-FR"/>
              </w:rPr>
            </w:pPr>
            <w:r w:rsidRPr="00465996">
              <w:rPr>
                <w:snapToGrid w:val="0"/>
                <w:kern w:val="22"/>
                <w:sz w:val="22"/>
                <w:szCs w:val="22"/>
                <w:lang w:val="fr-FR"/>
              </w:rPr>
              <w:t>CBD/SBI/3/16</w:t>
            </w:r>
          </w:p>
        </w:tc>
        <w:tc>
          <w:tcPr>
            <w:tcW w:w="5940" w:type="dxa"/>
          </w:tcPr>
          <w:p w14:paraId="030F02A1" w14:textId="47C16F1F" w:rsidR="00CA4693" w:rsidRPr="00465996" w:rsidRDefault="00595031" w:rsidP="00CA4693">
            <w:pPr>
              <w:suppressLineNumbers/>
              <w:suppressAutoHyphens/>
              <w:spacing w:after="60"/>
              <w:rPr>
                <w:snapToGrid w:val="0"/>
                <w:kern w:val="22"/>
                <w:sz w:val="22"/>
                <w:szCs w:val="22"/>
                <w:lang w:val="fr-FR"/>
              </w:rPr>
            </w:pPr>
            <w:r>
              <w:rPr>
                <w:snapToGrid w:val="0"/>
                <w:kern w:val="22"/>
                <w:sz w:val="22"/>
                <w:szCs w:val="22"/>
                <w:lang w:val="fr-FR"/>
              </w:rPr>
              <w:t>Évaluation du cadre stratégique sur le renforcement des capacités à l’appui de l’application du Protocole de Nagoya</w:t>
            </w:r>
          </w:p>
        </w:tc>
        <w:tc>
          <w:tcPr>
            <w:tcW w:w="1121" w:type="dxa"/>
          </w:tcPr>
          <w:p w14:paraId="71E49B4C" w14:textId="22E7CCF0" w:rsidR="00CA4693" w:rsidRPr="00465996" w:rsidRDefault="00CA4693" w:rsidP="00CA4693">
            <w:pPr>
              <w:suppressLineNumbers/>
              <w:suppressAutoHyphens/>
              <w:spacing w:after="60"/>
              <w:jc w:val="center"/>
              <w:rPr>
                <w:snapToGrid w:val="0"/>
                <w:kern w:val="22"/>
                <w:sz w:val="22"/>
                <w:szCs w:val="22"/>
                <w:lang w:val="fr-FR"/>
              </w:rPr>
            </w:pPr>
            <w:r>
              <w:rPr>
                <w:snapToGrid w:val="0"/>
                <w:kern w:val="22"/>
                <w:sz w:val="22"/>
                <w:szCs w:val="22"/>
                <w:lang w:val="fr-FR"/>
              </w:rPr>
              <w:t xml:space="preserve"> </w:t>
            </w:r>
            <w:r w:rsidR="00106312">
              <w:rPr>
                <w:snapToGrid w:val="0"/>
                <w:kern w:val="22"/>
                <w:sz w:val="22"/>
                <w:szCs w:val="22"/>
                <w:lang w:val="fr-FR"/>
              </w:rPr>
              <w:t>7</w:t>
            </w:r>
          </w:p>
        </w:tc>
      </w:tr>
      <w:tr w:rsidR="00106312" w:rsidRPr="003A65E7" w14:paraId="4793EF97" w14:textId="77777777" w:rsidTr="00431DCD">
        <w:trPr>
          <w:trHeight w:val="347"/>
          <w:jc w:val="center"/>
        </w:trPr>
        <w:tc>
          <w:tcPr>
            <w:tcW w:w="2586" w:type="dxa"/>
            <w:noWrap/>
          </w:tcPr>
          <w:p w14:paraId="01EB093F" w14:textId="145A0E9D" w:rsidR="00106312" w:rsidRPr="00465996" w:rsidRDefault="00106312" w:rsidP="00CA4693">
            <w:pPr>
              <w:suppressLineNumbers/>
              <w:tabs>
                <w:tab w:val="left" w:pos="2205"/>
              </w:tabs>
              <w:suppressAutoHyphens/>
              <w:spacing w:after="200" w:line="276" w:lineRule="auto"/>
              <w:rPr>
                <w:snapToGrid w:val="0"/>
                <w:kern w:val="22"/>
                <w:sz w:val="22"/>
                <w:szCs w:val="22"/>
                <w:lang w:val="fr-FR"/>
              </w:rPr>
            </w:pPr>
            <w:r w:rsidRPr="00465996">
              <w:rPr>
                <w:snapToGrid w:val="0"/>
                <w:kern w:val="22"/>
                <w:sz w:val="22"/>
                <w:szCs w:val="22"/>
                <w:lang w:val="fr-FR"/>
              </w:rPr>
              <w:t>CBD/SBI/3/1</w:t>
            </w:r>
            <w:r>
              <w:rPr>
                <w:snapToGrid w:val="0"/>
                <w:kern w:val="22"/>
                <w:sz w:val="22"/>
                <w:szCs w:val="22"/>
                <w:lang w:val="fr-FR"/>
              </w:rPr>
              <w:t>7</w:t>
            </w:r>
          </w:p>
        </w:tc>
        <w:tc>
          <w:tcPr>
            <w:tcW w:w="5940" w:type="dxa"/>
          </w:tcPr>
          <w:p w14:paraId="30CE73DB" w14:textId="590DED33" w:rsidR="00106312" w:rsidRDefault="00106312" w:rsidP="00CA4693">
            <w:pPr>
              <w:suppressLineNumbers/>
              <w:suppressAutoHyphens/>
              <w:spacing w:after="60"/>
              <w:rPr>
                <w:snapToGrid w:val="0"/>
                <w:kern w:val="22"/>
                <w:sz w:val="22"/>
                <w:szCs w:val="22"/>
                <w:lang w:val="fr-FR"/>
              </w:rPr>
            </w:pPr>
            <w:r>
              <w:rPr>
                <w:snapToGrid w:val="0"/>
                <w:kern w:val="22"/>
                <w:sz w:val="22"/>
                <w:szCs w:val="22"/>
                <w:lang w:val="fr-FR"/>
              </w:rPr>
              <w:t>Tendances d</w:t>
            </w:r>
            <w:r w:rsidR="00283853">
              <w:rPr>
                <w:snapToGrid w:val="0"/>
                <w:kern w:val="22"/>
                <w:sz w:val="22"/>
                <w:szCs w:val="22"/>
                <w:lang w:val="fr-FR"/>
              </w:rPr>
              <w:t>es</w:t>
            </w:r>
            <w:r>
              <w:rPr>
                <w:snapToGrid w:val="0"/>
                <w:kern w:val="22"/>
                <w:sz w:val="22"/>
                <w:szCs w:val="22"/>
                <w:lang w:val="fr-FR"/>
              </w:rPr>
              <w:t xml:space="preserve"> budgets de la Convention et de ses protocoles</w:t>
            </w:r>
          </w:p>
        </w:tc>
        <w:tc>
          <w:tcPr>
            <w:tcW w:w="1121" w:type="dxa"/>
          </w:tcPr>
          <w:p w14:paraId="7B3F545A" w14:textId="7FC2C4FE" w:rsidR="00106312" w:rsidRDefault="00106312" w:rsidP="00CA4693">
            <w:pPr>
              <w:suppressLineNumbers/>
              <w:suppressAutoHyphens/>
              <w:spacing w:after="60"/>
              <w:jc w:val="center"/>
              <w:rPr>
                <w:snapToGrid w:val="0"/>
                <w:kern w:val="22"/>
                <w:sz w:val="22"/>
                <w:szCs w:val="22"/>
                <w:lang w:val="fr-FR"/>
              </w:rPr>
            </w:pPr>
          </w:p>
        </w:tc>
      </w:tr>
      <w:tr w:rsidR="00106312" w:rsidRPr="00465996" w14:paraId="7682813D" w14:textId="77777777" w:rsidTr="00431DCD">
        <w:trPr>
          <w:trHeight w:val="347"/>
          <w:jc w:val="center"/>
        </w:trPr>
        <w:tc>
          <w:tcPr>
            <w:tcW w:w="2586" w:type="dxa"/>
            <w:noWrap/>
          </w:tcPr>
          <w:p w14:paraId="41233E4F" w14:textId="445D3BD1" w:rsidR="00106312" w:rsidRPr="00465996" w:rsidRDefault="00106312" w:rsidP="00CA4693">
            <w:pPr>
              <w:suppressLineNumbers/>
              <w:tabs>
                <w:tab w:val="left" w:pos="2205"/>
              </w:tabs>
              <w:suppressAutoHyphens/>
              <w:spacing w:after="200" w:line="276" w:lineRule="auto"/>
              <w:rPr>
                <w:snapToGrid w:val="0"/>
                <w:kern w:val="22"/>
                <w:sz w:val="22"/>
                <w:szCs w:val="22"/>
                <w:lang w:val="fr-FR"/>
              </w:rPr>
            </w:pPr>
            <w:r w:rsidRPr="00465996">
              <w:rPr>
                <w:snapToGrid w:val="0"/>
                <w:kern w:val="22"/>
                <w:sz w:val="22"/>
                <w:szCs w:val="22"/>
                <w:lang w:val="fr-FR"/>
              </w:rPr>
              <w:t>CBD/SBI/3/1</w:t>
            </w:r>
            <w:r>
              <w:rPr>
                <w:snapToGrid w:val="0"/>
                <w:kern w:val="22"/>
                <w:sz w:val="22"/>
                <w:szCs w:val="22"/>
                <w:lang w:val="fr-FR"/>
              </w:rPr>
              <w:t>8</w:t>
            </w:r>
          </w:p>
        </w:tc>
        <w:tc>
          <w:tcPr>
            <w:tcW w:w="5940" w:type="dxa"/>
          </w:tcPr>
          <w:p w14:paraId="001A326C" w14:textId="57E9397D" w:rsidR="00106312" w:rsidRDefault="00106312" w:rsidP="00CA4693">
            <w:pPr>
              <w:suppressLineNumbers/>
              <w:suppressAutoHyphens/>
              <w:spacing w:after="60"/>
              <w:rPr>
                <w:snapToGrid w:val="0"/>
                <w:kern w:val="22"/>
                <w:sz w:val="22"/>
                <w:szCs w:val="22"/>
                <w:lang w:val="fr-FR"/>
              </w:rPr>
            </w:pPr>
            <w:r>
              <w:rPr>
                <w:snapToGrid w:val="0"/>
                <w:kern w:val="22"/>
                <w:sz w:val="22"/>
                <w:szCs w:val="22"/>
                <w:lang w:val="fr-FR"/>
              </w:rPr>
              <w:t xml:space="preserve">Projet de plan d’application du Protocole de Cartagena et </w:t>
            </w:r>
            <w:r w:rsidR="00792B98">
              <w:rPr>
                <w:snapToGrid w:val="0"/>
                <w:kern w:val="22"/>
                <w:sz w:val="22"/>
                <w:szCs w:val="22"/>
                <w:lang w:val="fr-FR"/>
              </w:rPr>
              <w:t>plan d’action pour le renforcement des capacités (2021-2030)</w:t>
            </w:r>
          </w:p>
        </w:tc>
        <w:tc>
          <w:tcPr>
            <w:tcW w:w="1121" w:type="dxa"/>
          </w:tcPr>
          <w:p w14:paraId="080D04EC" w14:textId="1046C48A" w:rsidR="00106312" w:rsidRDefault="00106312" w:rsidP="00CA4693">
            <w:pPr>
              <w:suppressLineNumbers/>
              <w:suppressAutoHyphens/>
              <w:spacing w:after="60"/>
              <w:jc w:val="center"/>
              <w:rPr>
                <w:snapToGrid w:val="0"/>
                <w:kern w:val="22"/>
                <w:sz w:val="22"/>
                <w:szCs w:val="22"/>
                <w:lang w:val="fr-FR"/>
              </w:rPr>
            </w:pPr>
            <w:r>
              <w:rPr>
                <w:snapToGrid w:val="0"/>
                <w:kern w:val="22"/>
                <w:sz w:val="22"/>
                <w:szCs w:val="22"/>
                <w:lang w:val="fr-FR"/>
              </w:rPr>
              <w:t>5</w:t>
            </w:r>
          </w:p>
        </w:tc>
      </w:tr>
    </w:tbl>
    <w:p w14:paraId="3AFD761E" w14:textId="7774F112" w:rsidR="00AE7A38" w:rsidRPr="00465996" w:rsidRDefault="00AE7A38" w:rsidP="00ED543F">
      <w:pPr>
        <w:pStyle w:val="Para1"/>
        <w:suppressLineNumbers/>
        <w:suppressAutoHyphens/>
        <w:spacing w:before="120"/>
        <w:jc w:val="center"/>
        <w:rPr>
          <w:kern w:val="22"/>
          <w:sz w:val="22"/>
          <w:szCs w:val="22"/>
          <w:lang w:val="fr-FR"/>
        </w:rPr>
      </w:pPr>
      <w:r w:rsidRPr="00465996">
        <w:rPr>
          <w:kern w:val="22"/>
          <w:sz w:val="22"/>
          <w:szCs w:val="22"/>
          <w:lang w:val="fr-FR"/>
        </w:rPr>
        <w:t>________</w:t>
      </w:r>
      <w:r w:rsidR="007A31F6" w:rsidRPr="00465996">
        <w:rPr>
          <w:kern w:val="22"/>
          <w:sz w:val="22"/>
          <w:szCs w:val="22"/>
          <w:lang w:val="fr-FR"/>
        </w:rPr>
        <w:t>__</w:t>
      </w:r>
    </w:p>
    <w:sectPr w:rsidR="00AE7A38" w:rsidRPr="00465996" w:rsidSect="001B7FE3">
      <w:headerReference w:type="even" r:id="rId57"/>
      <w:headerReference w:type="default" r:id="rId58"/>
      <w:footerReference w:type="even" r:id="rId59"/>
      <w:footerReference w:type="first" r:id="rId60"/>
      <w:type w:val="continuous"/>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F9CA6" w14:textId="77777777" w:rsidR="001C2F28" w:rsidRDefault="001C2F28">
      <w:r>
        <w:separator/>
      </w:r>
    </w:p>
  </w:endnote>
  <w:endnote w:type="continuationSeparator" w:id="0">
    <w:p w14:paraId="7703BCF5" w14:textId="77777777" w:rsidR="001C2F28" w:rsidRDefault="001C2F28">
      <w:r>
        <w:continuationSeparator/>
      </w:r>
    </w:p>
  </w:endnote>
  <w:endnote w:type="continuationNotice" w:id="1">
    <w:p w14:paraId="53F4E66A" w14:textId="77777777" w:rsidR="001C2F28" w:rsidRDefault="001C2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14F17" w14:textId="77777777" w:rsidR="00D87E38" w:rsidRDefault="00D87E38" w:rsidP="006F4060">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8732" w14:textId="77777777" w:rsidR="00D87E38" w:rsidRPr="009F11A4" w:rsidRDefault="00D87E38" w:rsidP="009F11A4">
    <w:pPr>
      <w:pStyle w:val="Footer"/>
      <w:tabs>
        <w:tab w:val="clear" w:pos="4320"/>
        <w:tab w:val="clear" w:pos="8640"/>
      </w:tabs>
      <w:jc w:val="center"/>
      <w:rPr>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B6CD6" w14:textId="77777777" w:rsidR="001C2F28" w:rsidRDefault="001C2F28">
      <w:r>
        <w:separator/>
      </w:r>
    </w:p>
  </w:footnote>
  <w:footnote w:type="continuationSeparator" w:id="0">
    <w:p w14:paraId="3CED818A" w14:textId="77777777" w:rsidR="001C2F28" w:rsidRDefault="001C2F28">
      <w:r>
        <w:continuationSeparator/>
      </w:r>
    </w:p>
  </w:footnote>
  <w:footnote w:type="continuationNotice" w:id="1">
    <w:p w14:paraId="5FED616F" w14:textId="77777777" w:rsidR="001C2F28" w:rsidRDefault="001C2F28"/>
  </w:footnote>
  <w:footnote w:id="2">
    <w:p w14:paraId="35D48E7E" w14:textId="33528D60" w:rsidR="00D87E38" w:rsidRPr="00B015B5" w:rsidRDefault="00D87E38" w:rsidP="00406F30">
      <w:pPr>
        <w:pStyle w:val="FootnoteText"/>
        <w:ind w:firstLine="0"/>
        <w:rPr>
          <w:lang w:val="fr-FR"/>
        </w:rPr>
      </w:pPr>
      <w:r w:rsidRPr="00B015B5">
        <w:rPr>
          <w:rStyle w:val="FootnoteReference"/>
          <w:u w:val="none"/>
          <w:lang w:val="fr-FR"/>
        </w:rPr>
        <w:t>*</w:t>
      </w:r>
      <w:r w:rsidRPr="00B015B5">
        <w:rPr>
          <w:lang w:val="fr-FR"/>
        </w:rPr>
        <w:t xml:space="preserve"> CBD/SBI/3/1.</w:t>
      </w:r>
    </w:p>
  </w:footnote>
  <w:footnote w:id="3">
    <w:p w14:paraId="32086C51" w14:textId="54316231" w:rsidR="00D87E38" w:rsidRPr="00831249" w:rsidRDefault="00D87E38" w:rsidP="003715E5">
      <w:pPr>
        <w:pStyle w:val="FootnoteText"/>
        <w:ind w:firstLine="0"/>
        <w:rPr>
          <w:lang w:val="fr-FR"/>
        </w:rPr>
      </w:pPr>
      <w:r w:rsidRPr="00831249">
        <w:rPr>
          <w:rStyle w:val="FootnoteReference"/>
          <w:u w:val="none"/>
          <w:vertAlign w:val="superscript"/>
          <w:lang w:val="fr-FR"/>
        </w:rPr>
        <w:footnoteRef/>
      </w:r>
      <w:r w:rsidRPr="00831249">
        <w:rPr>
          <w:lang w:val="fr-FR"/>
        </w:rPr>
        <w:t xml:space="preserve"> </w:t>
      </w:r>
      <w:r>
        <w:rPr>
          <w:lang w:val="fr-FR"/>
        </w:rPr>
        <w:t>« </w:t>
      </w:r>
      <w:r w:rsidRPr="00831249">
        <w:rPr>
          <w:lang w:val="fr-FR"/>
        </w:rPr>
        <w:t xml:space="preserve">Étude sur </w:t>
      </w:r>
      <w:r w:rsidRPr="00831249">
        <w:rPr>
          <w:kern w:val="22"/>
          <w:szCs w:val="18"/>
          <w:lang w:val="fr-FR"/>
        </w:rPr>
        <w:t xml:space="preserve">des critères pour </w:t>
      </w:r>
      <w:r>
        <w:rPr>
          <w:kern w:val="22"/>
          <w:szCs w:val="18"/>
          <w:lang w:val="fr-FR"/>
        </w:rPr>
        <w:t>la reconnaissance</w:t>
      </w:r>
      <w:r w:rsidRPr="00831249">
        <w:rPr>
          <w:kern w:val="22"/>
          <w:szCs w:val="18"/>
          <w:lang w:val="fr-FR"/>
        </w:rPr>
        <w:t xml:space="preserve"> des instruments internationaux spécialisés </w:t>
      </w:r>
      <w:r>
        <w:rPr>
          <w:kern w:val="22"/>
          <w:szCs w:val="18"/>
          <w:lang w:val="fr-FR"/>
        </w:rPr>
        <w:t>en matière d’</w:t>
      </w:r>
      <w:r w:rsidRPr="00831249">
        <w:rPr>
          <w:kern w:val="22"/>
          <w:szCs w:val="18"/>
          <w:lang w:val="fr-FR"/>
        </w:rPr>
        <w:t xml:space="preserve">accès et </w:t>
      </w:r>
      <w:r>
        <w:rPr>
          <w:kern w:val="22"/>
          <w:szCs w:val="18"/>
          <w:lang w:val="fr-FR"/>
        </w:rPr>
        <w:t>d</w:t>
      </w:r>
      <w:r w:rsidRPr="00831249">
        <w:rPr>
          <w:kern w:val="22"/>
          <w:szCs w:val="18"/>
          <w:lang w:val="fr-FR"/>
        </w:rPr>
        <w:t>e partage des avantages</w:t>
      </w:r>
      <w:r>
        <w:rPr>
          <w:kern w:val="22"/>
          <w:szCs w:val="18"/>
          <w:lang w:val="fr-FR"/>
        </w:rPr>
        <w:t xml:space="preserve"> et processus éventuel pour leur reconnaissance</w:t>
      </w:r>
      <w:r>
        <w:rPr>
          <w:lang w:val="fr-FR"/>
        </w:rPr>
        <w:t> »</w:t>
      </w:r>
      <w:r w:rsidRPr="00831249">
        <w:rPr>
          <w:lang w:val="fr-FR"/>
        </w:rPr>
        <w:t xml:space="preserve"> (CBD/SBI/2/INF/17).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C648" w14:textId="046D0E27" w:rsidR="00D87E38" w:rsidRPr="00ED543F" w:rsidRDefault="00D87E38" w:rsidP="00ED543F">
    <w:pPr>
      <w:pStyle w:val="Header"/>
      <w:keepLines/>
      <w:suppressLineNumbers/>
      <w:tabs>
        <w:tab w:val="clear" w:pos="4320"/>
        <w:tab w:val="clear" w:pos="8640"/>
      </w:tabs>
      <w:suppressAutoHyphens/>
      <w:rPr>
        <w:noProof/>
        <w:kern w:val="22"/>
        <w:sz w:val="22"/>
        <w:szCs w:val="22"/>
        <w:lang w:val="en-GB"/>
      </w:rPr>
    </w:pPr>
    <w:r w:rsidRPr="00ED543F">
      <w:rPr>
        <w:noProof/>
        <w:kern w:val="22"/>
        <w:sz w:val="22"/>
        <w:szCs w:val="22"/>
        <w:lang w:val="en-GB"/>
      </w:rPr>
      <w:t>CBD/SBI/3/1/Add.1</w:t>
    </w:r>
    <w:r>
      <w:rPr>
        <w:noProof/>
        <w:kern w:val="22"/>
        <w:sz w:val="22"/>
        <w:szCs w:val="22"/>
        <w:lang w:val="en-GB"/>
      </w:rPr>
      <w:t>/Rev.</w:t>
    </w:r>
    <w:r w:rsidR="00720824">
      <w:rPr>
        <w:noProof/>
        <w:kern w:val="22"/>
        <w:sz w:val="22"/>
        <w:szCs w:val="22"/>
        <w:lang w:val="en-GB"/>
      </w:rPr>
      <w:t>2</w:t>
    </w:r>
  </w:p>
  <w:p w14:paraId="15BB9849" w14:textId="5C5142D0" w:rsidR="00D87E38" w:rsidRPr="00ED543F" w:rsidRDefault="00D87E38" w:rsidP="00ED543F">
    <w:pPr>
      <w:pStyle w:val="Header"/>
      <w:keepLines/>
      <w:suppressLineNumbers/>
      <w:tabs>
        <w:tab w:val="clear" w:pos="4320"/>
        <w:tab w:val="clear" w:pos="8640"/>
      </w:tabs>
      <w:suppressAutoHyphens/>
      <w:spacing w:after="240"/>
      <w:rPr>
        <w:noProof/>
        <w:kern w:val="22"/>
        <w:sz w:val="22"/>
        <w:szCs w:val="22"/>
        <w:lang w:val="en-GB"/>
      </w:rPr>
    </w:pPr>
    <w:r w:rsidRPr="00ED543F">
      <w:rPr>
        <w:noProof/>
        <w:kern w:val="22"/>
        <w:sz w:val="22"/>
        <w:szCs w:val="22"/>
        <w:lang w:val="en-GB"/>
      </w:rPr>
      <w:t xml:space="preserve">Page </w:t>
    </w:r>
    <w:r w:rsidRPr="00ED543F">
      <w:rPr>
        <w:bCs/>
        <w:noProof/>
        <w:kern w:val="22"/>
        <w:sz w:val="22"/>
        <w:szCs w:val="22"/>
        <w:lang w:val="en-GB"/>
      </w:rPr>
      <w:fldChar w:fldCharType="begin"/>
    </w:r>
    <w:r w:rsidRPr="00ED543F">
      <w:rPr>
        <w:bCs/>
        <w:noProof/>
        <w:kern w:val="22"/>
        <w:sz w:val="22"/>
        <w:szCs w:val="22"/>
        <w:lang w:val="en-GB"/>
      </w:rPr>
      <w:instrText xml:space="preserve"> PAGE </w:instrText>
    </w:r>
    <w:r w:rsidRPr="00ED543F">
      <w:rPr>
        <w:bCs/>
        <w:noProof/>
        <w:kern w:val="22"/>
        <w:sz w:val="22"/>
        <w:szCs w:val="22"/>
        <w:lang w:val="en-GB"/>
      </w:rPr>
      <w:fldChar w:fldCharType="separate"/>
    </w:r>
    <w:r w:rsidRPr="00ED543F">
      <w:rPr>
        <w:bCs/>
        <w:noProof/>
        <w:kern w:val="22"/>
        <w:sz w:val="22"/>
        <w:szCs w:val="22"/>
        <w:lang w:val="en-GB"/>
      </w:rPr>
      <w:t>6</w:t>
    </w:r>
    <w:r w:rsidRPr="00ED543F">
      <w:rPr>
        <w:bCs/>
        <w:noProof/>
        <w:kern w:val="22"/>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118EA" w14:textId="1FB69169" w:rsidR="00D87E38" w:rsidRPr="00ED543F" w:rsidRDefault="00D87E38" w:rsidP="00ED543F">
    <w:pPr>
      <w:pStyle w:val="Header"/>
      <w:keepLines/>
      <w:suppressLineNumbers/>
      <w:tabs>
        <w:tab w:val="clear" w:pos="4320"/>
        <w:tab w:val="clear" w:pos="8640"/>
      </w:tabs>
      <w:suppressAutoHyphens/>
      <w:jc w:val="right"/>
      <w:rPr>
        <w:noProof/>
        <w:kern w:val="22"/>
        <w:sz w:val="22"/>
        <w:szCs w:val="22"/>
      </w:rPr>
    </w:pPr>
    <w:r w:rsidRPr="00ED543F">
      <w:rPr>
        <w:noProof/>
        <w:kern w:val="22"/>
        <w:sz w:val="22"/>
        <w:szCs w:val="22"/>
      </w:rPr>
      <w:t>CBD/SBI/3/1/Add.1</w:t>
    </w:r>
    <w:r>
      <w:rPr>
        <w:noProof/>
        <w:kern w:val="22"/>
        <w:sz w:val="22"/>
        <w:szCs w:val="22"/>
      </w:rPr>
      <w:t>/Rev.</w:t>
    </w:r>
    <w:r w:rsidR="00720824">
      <w:rPr>
        <w:noProof/>
        <w:kern w:val="22"/>
        <w:sz w:val="22"/>
        <w:szCs w:val="22"/>
      </w:rPr>
      <w:t>2</w:t>
    </w:r>
  </w:p>
  <w:p w14:paraId="344C5F3B" w14:textId="347D0865" w:rsidR="00D87E38" w:rsidRPr="00ED543F" w:rsidRDefault="00D87E38" w:rsidP="00ED543F">
    <w:pPr>
      <w:pStyle w:val="Header"/>
      <w:keepLines/>
      <w:suppressLineNumbers/>
      <w:tabs>
        <w:tab w:val="clear" w:pos="4320"/>
        <w:tab w:val="clear" w:pos="8640"/>
      </w:tabs>
      <w:suppressAutoHyphens/>
      <w:spacing w:after="240"/>
      <w:jc w:val="right"/>
      <w:rPr>
        <w:noProof/>
        <w:kern w:val="22"/>
        <w:sz w:val="22"/>
        <w:szCs w:val="22"/>
      </w:rPr>
    </w:pPr>
    <w:r w:rsidRPr="00ED543F">
      <w:rPr>
        <w:noProof/>
        <w:kern w:val="22"/>
        <w:sz w:val="22"/>
        <w:szCs w:val="22"/>
      </w:rPr>
      <w:t xml:space="preserve">Page </w:t>
    </w:r>
    <w:r w:rsidRPr="00ED543F">
      <w:rPr>
        <w:bCs/>
        <w:noProof/>
        <w:kern w:val="22"/>
        <w:sz w:val="22"/>
        <w:szCs w:val="22"/>
      </w:rPr>
      <w:fldChar w:fldCharType="begin"/>
    </w:r>
    <w:r w:rsidRPr="00ED543F">
      <w:rPr>
        <w:bCs/>
        <w:noProof/>
        <w:kern w:val="22"/>
        <w:sz w:val="22"/>
        <w:szCs w:val="22"/>
      </w:rPr>
      <w:instrText xml:space="preserve"> PAGE </w:instrText>
    </w:r>
    <w:r w:rsidRPr="00ED543F">
      <w:rPr>
        <w:bCs/>
        <w:noProof/>
        <w:kern w:val="22"/>
        <w:sz w:val="22"/>
        <w:szCs w:val="22"/>
      </w:rPr>
      <w:fldChar w:fldCharType="separate"/>
    </w:r>
    <w:r w:rsidRPr="00ED543F">
      <w:rPr>
        <w:bCs/>
        <w:noProof/>
        <w:kern w:val="22"/>
        <w:sz w:val="22"/>
        <w:szCs w:val="22"/>
      </w:rPr>
      <w:t>7</w:t>
    </w:r>
    <w:r w:rsidRPr="00ED543F">
      <w:rPr>
        <w:bCs/>
        <w:noProof/>
        <w:kern w:val="22"/>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4EE46A3"/>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7744378F"/>
    <w:multiLevelType w:val="hybridMultilevel"/>
    <w:tmpl w:val="4B2A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num>
  <w:num w:numId="4">
    <w:abstractNumId w:val="0"/>
  </w:num>
  <w:num w:numId="5">
    <w:abstractNumId w:val="3"/>
  </w:num>
  <w:num w:numId="6">
    <w:abstractNumId w:val="13"/>
  </w:num>
  <w:num w:numId="7">
    <w:abstractNumId w:val="10"/>
  </w:num>
  <w:num w:numId="8">
    <w:abstractNumId w:val="4"/>
  </w:num>
  <w:num w:numId="9">
    <w:abstractNumId w:val="7"/>
  </w:num>
  <w:num w:numId="10">
    <w:abstractNumId w:val="5"/>
  </w:num>
  <w:num w:numId="11">
    <w:abstractNumId w:val="11"/>
  </w:num>
  <w:num w:numId="12">
    <w:abstractNumId w:val="1"/>
  </w:num>
  <w:num w:numId="13">
    <w:abstractNumId w:val="9"/>
  </w:num>
  <w:num w:numId="14">
    <w:abstractNumId w:val="12"/>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3238"/>
    <w:rsid w:val="0000395C"/>
    <w:rsid w:val="00005724"/>
    <w:rsid w:val="00005E4D"/>
    <w:rsid w:val="00006A12"/>
    <w:rsid w:val="0000752C"/>
    <w:rsid w:val="0001023E"/>
    <w:rsid w:val="000106DF"/>
    <w:rsid w:val="00011546"/>
    <w:rsid w:val="00011731"/>
    <w:rsid w:val="00011B60"/>
    <w:rsid w:val="00011D38"/>
    <w:rsid w:val="000130EE"/>
    <w:rsid w:val="000137DC"/>
    <w:rsid w:val="00013AFD"/>
    <w:rsid w:val="00013D92"/>
    <w:rsid w:val="000157BF"/>
    <w:rsid w:val="00015F50"/>
    <w:rsid w:val="00016316"/>
    <w:rsid w:val="000170BE"/>
    <w:rsid w:val="0001785A"/>
    <w:rsid w:val="00021A47"/>
    <w:rsid w:val="00022F52"/>
    <w:rsid w:val="00023270"/>
    <w:rsid w:val="00023D05"/>
    <w:rsid w:val="00024F21"/>
    <w:rsid w:val="00025298"/>
    <w:rsid w:val="0002569C"/>
    <w:rsid w:val="00025ECA"/>
    <w:rsid w:val="000261A5"/>
    <w:rsid w:val="00026D45"/>
    <w:rsid w:val="000270CE"/>
    <w:rsid w:val="00030AFA"/>
    <w:rsid w:val="00031D50"/>
    <w:rsid w:val="0003261C"/>
    <w:rsid w:val="00032DE7"/>
    <w:rsid w:val="000332D4"/>
    <w:rsid w:val="0003374F"/>
    <w:rsid w:val="00034856"/>
    <w:rsid w:val="00036EC8"/>
    <w:rsid w:val="0003703A"/>
    <w:rsid w:val="000379C5"/>
    <w:rsid w:val="00037B77"/>
    <w:rsid w:val="000403AC"/>
    <w:rsid w:val="00040D2C"/>
    <w:rsid w:val="00040DEC"/>
    <w:rsid w:val="0004131C"/>
    <w:rsid w:val="00043AD0"/>
    <w:rsid w:val="00044448"/>
    <w:rsid w:val="00045D03"/>
    <w:rsid w:val="00050FA5"/>
    <w:rsid w:val="000521F3"/>
    <w:rsid w:val="000529D1"/>
    <w:rsid w:val="00052C88"/>
    <w:rsid w:val="00052D9D"/>
    <w:rsid w:val="00054A4D"/>
    <w:rsid w:val="00057114"/>
    <w:rsid w:val="000577B0"/>
    <w:rsid w:val="00057950"/>
    <w:rsid w:val="000579A1"/>
    <w:rsid w:val="00060156"/>
    <w:rsid w:val="000604C1"/>
    <w:rsid w:val="000609D1"/>
    <w:rsid w:val="000615F9"/>
    <w:rsid w:val="00062983"/>
    <w:rsid w:val="00062E18"/>
    <w:rsid w:val="00063619"/>
    <w:rsid w:val="000644E6"/>
    <w:rsid w:val="00065E05"/>
    <w:rsid w:val="00066CD8"/>
    <w:rsid w:val="0006714C"/>
    <w:rsid w:val="00070E02"/>
    <w:rsid w:val="000719F5"/>
    <w:rsid w:val="00072566"/>
    <w:rsid w:val="00073903"/>
    <w:rsid w:val="00076574"/>
    <w:rsid w:val="000768AB"/>
    <w:rsid w:val="00076DAA"/>
    <w:rsid w:val="00081A12"/>
    <w:rsid w:val="00082AF6"/>
    <w:rsid w:val="00083167"/>
    <w:rsid w:val="0008365A"/>
    <w:rsid w:val="00083EFA"/>
    <w:rsid w:val="00083F57"/>
    <w:rsid w:val="00084640"/>
    <w:rsid w:val="00084DE7"/>
    <w:rsid w:val="00084F27"/>
    <w:rsid w:val="000857F4"/>
    <w:rsid w:val="0008586B"/>
    <w:rsid w:val="00090E40"/>
    <w:rsid w:val="0009237F"/>
    <w:rsid w:val="000927B5"/>
    <w:rsid w:val="00093501"/>
    <w:rsid w:val="000937AA"/>
    <w:rsid w:val="000948E5"/>
    <w:rsid w:val="00094C9B"/>
    <w:rsid w:val="00094CBD"/>
    <w:rsid w:val="00095BBA"/>
    <w:rsid w:val="00095FB3"/>
    <w:rsid w:val="000962A9"/>
    <w:rsid w:val="00096307"/>
    <w:rsid w:val="0009645C"/>
    <w:rsid w:val="000A1D42"/>
    <w:rsid w:val="000A2EF5"/>
    <w:rsid w:val="000A37DF"/>
    <w:rsid w:val="000A3E0B"/>
    <w:rsid w:val="000A6299"/>
    <w:rsid w:val="000A6ED7"/>
    <w:rsid w:val="000B11A5"/>
    <w:rsid w:val="000B12AA"/>
    <w:rsid w:val="000B1788"/>
    <w:rsid w:val="000B1F25"/>
    <w:rsid w:val="000B3673"/>
    <w:rsid w:val="000B371E"/>
    <w:rsid w:val="000B4303"/>
    <w:rsid w:val="000B4DCE"/>
    <w:rsid w:val="000B53BC"/>
    <w:rsid w:val="000B56BE"/>
    <w:rsid w:val="000C06F8"/>
    <w:rsid w:val="000C0DAE"/>
    <w:rsid w:val="000C1A1F"/>
    <w:rsid w:val="000C24A8"/>
    <w:rsid w:val="000C29BC"/>
    <w:rsid w:val="000C2FBA"/>
    <w:rsid w:val="000C36FF"/>
    <w:rsid w:val="000C6567"/>
    <w:rsid w:val="000C6CC1"/>
    <w:rsid w:val="000C7659"/>
    <w:rsid w:val="000C7AED"/>
    <w:rsid w:val="000D0625"/>
    <w:rsid w:val="000D0D11"/>
    <w:rsid w:val="000D1057"/>
    <w:rsid w:val="000D118D"/>
    <w:rsid w:val="000D178B"/>
    <w:rsid w:val="000D2531"/>
    <w:rsid w:val="000D4525"/>
    <w:rsid w:val="000D45E9"/>
    <w:rsid w:val="000D6963"/>
    <w:rsid w:val="000D742A"/>
    <w:rsid w:val="000D781C"/>
    <w:rsid w:val="000E1262"/>
    <w:rsid w:val="000E3FEA"/>
    <w:rsid w:val="000E44EB"/>
    <w:rsid w:val="000E4558"/>
    <w:rsid w:val="000E590C"/>
    <w:rsid w:val="000F0B1A"/>
    <w:rsid w:val="000F20E2"/>
    <w:rsid w:val="000F27AD"/>
    <w:rsid w:val="000F3EA4"/>
    <w:rsid w:val="000F55A4"/>
    <w:rsid w:val="000F599B"/>
    <w:rsid w:val="000F6343"/>
    <w:rsid w:val="000F6F19"/>
    <w:rsid w:val="000F78FD"/>
    <w:rsid w:val="000F7C25"/>
    <w:rsid w:val="00101BF1"/>
    <w:rsid w:val="00101E91"/>
    <w:rsid w:val="00102DB3"/>
    <w:rsid w:val="0010379D"/>
    <w:rsid w:val="001048B5"/>
    <w:rsid w:val="00105013"/>
    <w:rsid w:val="00105750"/>
    <w:rsid w:val="00105819"/>
    <w:rsid w:val="00105A40"/>
    <w:rsid w:val="00106312"/>
    <w:rsid w:val="00106A1E"/>
    <w:rsid w:val="001101D4"/>
    <w:rsid w:val="00110D4C"/>
    <w:rsid w:val="001122E9"/>
    <w:rsid w:val="001126F0"/>
    <w:rsid w:val="00113DB1"/>
    <w:rsid w:val="00113EF4"/>
    <w:rsid w:val="0011459D"/>
    <w:rsid w:val="0011689E"/>
    <w:rsid w:val="001171E8"/>
    <w:rsid w:val="001178CC"/>
    <w:rsid w:val="001178F3"/>
    <w:rsid w:val="00120DAA"/>
    <w:rsid w:val="001221C3"/>
    <w:rsid w:val="00122AA3"/>
    <w:rsid w:val="00122DD5"/>
    <w:rsid w:val="001231C7"/>
    <w:rsid w:val="001239FF"/>
    <w:rsid w:val="00123CB5"/>
    <w:rsid w:val="00123E8C"/>
    <w:rsid w:val="00123EFB"/>
    <w:rsid w:val="00124153"/>
    <w:rsid w:val="0012456B"/>
    <w:rsid w:val="00124821"/>
    <w:rsid w:val="00124F73"/>
    <w:rsid w:val="00125806"/>
    <w:rsid w:val="0012695E"/>
    <w:rsid w:val="00126993"/>
    <w:rsid w:val="00126AEA"/>
    <w:rsid w:val="00127268"/>
    <w:rsid w:val="001275BC"/>
    <w:rsid w:val="00131414"/>
    <w:rsid w:val="001325CC"/>
    <w:rsid w:val="001343FE"/>
    <w:rsid w:val="00135171"/>
    <w:rsid w:val="0013524D"/>
    <w:rsid w:val="001352FA"/>
    <w:rsid w:val="0013691E"/>
    <w:rsid w:val="00136C38"/>
    <w:rsid w:val="00137579"/>
    <w:rsid w:val="0013779D"/>
    <w:rsid w:val="001416C5"/>
    <w:rsid w:val="001417CA"/>
    <w:rsid w:val="001423AD"/>
    <w:rsid w:val="001431B7"/>
    <w:rsid w:val="00143C89"/>
    <w:rsid w:val="0014421F"/>
    <w:rsid w:val="00144D88"/>
    <w:rsid w:val="00146C45"/>
    <w:rsid w:val="00146D8E"/>
    <w:rsid w:val="00147A01"/>
    <w:rsid w:val="001503E2"/>
    <w:rsid w:val="00150BB2"/>
    <w:rsid w:val="00156977"/>
    <w:rsid w:val="001573C5"/>
    <w:rsid w:val="00157E56"/>
    <w:rsid w:val="00157F37"/>
    <w:rsid w:val="0016130A"/>
    <w:rsid w:val="0016273C"/>
    <w:rsid w:val="0016296B"/>
    <w:rsid w:val="0016330A"/>
    <w:rsid w:val="001636DF"/>
    <w:rsid w:val="00164124"/>
    <w:rsid w:val="001645D2"/>
    <w:rsid w:val="001647F0"/>
    <w:rsid w:val="00164832"/>
    <w:rsid w:val="0017060C"/>
    <w:rsid w:val="00176FA2"/>
    <w:rsid w:val="00181849"/>
    <w:rsid w:val="0018287B"/>
    <w:rsid w:val="0018289D"/>
    <w:rsid w:val="001841AA"/>
    <w:rsid w:val="001841C5"/>
    <w:rsid w:val="00184CF6"/>
    <w:rsid w:val="00186147"/>
    <w:rsid w:val="00187126"/>
    <w:rsid w:val="0018717F"/>
    <w:rsid w:val="00187D7A"/>
    <w:rsid w:val="00191514"/>
    <w:rsid w:val="00191686"/>
    <w:rsid w:val="001938F6"/>
    <w:rsid w:val="00194CFA"/>
    <w:rsid w:val="00194FF2"/>
    <w:rsid w:val="0019568D"/>
    <w:rsid w:val="00196278"/>
    <w:rsid w:val="001966DB"/>
    <w:rsid w:val="001972B8"/>
    <w:rsid w:val="0019744E"/>
    <w:rsid w:val="0019782A"/>
    <w:rsid w:val="001A0585"/>
    <w:rsid w:val="001A08ED"/>
    <w:rsid w:val="001A13F6"/>
    <w:rsid w:val="001A1A8C"/>
    <w:rsid w:val="001A1B02"/>
    <w:rsid w:val="001A26E2"/>
    <w:rsid w:val="001A76F8"/>
    <w:rsid w:val="001A7D5E"/>
    <w:rsid w:val="001B08C1"/>
    <w:rsid w:val="001B2381"/>
    <w:rsid w:val="001B2C58"/>
    <w:rsid w:val="001B2F43"/>
    <w:rsid w:val="001B412D"/>
    <w:rsid w:val="001B6130"/>
    <w:rsid w:val="001B73B3"/>
    <w:rsid w:val="001B7564"/>
    <w:rsid w:val="001B7FE3"/>
    <w:rsid w:val="001C19F0"/>
    <w:rsid w:val="001C2D65"/>
    <w:rsid w:val="001C2F28"/>
    <w:rsid w:val="001C3AD2"/>
    <w:rsid w:val="001C4823"/>
    <w:rsid w:val="001C57A1"/>
    <w:rsid w:val="001C65AB"/>
    <w:rsid w:val="001C73C9"/>
    <w:rsid w:val="001C7D79"/>
    <w:rsid w:val="001C7EF2"/>
    <w:rsid w:val="001D188A"/>
    <w:rsid w:val="001D1B7B"/>
    <w:rsid w:val="001D2209"/>
    <w:rsid w:val="001D2CD9"/>
    <w:rsid w:val="001D34E6"/>
    <w:rsid w:val="001D37AA"/>
    <w:rsid w:val="001D428D"/>
    <w:rsid w:val="001D4538"/>
    <w:rsid w:val="001D4BA9"/>
    <w:rsid w:val="001D613E"/>
    <w:rsid w:val="001D6DEE"/>
    <w:rsid w:val="001D7193"/>
    <w:rsid w:val="001E03DA"/>
    <w:rsid w:val="001E17B8"/>
    <w:rsid w:val="001E199C"/>
    <w:rsid w:val="001E1F80"/>
    <w:rsid w:val="001E36EA"/>
    <w:rsid w:val="001E3D65"/>
    <w:rsid w:val="001E41D6"/>
    <w:rsid w:val="001E5074"/>
    <w:rsid w:val="001E73B7"/>
    <w:rsid w:val="001F0221"/>
    <w:rsid w:val="001F03A1"/>
    <w:rsid w:val="001F0A33"/>
    <w:rsid w:val="001F216B"/>
    <w:rsid w:val="001F2B5D"/>
    <w:rsid w:val="001F4118"/>
    <w:rsid w:val="001F4230"/>
    <w:rsid w:val="001F4C7E"/>
    <w:rsid w:val="001F4EAD"/>
    <w:rsid w:val="002004CE"/>
    <w:rsid w:val="00200902"/>
    <w:rsid w:val="00201752"/>
    <w:rsid w:val="00201BCD"/>
    <w:rsid w:val="002023FB"/>
    <w:rsid w:val="00202D13"/>
    <w:rsid w:val="00202E66"/>
    <w:rsid w:val="00202E7F"/>
    <w:rsid w:val="002035EF"/>
    <w:rsid w:val="002055EA"/>
    <w:rsid w:val="00205FEB"/>
    <w:rsid w:val="00206DB0"/>
    <w:rsid w:val="00207A61"/>
    <w:rsid w:val="00207D32"/>
    <w:rsid w:val="00210FC3"/>
    <w:rsid w:val="00210FDA"/>
    <w:rsid w:val="00211716"/>
    <w:rsid w:val="00211795"/>
    <w:rsid w:val="00211D9C"/>
    <w:rsid w:val="002120F6"/>
    <w:rsid w:val="00212924"/>
    <w:rsid w:val="00212CC5"/>
    <w:rsid w:val="00214212"/>
    <w:rsid w:val="002145C7"/>
    <w:rsid w:val="002157A3"/>
    <w:rsid w:val="00215D9C"/>
    <w:rsid w:val="002169EB"/>
    <w:rsid w:val="00220593"/>
    <w:rsid w:val="00220877"/>
    <w:rsid w:val="0022187B"/>
    <w:rsid w:val="002220DB"/>
    <w:rsid w:val="00222837"/>
    <w:rsid w:val="00223A6E"/>
    <w:rsid w:val="00224A1E"/>
    <w:rsid w:val="00224C6B"/>
    <w:rsid w:val="00224EE9"/>
    <w:rsid w:val="002268B2"/>
    <w:rsid w:val="00226D95"/>
    <w:rsid w:val="00226DE9"/>
    <w:rsid w:val="002270DD"/>
    <w:rsid w:val="00227E6F"/>
    <w:rsid w:val="002309E1"/>
    <w:rsid w:val="00230D31"/>
    <w:rsid w:val="002311AB"/>
    <w:rsid w:val="00231453"/>
    <w:rsid w:val="0023272E"/>
    <w:rsid w:val="00233495"/>
    <w:rsid w:val="0023397D"/>
    <w:rsid w:val="00233CDF"/>
    <w:rsid w:val="00237CAC"/>
    <w:rsid w:val="00237CE9"/>
    <w:rsid w:val="00240C99"/>
    <w:rsid w:val="00241DD1"/>
    <w:rsid w:val="00243F6D"/>
    <w:rsid w:val="00244094"/>
    <w:rsid w:val="00244FD7"/>
    <w:rsid w:val="00246471"/>
    <w:rsid w:val="00246A8A"/>
    <w:rsid w:val="00246FC4"/>
    <w:rsid w:val="0024794E"/>
    <w:rsid w:val="00247E7A"/>
    <w:rsid w:val="00252472"/>
    <w:rsid w:val="00252547"/>
    <w:rsid w:val="002536D6"/>
    <w:rsid w:val="00254375"/>
    <w:rsid w:val="00254469"/>
    <w:rsid w:val="0025563A"/>
    <w:rsid w:val="00256F5C"/>
    <w:rsid w:val="00257129"/>
    <w:rsid w:val="0026001D"/>
    <w:rsid w:val="00260247"/>
    <w:rsid w:val="00261C0D"/>
    <w:rsid w:val="00261DED"/>
    <w:rsid w:val="00263355"/>
    <w:rsid w:val="002643CD"/>
    <w:rsid w:val="00264E4F"/>
    <w:rsid w:val="00265664"/>
    <w:rsid w:val="002679C0"/>
    <w:rsid w:val="00267A85"/>
    <w:rsid w:val="00267AA3"/>
    <w:rsid w:val="00267FBD"/>
    <w:rsid w:val="00270DFD"/>
    <w:rsid w:val="00271A0E"/>
    <w:rsid w:val="00271C60"/>
    <w:rsid w:val="0027264C"/>
    <w:rsid w:val="00272811"/>
    <w:rsid w:val="00272DCD"/>
    <w:rsid w:val="00273199"/>
    <w:rsid w:val="00273401"/>
    <w:rsid w:val="00274A1F"/>
    <w:rsid w:val="0027698F"/>
    <w:rsid w:val="00276F6A"/>
    <w:rsid w:val="002771D7"/>
    <w:rsid w:val="002774B7"/>
    <w:rsid w:val="00277CE2"/>
    <w:rsid w:val="0028068B"/>
    <w:rsid w:val="00280753"/>
    <w:rsid w:val="002814CE"/>
    <w:rsid w:val="002823B3"/>
    <w:rsid w:val="00283853"/>
    <w:rsid w:val="00283D83"/>
    <w:rsid w:val="002840E3"/>
    <w:rsid w:val="002843A6"/>
    <w:rsid w:val="002843E9"/>
    <w:rsid w:val="002869C0"/>
    <w:rsid w:val="00286DF5"/>
    <w:rsid w:val="00287FEA"/>
    <w:rsid w:val="00290668"/>
    <w:rsid w:val="002907D1"/>
    <w:rsid w:val="002908C6"/>
    <w:rsid w:val="002909E7"/>
    <w:rsid w:val="00290A0E"/>
    <w:rsid w:val="00293265"/>
    <w:rsid w:val="0029393C"/>
    <w:rsid w:val="00295EC7"/>
    <w:rsid w:val="002963C5"/>
    <w:rsid w:val="00296574"/>
    <w:rsid w:val="0029717B"/>
    <w:rsid w:val="002975AD"/>
    <w:rsid w:val="002A0055"/>
    <w:rsid w:val="002A0D72"/>
    <w:rsid w:val="002A29AC"/>
    <w:rsid w:val="002A45A9"/>
    <w:rsid w:val="002A4825"/>
    <w:rsid w:val="002A4871"/>
    <w:rsid w:val="002A4C61"/>
    <w:rsid w:val="002A5095"/>
    <w:rsid w:val="002A5455"/>
    <w:rsid w:val="002A5AEB"/>
    <w:rsid w:val="002A68D3"/>
    <w:rsid w:val="002B020C"/>
    <w:rsid w:val="002B1D44"/>
    <w:rsid w:val="002B20AE"/>
    <w:rsid w:val="002B308A"/>
    <w:rsid w:val="002B4A08"/>
    <w:rsid w:val="002B4B31"/>
    <w:rsid w:val="002B6732"/>
    <w:rsid w:val="002B674D"/>
    <w:rsid w:val="002B6940"/>
    <w:rsid w:val="002C0A85"/>
    <w:rsid w:val="002C1C2B"/>
    <w:rsid w:val="002C248D"/>
    <w:rsid w:val="002C2490"/>
    <w:rsid w:val="002C509F"/>
    <w:rsid w:val="002D0326"/>
    <w:rsid w:val="002D2820"/>
    <w:rsid w:val="002D2A60"/>
    <w:rsid w:val="002D2FEF"/>
    <w:rsid w:val="002D3061"/>
    <w:rsid w:val="002D3270"/>
    <w:rsid w:val="002D593D"/>
    <w:rsid w:val="002D5AC4"/>
    <w:rsid w:val="002D5D03"/>
    <w:rsid w:val="002D66C2"/>
    <w:rsid w:val="002D6C9A"/>
    <w:rsid w:val="002E00FD"/>
    <w:rsid w:val="002E1EE5"/>
    <w:rsid w:val="002E28DE"/>
    <w:rsid w:val="002E3B3A"/>
    <w:rsid w:val="002E3C03"/>
    <w:rsid w:val="002E4E67"/>
    <w:rsid w:val="002E552E"/>
    <w:rsid w:val="002E625E"/>
    <w:rsid w:val="002E7A1D"/>
    <w:rsid w:val="002E7B49"/>
    <w:rsid w:val="002F1751"/>
    <w:rsid w:val="002F21E7"/>
    <w:rsid w:val="002F49DA"/>
    <w:rsid w:val="002F56AA"/>
    <w:rsid w:val="002F7E05"/>
    <w:rsid w:val="002F7E24"/>
    <w:rsid w:val="002F7F48"/>
    <w:rsid w:val="003014E4"/>
    <w:rsid w:val="00301AAF"/>
    <w:rsid w:val="003032CB"/>
    <w:rsid w:val="00304B50"/>
    <w:rsid w:val="00304C23"/>
    <w:rsid w:val="0030546E"/>
    <w:rsid w:val="00306095"/>
    <w:rsid w:val="003061EF"/>
    <w:rsid w:val="003062B2"/>
    <w:rsid w:val="00306310"/>
    <w:rsid w:val="003068CD"/>
    <w:rsid w:val="003077F6"/>
    <w:rsid w:val="00307F48"/>
    <w:rsid w:val="00310201"/>
    <w:rsid w:val="00310805"/>
    <w:rsid w:val="00310C4A"/>
    <w:rsid w:val="00311756"/>
    <w:rsid w:val="0031237C"/>
    <w:rsid w:val="00312979"/>
    <w:rsid w:val="003140F1"/>
    <w:rsid w:val="00314994"/>
    <w:rsid w:val="00315211"/>
    <w:rsid w:val="00316C7D"/>
    <w:rsid w:val="003215F8"/>
    <w:rsid w:val="003218FC"/>
    <w:rsid w:val="00321B12"/>
    <w:rsid w:val="00321EAB"/>
    <w:rsid w:val="0032302F"/>
    <w:rsid w:val="0032316C"/>
    <w:rsid w:val="00323CBF"/>
    <w:rsid w:val="00324DD2"/>
    <w:rsid w:val="0032636E"/>
    <w:rsid w:val="003275A2"/>
    <w:rsid w:val="00330AC9"/>
    <w:rsid w:val="00331C98"/>
    <w:rsid w:val="00333A81"/>
    <w:rsid w:val="00333D5A"/>
    <w:rsid w:val="00333D9F"/>
    <w:rsid w:val="003340AE"/>
    <w:rsid w:val="00334685"/>
    <w:rsid w:val="0033550D"/>
    <w:rsid w:val="00336313"/>
    <w:rsid w:val="003367B6"/>
    <w:rsid w:val="0033701E"/>
    <w:rsid w:val="00337858"/>
    <w:rsid w:val="00337A08"/>
    <w:rsid w:val="00337AE6"/>
    <w:rsid w:val="00342BE1"/>
    <w:rsid w:val="00342F57"/>
    <w:rsid w:val="0034426C"/>
    <w:rsid w:val="0034435D"/>
    <w:rsid w:val="00344A2D"/>
    <w:rsid w:val="0034599A"/>
    <w:rsid w:val="00346DA0"/>
    <w:rsid w:val="003476D0"/>
    <w:rsid w:val="00347AD4"/>
    <w:rsid w:val="00347DCA"/>
    <w:rsid w:val="00347E35"/>
    <w:rsid w:val="00350B80"/>
    <w:rsid w:val="0035223B"/>
    <w:rsid w:val="00352D06"/>
    <w:rsid w:val="00354055"/>
    <w:rsid w:val="003550A0"/>
    <w:rsid w:val="00355952"/>
    <w:rsid w:val="003566B1"/>
    <w:rsid w:val="003576DA"/>
    <w:rsid w:val="00360999"/>
    <w:rsid w:val="00361111"/>
    <w:rsid w:val="00361CB7"/>
    <w:rsid w:val="0036296B"/>
    <w:rsid w:val="00362CA3"/>
    <w:rsid w:val="00362FBA"/>
    <w:rsid w:val="00364951"/>
    <w:rsid w:val="00365ABB"/>
    <w:rsid w:val="00367421"/>
    <w:rsid w:val="00367A94"/>
    <w:rsid w:val="00370C63"/>
    <w:rsid w:val="003715E5"/>
    <w:rsid w:val="00373CEB"/>
    <w:rsid w:val="00374C17"/>
    <w:rsid w:val="00375350"/>
    <w:rsid w:val="00375463"/>
    <w:rsid w:val="00375E98"/>
    <w:rsid w:val="00375F94"/>
    <w:rsid w:val="00376218"/>
    <w:rsid w:val="003768B1"/>
    <w:rsid w:val="0037716D"/>
    <w:rsid w:val="00380EA6"/>
    <w:rsid w:val="0038157F"/>
    <w:rsid w:val="00381F45"/>
    <w:rsid w:val="0038264F"/>
    <w:rsid w:val="00383894"/>
    <w:rsid w:val="00383CFD"/>
    <w:rsid w:val="003841D6"/>
    <w:rsid w:val="003845E5"/>
    <w:rsid w:val="00384759"/>
    <w:rsid w:val="00384F1B"/>
    <w:rsid w:val="00385E6E"/>
    <w:rsid w:val="003909CB"/>
    <w:rsid w:val="003923B1"/>
    <w:rsid w:val="003927C3"/>
    <w:rsid w:val="0039308E"/>
    <w:rsid w:val="003935C8"/>
    <w:rsid w:val="00393677"/>
    <w:rsid w:val="003938FE"/>
    <w:rsid w:val="00394CF2"/>
    <w:rsid w:val="0039556E"/>
    <w:rsid w:val="00396487"/>
    <w:rsid w:val="003970FB"/>
    <w:rsid w:val="003975A6"/>
    <w:rsid w:val="00397AD0"/>
    <w:rsid w:val="003A219C"/>
    <w:rsid w:val="003A23C7"/>
    <w:rsid w:val="003A5800"/>
    <w:rsid w:val="003A65E7"/>
    <w:rsid w:val="003A77B3"/>
    <w:rsid w:val="003A7B5D"/>
    <w:rsid w:val="003B01B7"/>
    <w:rsid w:val="003B0FB0"/>
    <w:rsid w:val="003B1329"/>
    <w:rsid w:val="003B13D2"/>
    <w:rsid w:val="003B168F"/>
    <w:rsid w:val="003B1CCA"/>
    <w:rsid w:val="003B3F42"/>
    <w:rsid w:val="003B4E13"/>
    <w:rsid w:val="003B54CD"/>
    <w:rsid w:val="003B56DC"/>
    <w:rsid w:val="003B5BC8"/>
    <w:rsid w:val="003B5CBE"/>
    <w:rsid w:val="003B6DB2"/>
    <w:rsid w:val="003B6FF5"/>
    <w:rsid w:val="003B788F"/>
    <w:rsid w:val="003C00AA"/>
    <w:rsid w:val="003C06A1"/>
    <w:rsid w:val="003C0DF2"/>
    <w:rsid w:val="003C0ECF"/>
    <w:rsid w:val="003C1CF6"/>
    <w:rsid w:val="003C2EEF"/>
    <w:rsid w:val="003C3938"/>
    <w:rsid w:val="003C4714"/>
    <w:rsid w:val="003C4EFC"/>
    <w:rsid w:val="003C52EC"/>
    <w:rsid w:val="003C5BAD"/>
    <w:rsid w:val="003C6BDA"/>
    <w:rsid w:val="003D1F6D"/>
    <w:rsid w:val="003D28DC"/>
    <w:rsid w:val="003D3908"/>
    <w:rsid w:val="003D5742"/>
    <w:rsid w:val="003D5A21"/>
    <w:rsid w:val="003D713D"/>
    <w:rsid w:val="003D72E5"/>
    <w:rsid w:val="003D7CD8"/>
    <w:rsid w:val="003E22EE"/>
    <w:rsid w:val="003E28C0"/>
    <w:rsid w:val="003E567A"/>
    <w:rsid w:val="003E5971"/>
    <w:rsid w:val="003E65DA"/>
    <w:rsid w:val="003E6E42"/>
    <w:rsid w:val="003E6F4E"/>
    <w:rsid w:val="003E6F57"/>
    <w:rsid w:val="003F04AB"/>
    <w:rsid w:val="003F058D"/>
    <w:rsid w:val="003F0F0E"/>
    <w:rsid w:val="003F1A7E"/>
    <w:rsid w:val="003F2E72"/>
    <w:rsid w:val="003F406C"/>
    <w:rsid w:val="003F4140"/>
    <w:rsid w:val="003F4150"/>
    <w:rsid w:val="003F6494"/>
    <w:rsid w:val="003F6CEC"/>
    <w:rsid w:val="003F6D36"/>
    <w:rsid w:val="003F7302"/>
    <w:rsid w:val="003F7D97"/>
    <w:rsid w:val="00401FA0"/>
    <w:rsid w:val="004024BF"/>
    <w:rsid w:val="004028B6"/>
    <w:rsid w:val="00402E07"/>
    <w:rsid w:val="00403156"/>
    <w:rsid w:val="00403428"/>
    <w:rsid w:val="00406438"/>
    <w:rsid w:val="004066B8"/>
    <w:rsid w:val="00406F30"/>
    <w:rsid w:val="00407791"/>
    <w:rsid w:val="00407C67"/>
    <w:rsid w:val="004101EA"/>
    <w:rsid w:val="004104C5"/>
    <w:rsid w:val="00411F73"/>
    <w:rsid w:val="00412D1B"/>
    <w:rsid w:val="00414977"/>
    <w:rsid w:val="00414E30"/>
    <w:rsid w:val="004168FE"/>
    <w:rsid w:val="00416CCF"/>
    <w:rsid w:val="00420D90"/>
    <w:rsid w:val="00422087"/>
    <w:rsid w:val="00422DD0"/>
    <w:rsid w:val="004238BD"/>
    <w:rsid w:val="00423A16"/>
    <w:rsid w:val="00423AA3"/>
    <w:rsid w:val="00424E0F"/>
    <w:rsid w:val="004262A8"/>
    <w:rsid w:val="00431DCD"/>
    <w:rsid w:val="004329C9"/>
    <w:rsid w:val="00432A08"/>
    <w:rsid w:val="00433B20"/>
    <w:rsid w:val="0043466F"/>
    <w:rsid w:val="00435A3C"/>
    <w:rsid w:val="00435DB4"/>
    <w:rsid w:val="00436194"/>
    <w:rsid w:val="00436C05"/>
    <w:rsid w:val="00437A9A"/>
    <w:rsid w:val="0044107D"/>
    <w:rsid w:val="0044183E"/>
    <w:rsid w:val="00441C3F"/>
    <w:rsid w:val="00442662"/>
    <w:rsid w:val="0044340B"/>
    <w:rsid w:val="00443BEC"/>
    <w:rsid w:val="00443C2E"/>
    <w:rsid w:val="0044424B"/>
    <w:rsid w:val="00444B04"/>
    <w:rsid w:val="00445558"/>
    <w:rsid w:val="00447483"/>
    <w:rsid w:val="0045087F"/>
    <w:rsid w:val="00451B77"/>
    <w:rsid w:val="00451E1C"/>
    <w:rsid w:val="004521B2"/>
    <w:rsid w:val="00455A10"/>
    <w:rsid w:val="004577B0"/>
    <w:rsid w:val="0046037E"/>
    <w:rsid w:val="00460DEA"/>
    <w:rsid w:val="004616CF"/>
    <w:rsid w:val="004616E3"/>
    <w:rsid w:val="00462327"/>
    <w:rsid w:val="00463F0E"/>
    <w:rsid w:val="004651BB"/>
    <w:rsid w:val="0046530B"/>
    <w:rsid w:val="00465996"/>
    <w:rsid w:val="004659AD"/>
    <w:rsid w:val="00465C9A"/>
    <w:rsid w:val="004670B8"/>
    <w:rsid w:val="004705F7"/>
    <w:rsid w:val="00470DBE"/>
    <w:rsid w:val="004716A2"/>
    <w:rsid w:val="00473D34"/>
    <w:rsid w:val="004741F0"/>
    <w:rsid w:val="00476715"/>
    <w:rsid w:val="00477F62"/>
    <w:rsid w:val="00480748"/>
    <w:rsid w:val="004810B3"/>
    <w:rsid w:val="0048166C"/>
    <w:rsid w:val="00481A0E"/>
    <w:rsid w:val="00484073"/>
    <w:rsid w:val="00484FE8"/>
    <w:rsid w:val="00485352"/>
    <w:rsid w:val="00486069"/>
    <w:rsid w:val="004877A6"/>
    <w:rsid w:val="00490040"/>
    <w:rsid w:val="00490622"/>
    <w:rsid w:val="00491533"/>
    <w:rsid w:val="00491A3C"/>
    <w:rsid w:val="00492099"/>
    <w:rsid w:val="00493B00"/>
    <w:rsid w:val="00496B66"/>
    <w:rsid w:val="004A0738"/>
    <w:rsid w:val="004A1C76"/>
    <w:rsid w:val="004A1D41"/>
    <w:rsid w:val="004A36C3"/>
    <w:rsid w:val="004A60C0"/>
    <w:rsid w:val="004A69CA"/>
    <w:rsid w:val="004A6BBF"/>
    <w:rsid w:val="004B3229"/>
    <w:rsid w:val="004B42A0"/>
    <w:rsid w:val="004B42C4"/>
    <w:rsid w:val="004B4799"/>
    <w:rsid w:val="004B5D26"/>
    <w:rsid w:val="004B64F0"/>
    <w:rsid w:val="004B65B0"/>
    <w:rsid w:val="004B6735"/>
    <w:rsid w:val="004B67FF"/>
    <w:rsid w:val="004B7BDD"/>
    <w:rsid w:val="004C0FA2"/>
    <w:rsid w:val="004C1312"/>
    <w:rsid w:val="004C1D73"/>
    <w:rsid w:val="004C41C9"/>
    <w:rsid w:val="004D13E7"/>
    <w:rsid w:val="004D198C"/>
    <w:rsid w:val="004D391D"/>
    <w:rsid w:val="004D3FDF"/>
    <w:rsid w:val="004D426E"/>
    <w:rsid w:val="004D4385"/>
    <w:rsid w:val="004D43EB"/>
    <w:rsid w:val="004D4C00"/>
    <w:rsid w:val="004D581D"/>
    <w:rsid w:val="004D5A6A"/>
    <w:rsid w:val="004E08FC"/>
    <w:rsid w:val="004E0918"/>
    <w:rsid w:val="004E0DFB"/>
    <w:rsid w:val="004E0E43"/>
    <w:rsid w:val="004E1FE3"/>
    <w:rsid w:val="004E3DBC"/>
    <w:rsid w:val="004E5D67"/>
    <w:rsid w:val="004E6E36"/>
    <w:rsid w:val="004E6F42"/>
    <w:rsid w:val="004E758E"/>
    <w:rsid w:val="004E7E5B"/>
    <w:rsid w:val="004F1286"/>
    <w:rsid w:val="004F12DE"/>
    <w:rsid w:val="004F1E31"/>
    <w:rsid w:val="004F2918"/>
    <w:rsid w:val="004F63EC"/>
    <w:rsid w:val="004F63FF"/>
    <w:rsid w:val="004F6536"/>
    <w:rsid w:val="004F6BA1"/>
    <w:rsid w:val="004F74AC"/>
    <w:rsid w:val="004F7BB3"/>
    <w:rsid w:val="00502623"/>
    <w:rsid w:val="00504339"/>
    <w:rsid w:val="00506086"/>
    <w:rsid w:val="00506615"/>
    <w:rsid w:val="005069F8"/>
    <w:rsid w:val="005074CE"/>
    <w:rsid w:val="00510463"/>
    <w:rsid w:val="00510B3B"/>
    <w:rsid w:val="00511B0D"/>
    <w:rsid w:val="00512F67"/>
    <w:rsid w:val="005144BA"/>
    <w:rsid w:val="00514EC9"/>
    <w:rsid w:val="0051593D"/>
    <w:rsid w:val="0051612C"/>
    <w:rsid w:val="00516301"/>
    <w:rsid w:val="00517CC8"/>
    <w:rsid w:val="00520CFE"/>
    <w:rsid w:val="00520FD9"/>
    <w:rsid w:val="0052265A"/>
    <w:rsid w:val="00523198"/>
    <w:rsid w:val="00523328"/>
    <w:rsid w:val="005236ED"/>
    <w:rsid w:val="00523A75"/>
    <w:rsid w:val="00523EB6"/>
    <w:rsid w:val="00524D8A"/>
    <w:rsid w:val="00526968"/>
    <w:rsid w:val="00526A24"/>
    <w:rsid w:val="00527E13"/>
    <w:rsid w:val="00530F77"/>
    <w:rsid w:val="00531063"/>
    <w:rsid w:val="005310CA"/>
    <w:rsid w:val="00532185"/>
    <w:rsid w:val="00533529"/>
    <w:rsid w:val="00535943"/>
    <w:rsid w:val="00535CFD"/>
    <w:rsid w:val="00535D22"/>
    <w:rsid w:val="005364FC"/>
    <w:rsid w:val="00540027"/>
    <w:rsid w:val="0054037A"/>
    <w:rsid w:val="0054076D"/>
    <w:rsid w:val="00540849"/>
    <w:rsid w:val="00540D69"/>
    <w:rsid w:val="00541905"/>
    <w:rsid w:val="00543E6D"/>
    <w:rsid w:val="005447D2"/>
    <w:rsid w:val="00544A14"/>
    <w:rsid w:val="00544C52"/>
    <w:rsid w:val="00545FC1"/>
    <w:rsid w:val="00546911"/>
    <w:rsid w:val="005470DD"/>
    <w:rsid w:val="00547F06"/>
    <w:rsid w:val="0055042E"/>
    <w:rsid w:val="0055151A"/>
    <w:rsid w:val="00551A1E"/>
    <w:rsid w:val="00551FE3"/>
    <w:rsid w:val="005523FA"/>
    <w:rsid w:val="00552FD3"/>
    <w:rsid w:val="0055331E"/>
    <w:rsid w:val="00553CC6"/>
    <w:rsid w:val="005552F3"/>
    <w:rsid w:val="0055613E"/>
    <w:rsid w:val="00556E1D"/>
    <w:rsid w:val="00557A51"/>
    <w:rsid w:val="00560118"/>
    <w:rsid w:val="0056020A"/>
    <w:rsid w:val="00561738"/>
    <w:rsid w:val="00561818"/>
    <w:rsid w:val="00562255"/>
    <w:rsid w:val="00562CE2"/>
    <w:rsid w:val="00563080"/>
    <w:rsid w:val="00563469"/>
    <w:rsid w:val="00563B5C"/>
    <w:rsid w:val="00563BDE"/>
    <w:rsid w:val="00564D8F"/>
    <w:rsid w:val="00564EEA"/>
    <w:rsid w:val="00565197"/>
    <w:rsid w:val="0056558E"/>
    <w:rsid w:val="00570015"/>
    <w:rsid w:val="00571158"/>
    <w:rsid w:val="0057128D"/>
    <w:rsid w:val="00571451"/>
    <w:rsid w:val="0057254C"/>
    <w:rsid w:val="00573E33"/>
    <w:rsid w:val="00575792"/>
    <w:rsid w:val="00576779"/>
    <w:rsid w:val="0058034C"/>
    <w:rsid w:val="00581057"/>
    <w:rsid w:val="005817A6"/>
    <w:rsid w:val="0058250A"/>
    <w:rsid w:val="00582865"/>
    <w:rsid w:val="0058374F"/>
    <w:rsid w:val="005862D3"/>
    <w:rsid w:val="005864AE"/>
    <w:rsid w:val="00587BD9"/>
    <w:rsid w:val="00591965"/>
    <w:rsid w:val="00591FEE"/>
    <w:rsid w:val="00592101"/>
    <w:rsid w:val="00592322"/>
    <w:rsid w:val="00593EC9"/>
    <w:rsid w:val="00594176"/>
    <w:rsid w:val="005943E7"/>
    <w:rsid w:val="00594994"/>
    <w:rsid w:val="00595031"/>
    <w:rsid w:val="00595431"/>
    <w:rsid w:val="00595CC1"/>
    <w:rsid w:val="0059644A"/>
    <w:rsid w:val="00596E7F"/>
    <w:rsid w:val="00597528"/>
    <w:rsid w:val="00597E2E"/>
    <w:rsid w:val="005A09D3"/>
    <w:rsid w:val="005A1717"/>
    <w:rsid w:val="005A1FBE"/>
    <w:rsid w:val="005A201E"/>
    <w:rsid w:val="005A33EE"/>
    <w:rsid w:val="005A3577"/>
    <w:rsid w:val="005A41A8"/>
    <w:rsid w:val="005A44EB"/>
    <w:rsid w:val="005A466F"/>
    <w:rsid w:val="005B0B25"/>
    <w:rsid w:val="005B2632"/>
    <w:rsid w:val="005B31F0"/>
    <w:rsid w:val="005B4A4A"/>
    <w:rsid w:val="005B4A7C"/>
    <w:rsid w:val="005B6CD5"/>
    <w:rsid w:val="005C1654"/>
    <w:rsid w:val="005C23C2"/>
    <w:rsid w:val="005C48CC"/>
    <w:rsid w:val="005C4AA2"/>
    <w:rsid w:val="005C5008"/>
    <w:rsid w:val="005C5251"/>
    <w:rsid w:val="005C5B4A"/>
    <w:rsid w:val="005C63FB"/>
    <w:rsid w:val="005C69B0"/>
    <w:rsid w:val="005C6A5B"/>
    <w:rsid w:val="005C6C31"/>
    <w:rsid w:val="005C78F7"/>
    <w:rsid w:val="005D0A75"/>
    <w:rsid w:val="005D261E"/>
    <w:rsid w:val="005D2A1D"/>
    <w:rsid w:val="005D2AB0"/>
    <w:rsid w:val="005D3370"/>
    <w:rsid w:val="005D3EC9"/>
    <w:rsid w:val="005D3FD5"/>
    <w:rsid w:val="005D453E"/>
    <w:rsid w:val="005D46C0"/>
    <w:rsid w:val="005D6AC0"/>
    <w:rsid w:val="005E0090"/>
    <w:rsid w:val="005E0620"/>
    <w:rsid w:val="005E13A7"/>
    <w:rsid w:val="005E15B0"/>
    <w:rsid w:val="005E2220"/>
    <w:rsid w:val="005E2CCF"/>
    <w:rsid w:val="005E2DAC"/>
    <w:rsid w:val="005E2E4D"/>
    <w:rsid w:val="005E5B5C"/>
    <w:rsid w:val="005E6D8A"/>
    <w:rsid w:val="005E76EB"/>
    <w:rsid w:val="005F09C1"/>
    <w:rsid w:val="005F14F4"/>
    <w:rsid w:val="005F3185"/>
    <w:rsid w:val="005F3291"/>
    <w:rsid w:val="005F32ED"/>
    <w:rsid w:val="005F44DD"/>
    <w:rsid w:val="005F4B5E"/>
    <w:rsid w:val="005F667B"/>
    <w:rsid w:val="005F6E06"/>
    <w:rsid w:val="00600F04"/>
    <w:rsid w:val="00600F77"/>
    <w:rsid w:val="0060143C"/>
    <w:rsid w:val="0060176C"/>
    <w:rsid w:val="00601A5E"/>
    <w:rsid w:val="00601F60"/>
    <w:rsid w:val="006029E2"/>
    <w:rsid w:val="006066DD"/>
    <w:rsid w:val="006067E3"/>
    <w:rsid w:val="00606ACC"/>
    <w:rsid w:val="00606E84"/>
    <w:rsid w:val="006102B1"/>
    <w:rsid w:val="00610FD9"/>
    <w:rsid w:val="00612E4B"/>
    <w:rsid w:val="00614212"/>
    <w:rsid w:val="00614BA5"/>
    <w:rsid w:val="00615954"/>
    <w:rsid w:val="00616614"/>
    <w:rsid w:val="00616CA9"/>
    <w:rsid w:val="00620E85"/>
    <w:rsid w:val="006219F0"/>
    <w:rsid w:val="00622C91"/>
    <w:rsid w:val="00623240"/>
    <w:rsid w:val="0062384C"/>
    <w:rsid w:val="00626E94"/>
    <w:rsid w:val="006271FC"/>
    <w:rsid w:val="00633E57"/>
    <w:rsid w:val="006340E8"/>
    <w:rsid w:val="00634854"/>
    <w:rsid w:val="00634A58"/>
    <w:rsid w:val="00634C2E"/>
    <w:rsid w:val="0063517C"/>
    <w:rsid w:val="00635500"/>
    <w:rsid w:val="00635C4C"/>
    <w:rsid w:val="00637080"/>
    <w:rsid w:val="006406D1"/>
    <w:rsid w:val="0064106A"/>
    <w:rsid w:val="006433C5"/>
    <w:rsid w:val="00643E0D"/>
    <w:rsid w:val="0064413D"/>
    <w:rsid w:val="00644438"/>
    <w:rsid w:val="00645441"/>
    <w:rsid w:val="00646F61"/>
    <w:rsid w:val="00647852"/>
    <w:rsid w:val="00647AA7"/>
    <w:rsid w:val="0065108A"/>
    <w:rsid w:val="00651105"/>
    <w:rsid w:val="00651524"/>
    <w:rsid w:val="00652596"/>
    <w:rsid w:val="00652FFB"/>
    <w:rsid w:val="006530D0"/>
    <w:rsid w:val="00653782"/>
    <w:rsid w:val="00653808"/>
    <w:rsid w:val="0065587B"/>
    <w:rsid w:val="00655A43"/>
    <w:rsid w:val="006562FD"/>
    <w:rsid w:val="00656B1A"/>
    <w:rsid w:val="0065715F"/>
    <w:rsid w:val="00657358"/>
    <w:rsid w:val="0065784D"/>
    <w:rsid w:val="00657C43"/>
    <w:rsid w:val="00660521"/>
    <w:rsid w:val="006606AF"/>
    <w:rsid w:val="006608E5"/>
    <w:rsid w:val="00660A26"/>
    <w:rsid w:val="006611FA"/>
    <w:rsid w:val="006622DA"/>
    <w:rsid w:val="00663EAE"/>
    <w:rsid w:val="00663EFA"/>
    <w:rsid w:val="00664479"/>
    <w:rsid w:val="00664A03"/>
    <w:rsid w:val="00664EFD"/>
    <w:rsid w:val="006700D2"/>
    <w:rsid w:val="006708A8"/>
    <w:rsid w:val="00670D25"/>
    <w:rsid w:val="006711EB"/>
    <w:rsid w:val="00671FD4"/>
    <w:rsid w:val="00674C19"/>
    <w:rsid w:val="00676EB8"/>
    <w:rsid w:val="00680218"/>
    <w:rsid w:val="0068032F"/>
    <w:rsid w:val="00680B24"/>
    <w:rsid w:val="00680BF7"/>
    <w:rsid w:val="00680D94"/>
    <w:rsid w:val="00680E26"/>
    <w:rsid w:val="00681B8D"/>
    <w:rsid w:val="0068221F"/>
    <w:rsid w:val="00683877"/>
    <w:rsid w:val="00683FCE"/>
    <w:rsid w:val="006851AD"/>
    <w:rsid w:val="00685C14"/>
    <w:rsid w:val="00685D20"/>
    <w:rsid w:val="00686137"/>
    <w:rsid w:val="00690E28"/>
    <w:rsid w:val="00691315"/>
    <w:rsid w:val="00691969"/>
    <w:rsid w:val="006938D0"/>
    <w:rsid w:val="00693F02"/>
    <w:rsid w:val="00694382"/>
    <w:rsid w:val="006946F4"/>
    <w:rsid w:val="006968AD"/>
    <w:rsid w:val="00696DAE"/>
    <w:rsid w:val="006A01B1"/>
    <w:rsid w:val="006A05D2"/>
    <w:rsid w:val="006A09F2"/>
    <w:rsid w:val="006A1A94"/>
    <w:rsid w:val="006A5889"/>
    <w:rsid w:val="006A74D4"/>
    <w:rsid w:val="006A7D25"/>
    <w:rsid w:val="006A7FB8"/>
    <w:rsid w:val="006B3B4B"/>
    <w:rsid w:val="006B4406"/>
    <w:rsid w:val="006B5F7D"/>
    <w:rsid w:val="006B64F9"/>
    <w:rsid w:val="006B6C79"/>
    <w:rsid w:val="006B76E4"/>
    <w:rsid w:val="006C0393"/>
    <w:rsid w:val="006C07F7"/>
    <w:rsid w:val="006C15D9"/>
    <w:rsid w:val="006C1941"/>
    <w:rsid w:val="006C2076"/>
    <w:rsid w:val="006C22DF"/>
    <w:rsid w:val="006C2CC5"/>
    <w:rsid w:val="006C4569"/>
    <w:rsid w:val="006C4C23"/>
    <w:rsid w:val="006C5AA3"/>
    <w:rsid w:val="006C5F25"/>
    <w:rsid w:val="006C68F4"/>
    <w:rsid w:val="006C7122"/>
    <w:rsid w:val="006D0293"/>
    <w:rsid w:val="006D1531"/>
    <w:rsid w:val="006D20F7"/>
    <w:rsid w:val="006D2DDD"/>
    <w:rsid w:val="006D365C"/>
    <w:rsid w:val="006D77DF"/>
    <w:rsid w:val="006E041A"/>
    <w:rsid w:val="006E04A6"/>
    <w:rsid w:val="006E14C6"/>
    <w:rsid w:val="006E1516"/>
    <w:rsid w:val="006E2B21"/>
    <w:rsid w:val="006E43AD"/>
    <w:rsid w:val="006E51A7"/>
    <w:rsid w:val="006E55AF"/>
    <w:rsid w:val="006E6E5A"/>
    <w:rsid w:val="006E70CE"/>
    <w:rsid w:val="006F21EB"/>
    <w:rsid w:val="006F2809"/>
    <w:rsid w:val="006F2CCB"/>
    <w:rsid w:val="006F3C5A"/>
    <w:rsid w:val="006F3D0E"/>
    <w:rsid w:val="006F4060"/>
    <w:rsid w:val="006F4234"/>
    <w:rsid w:val="006F72DE"/>
    <w:rsid w:val="006F7791"/>
    <w:rsid w:val="006F7BD2"/>
    <w:rsid w:val="006F7CAC"/>
    <w:rsid w:val="00701407"/>
    <w:rsid w:val="00701B01"/>
    <w:rsid w:val="0070283B"/>
    <w:rsid w:val="007029F8"/>
    <w:rsid w:val="00702B47"/>
    <w:rsid w:val="007054F3"/>
    <w:rsid w:val="007064A8"/>
    <w:rsid w:val="007065B0"/>
    <w:rsid w:val="00706977"/>
    <w:rsid w:val="00707300"/>
    <w:rsid w:val="007074E3"/>
    <w:rsid w:val="00707FDA"/>
    <w:rsid w:val="0071255E"/>
    <w:rsid w:val="00712646"/>
    <w:rsid w:val="007128BA"/>
    <w:rsid w:val="00712AE2"/>
    <w:rsid w:val="00712BBB"/>
    <w:rsid w:val="00712FA1"/>
    <w:rsid w:val="00712FA8"/>
    <w:rsid w:val="0071318C"/>
    <w:rsid w:val="007153D8"/>
    <w:rsid w:val="00715C16"/>
    <w:rsid w:val="007160D7"/>
    <w:rsid w:val="007174C9"/>
    <w:rsid w:val="00717723"/>
    <w:rsid w:val="00720824"/>
    <w:rsid w:val="00720995"/>
    <w:rsid w:val="00721615"/>
    <w:rsid w:val="007217C4"/>
    <w:rsid w:val="00722F73"/>
    <w:rsid w:val="007232C8"/>
    <w:rsid w:val="00723D0C"/>
    <w:rsid w:val="0072591D"/>
    <w:rsid w:val="00725C33"/>
    <w:rsid w:val="007270E8"/>
    <w:rsid w:val="007272BC"/>
    <w:rsid w:val="00727744"/>
    <w:rsid w:val="00727C4C"/>
    <w:rsid w:val="0073018C"/>
    <w:rsid w:val="00730395"/>
    <w:rsid w:val="00731045"/>
    <w:rsid w:val="00733207"/>
    <w:rsid w:val="00733847"/>
    <w:rsid w:val="0073564C"/>
    <w:rsid w:val="007358A4"/>
    <w:rsid w:val="00735AB7"/>
    <w:rsid w:val="00735D50"/>
    <w:rsid w:val="00735F22"/>
    <w:rsid w:val="007369BB"/>
    <w:rsid w:val="00736F4C"/>
    <w:rsid w:val="00737EC0"/>
    <w:rsid w:val="00737ED5"/>
    <w:rsid w:val="00740224"/>
    <w:rsid w:val="00744168"/>
    <w:rsid w:val="007446CD"/>
    <w:rsid w:val="0074498D"/>
    <w:rsid w:val="00744D7B"/>
    <w:rsid w:val="00744E93"/>
    <w:rsid w:val="00745CC8"/>
    <w:rsid w:val="0074634A"/>
    <w:rsid w:val="00746AB2"/>
    <w:rsid w:val="0074727A"/>
    <w:rsid w:val="007475A3"/>
    <w:rsid w:val="0075093A"/>
    <w:rsid w:val="00752623"/>
    <w:rsid w:val="00753859"/>
    <w:rsid w:val="00753DBA"/>
    <w:rsid w:val="00754A5A"/>
    <w:rsid w:val="00757A0A"/>
    <w:rsid w:val="00757EA9"/>
    <w:rsid w:val="0076065A"/>
    <w:rsid w:val="00760D74"/>
    <w:rsid w:val="00762098"/>
    <w:rsid w:val="00763504"/>
    <w:rsid w:val="00764ABB"/>
    <w:rsid w:val="00764C56"/>
    <w:rsid w:val="00766864"/>
    <w:rsid w:val="00766B0C"/>
    <w:rsid w:val="00766F69"/>
    <w:rsid w:val="00770903"/>
    <w:rsid w:val="00770D08"/>
    <w:rsid w:val="00773932"/>
    <w:rsid w:val="00774BF8"/>
    <w:rsid w:val="0077622A"/>
    <w:rsid w:val="0077668E"/>
    <w:rsid w:val="007766D6"/>
    <w:rsid w:val="0077697B"/>
    <w:rsid w:val="00776BC9"/>
    <w:rsid w:val="00777BE9"/>
    <w:rsid w:val="00777ECA"/>
    <w:rsid w:val="00781C02"/>
    <w:rsid w:val="00781CC3"/>
    <w:rsid w:val="0078513B"/>
    <w:rsid w:val="007854EB"/>
    <w:rsid w:val="00785646"/>
    <w:rsid w:val="00786856"/>
    <w:rsid w:val="0078783B"/>
    <w:rsid w:val="007904EE"/>
    <w:rsid w:val="00790F82"/>
    <w:rsid w:val="007921D8"/>
    <w:rsid w:val="00792251"/>
    <w:rsid w:val="007922F3"/>
    <w:rsid w:val="00792B98"/>
    <w:rsid w:val="00793E7F"/>
    <w:rsid w:val="0079470A"/>
    <w:rsid w:val="00794ABC"/>
    <w:rsid w:val="007950D5"/>
    <w:rsid w:val="00795D64"/>
    <w:rsid w:val="00797DE5"/>
    <w:rsid w:val="007A0207"/>
    <w:rsid w:val="007A1A8D"/>
    <w:rsid w:val="007A1B69"/>
    <w:rsid w:val="007A26C3"/>
    <w:rsid w:val="007A273C"/>
    <w:rsid w:val="007A29EF"/>
    <w:rsid w:val="007A31F6"/>
    <w:rsid w:val="007A3E93"/>
    <w:rsid w:val="007A4922"/>
    <w:rsid w:val="007A4B0D"/>
    <w:rsid w:val="007A6791"/>
    <w:rsid w:val="007A6C52"/>
    <w:rsid w:val="007A7DCE"/>
    <w:rsid w:val="007B0A9B"/>
    <w:rsid w:val="007B1019"/>
    <w:rsid w:val="007B2944"/>
    <w:rsid w:val="007B2F69"/>
    <w:rsid w:val="007B344F"/>
    <w:rsid w:val="007B3D06"/>
    <w:rsid w:val="007B5030"/>
    <w:rsid w:val="007B5627"/>
    <w:rsid w:val="007B5CD9"/>
    <w:rsid w:val="007B683A"/>
    <w:rsid w:val="007B6CFF"/>
    <w:rsid w:val="007B76A3"/>
    <w:rsid w:val="007B789F"/>
    <w:rsid w:val="007C07E1"/>
    <w:rsid w:val="007C0AD3"/>
    <w:rsid w:val="007C1D61"/>
    <w:rsid w:val="007C1EE1"/>
    <w:rsid w:val="007C24CD"/>
    <w:rsid w:val="007C2BC5"/>
    <w:rsid w:val="007C4FC1"/>
    <w:rsid w:val="007C5626"/>
    <w:rsid w:val="007C58D1"/>
    <w:rsid w:val="007C5AA2"/>
    <w:rsid w:val="007C5D84"/>
    <w:rsid w:val="007C6812"/>
    <w:rsid w:val="007C6DDB"/>
    <w:rsid w:val="007D07CB"/>
    <w:rsid w:val="007D0EBE"/>
    <w:rsid w:val="007D118B"/>
    <w:rsid w:val="007D1969"/>
    <w:rsid w:val="007D31F0"/>
    <w:rsid w:val="007D3209"/>
    <w:rsid w:val="007D3AD6"/>
    <w:rsid w:val="007D52DA"/>
    <w:rsid w:val="007D546F"/>
    <w:rsid w:val="007D5DB0"/>
    <w:rsid w:val="007D5F39"/>
    <w:rsid w:val="007D5FE5"/>
    <w:rsid w:val="007D6918"/>
    <w:rsid w:val="007D6D03"/>
    <w:rsid w:val="007D6EC9"/>
    <w:rsid w:val="007D702D"/>
    <w:rsid w:val="007E0582"/>
    <w:rsid w:val="007E0ED0"/>
    <w:rsid w:val="007E0EFA"/>
    <w:rsid w:val="007E16CA"/>
    <w:rsid w:val="007E3B27"/>
    <w:rsid w:val="007E4A58"/>
    <w:rsid w:val="007E4BAF"/>
    <w:rsid w:val="007E4FFD"/>
    <w:rsid w:val="007E50AC"/>
    <w:rsid w:val="007E583E"/>
    <w:rsid w:val="007E6EF3"/>
    <w:rsid w:val="007F09E9"/>
    <w:rsid w:val="007F0CD6"/>
    <w:rsid w:val="007F1595"/>
    <w:rsid w:val="007F1AAD"/>
    <w:rsid w:val="007F1FBA"/>
    <w:rsid w:val="007F56A8"/>
    <w:rsid w:val="007F61C3"/>
    <w:rsid w:val="007F65B4"/>
    <w:rsid w:val="007F70E6"/>
    <w:rsid w:val="007F7178"/>
    <w:rsid w:val="007F7CB8"/>
    <w:rsid w:val="00800D60"/>
    <w:rsid w:val="008016CE"/>
    <w:rsid w:val="008019BD"/>
    <w:rsid w:val="00801D61"/>
    <w:rsid w:val="0080370B"/>
    <w:rsid w:val="008073F1"/>
    <w:rsid w:val="0080752B"/>
    <w:rsid w:val="008118DC"/>
    <w:rsid w:val="0081221F"/>
    <w:rsid w:val="008129F5"/>
    <w:rsid w:val="00813F77"/>
    <w:rsid w:val="00814158"/>
    <w:rsid w:val="00814B64"/>
    <w:rsid w:val="00815502"/>
    <w:rsid w:val="008157C4"/>
    <w:rsid w:val="00815A1A"/>
    <w:rsid w:val="00815FBB"/>
    <w:rsid w:val="00815FD7"/>
    <w:rsid w:val="00817C96"/>
    <w:rsid w:val="00817F44"/>
    <w:rsid w:val="00821F95"/>
    <w:rsid w:val="00823CDA"/>
    <w:rsid w:val="00826454"/>
    <w:rsid w:val="00826CA7"/>
    <w:rsid w:val="00826D2D"/>
    <w:rsid w:val="00827DAE"/>
    <w:rsid w:val="00831249"/>
    <w:rsid w:val="00831446"/>
    <w:rsid w:val="008315DF"/>
    <w:rsid w:val="00831E80"/>
    <w:rsid w:val="00832C0E"/>
    <w:rsid w:val="00833124"/>
    <w:rsid w:val="00833341"/>
    <w:rsid w:val="00833FCA"/>
    <w:rsid w:val="008412DA"/>
    <w:rsid w:val="00841A13"/>
    <w:rsid w:val="00842B9E"/>
    <w:rsid w:val="008434B9"/>
    <w:rsid w:val="00843823"/>
    <w:rsid w:val="008442A2"/>
    <w:rsid w:val="00844613"/>
    <w:rsid w:val="008447AD"/>
    <w:rsid w:val="00844A58"/>
    <w:rsid w:val="00846867"/>
    <w:rsid w:val="00846972"/>
    <w:rsid w:val="00847E0D"/>
    <w:rsid w:val="00847F08"/>
    <w:rsid w:val="0085035E"/>
    <w:rsid w:val="00852786"/>
    <w:rsid w:val="00852BEC"/>
    <w:rsid w:val="0085431F"/>
    <w:rsid w:val="00854439"/>
    <w:rsid w:val="00854D24"/>
    <w:rsid w:val="00854FFD"/>
    <w:rsid w:val="008551C6"/>
    <w:rsid w:val="00855EDD"/>
    <w:rsid w:val="0085701F"/>
    <w:rsid w:val="008600DD"/>
    <w:rsid w:val="0086059E"/>
    <w:rsid w:val="00861F7C"/>
    <w:rsid w:val="008621D4"/>
    <w:rsid w:val="0086259E"/>
    <w:rsid w:val="00862BD6"/>
    <w:rsid w:val="00862C7B"/>
    <w:rsid w:val="00863029"/>
    <w:rsid w:val="00863650"/>
    <w:rsid w:val="00863E4F"/>
    <w:rsid w:val="00864C63"/>
    <w:rsid w:val="0086547A"/>
    <w:rsid w:val="00866029"/>
    <w:rsid w:val="008679B4"/>
    <w:rsid w:val="008702DA"/>
    <w:rsid w:val="008711EC"/>
    <w:rsid w:val="00871B3C"/>
    <w:rsid w:val="00873E63"/>
    <w:rsid w:val="00874141"/>
    <w:rsid w:val="008743D4"/>
    <w:rsid w:val="00874404"/>
    <w:rsid w:val="0087586B"/>
    <w:rsid w:val="00875C72"/>
    <w:rsid w:val="008802E6"/>
    <w:rsid w:val="008816BF"/>
    <w:rsid w:val="00882872"/>
    <w:rsid w:val="00883715"/>
    <w:rsid w:val="008839AE"/>
    <w:rsid w:val="00883C2E"/>
    <w:rsid w:val="00883C30"/>
    <w:rsid w:val="00883C8C"/>
    <w:rsid w:val="00883F1C"/>
    <w:rsid w:val="00885AF1"/>
    <w:rsid w:val="00886145"/>
    <w:rsid w:val="008866CA"/>
    <w:rsid w:val="00886B71"/>
    <w:rsid w:val="00887368"/>
    <w:rsid w:val="0088758B"/>
    <w:rsid w:val="008879DB"/>
    <w:rsid w:val="008925C3"/>
    <w:rsid w:val="00892AB6"/>
    <w:rsid w:val="008937AD"/>
    <w:rsid w:val="00895092"/>
    <w:rsid w:val="00895DC5"/>
    <w:rsid w:val="00896550"/>
    <w:rsid w:val="00897085"/>
    <w:rsid w:val="008A0E57"/>
    <w:rsid w:val="008A0F03"/>
    <w:rsid w:val="008A16C9"/>
    <w:rsid w:val="008A2A99"/>
    <w:rsid w:val="008A2AA7"/>
    <w:rsid w:val="008A3511"/>
    <w:rsid w:val="008A3DB0"/>
    <w:rsid w:val="008A4E32"/>
    <w:rsid w:val="008A5215"/>
    <w:rsid w:val="008A565B"/>
    <w:rsid w:val="008A59DC"/>
    <w:rsid w:val="008A5E2A"/>
    <w:rsid w:val="008A694A"/>
    <w:rsid w:val="008A69D0"/>
    <w:rsid w:val="008A7128"/>
    <w:rsid w:val="008B0393"/>
    <w:rsid w:val="008B0610"/>
    <w:rsid w:val="008B112D"/>
    <w:rsid w:val="008B15FE"/>
    <w:rsid w:val="008B19E9"/>
    <w:rsid w:val="008B1FED"/>
    <w:rsid w:val="008B2A2B"/>
    <w:rsid w:val="008B3673"/>
    <w:rsid w:val="008B4D26"/>
    <w:rsid w:val="008B70A8"/>
    <w:rsid w:val="008B7B1B"/>
    <w:rsid w:val="008C0AF9"/>
    <w:rsid w:val="008C12C3"/>
    <w:rsid w:val="008C2AA8"/>
    <w:rsid w:val="008C2E31"/>
    <w:rsid w:val="008C3BBC"/>
    <w:rsid w:val="008C5288"/>
    <w:rsid w:val="008C5F65"/>
    <w:rsid w:val="008C5F9D"/>
    <w:rsid w:val="008C6079"/>
    <w:rsid w:val="008C6D13"/>
    <w:rsid w:val="008D0054"/>
    <w:rsid w:val="008D0BB2"/>
    <w:rsid w:val="008D0FDB"/>
    <w:rsid w:val="008D14C3"/>
    <w:rsid w:val="008D1BA2"/>
    <w:rsid w:val="008D1EA6"/>
    <w:rsid w:val="008D23F0"/>
    <w:rsid w:val="008D2A73"/>
    <w:rsid w:val="008D3318"/>
    <w:rsid w:val="008D3396"/>
    <w:rsid w:val="008D3E5A"/>
    <w:rsid w:val="008D45BE"/>
    <w:rsid w:val="008D45C8"/>
    <w:rsid w:val="008D46D4"/>
    <w:rsid w:val="008D4744"/>
    <w:rsid w:val="008D58E0"/>
    <w:rsid w:val="008D6493"/>
    <w:rsid w:val="008D6E75"/>
    <w:rsid w:val="008D7998"/>
    <w:rsid w:val="008E147D"/>
    <w:rsid w:val="008E2369"/>
    <w:rsid w:val="008E26B5"/>
    <w:rsid w:val="008E3111"/>
    <w:rsid w:val="008E66B7"/>
    <w:rsid w:val="008F094D"/>
    <w:rsid w:val="008F1441"/>
    <w:rsid w:val="008F1F06"/>
    <w:rsid w:val="008F2E3F"/>
    <w:rsid w:val="008F32AE"/>
    <w:rsid w:val="008F4C69"/>
    <w:rsid w:val="008F4FAA"/>
    <w:rsid w:val="008F5AD5"/>
    <w:rsid w:val="008F65D7"/>
    <w:rsid w:val="008F78DC"/>
    <w:rsid w:val="00900EE6"/>
    <w:rsid w:val="00901110"/>
    <w:rsid w:val="00901E93"/>
    <w:rsid w:val="00902726"/>
    <w:rsid w:val="00903136"/>
    <w:rsid w:val="00903163"/>
    <w:rsid w:val="00903660"/>
    <w:rsid w:val="00903F96"/>
    <w:rsid w:val="00905689"/>
    <w:rsid w:val="0090723A"/>
    <w:rsid w:val="00907949"/>
    <w:rsid w:val="0091055B"/>
    <w:rsid w:val="0091075B"/>
    <w:rsid w:val="0091091B"/>
    <w:rsid w:val="00911740"/>
    <w:rsid w:val="00911E76"/>
    <w:rsid w:val="0091281E"/>
    <w:rsid w:val="009134E4"/>
    <w:rsid w:val="009146DF"/>
    <w:rsid w:val="00914CF7"/>
    <w:rsid w:val="00914E1A"/>
    <w:rsid w:val="00915A62"/>
    <w:rsid w:val="00916591"/>
    <w:rsid w:val="009168A5"/>
    <w:rsid w:val="00916CF9"/>
    <w:rsid w:val="009172B7"/>
    <w:rsid w:val="0091759D"/>
    <w:rsid w:val="00917E0F"/>
    <w:rsid w:val="009223B8"/>
    <w:rsid w:val="00922D13"/>
    <w:rsid w:val="00923C02"/>
    <w:rsid w:val="00923C1D"/>
    <w:rsid w:val="009244FB"/>
    <w:rsid w:val="009252DF"/>
    <w:rsid w:val="00925AFD"/>
    <w:rsid w:val="0092636F"/>
    <w:rsid w:val="009268C2"/>
    <w:rsid w:val="009273C8"/>
    <w:rsid w:val="00927FE4"/>
    <w:rsid w:val="009310C2"/>
    <w:rsid w:val="00931AD9"/>
    <w:rsid w:val="00931CC2"/>
    <w:rsid w:val="0093225B"/>
    <w:rsid w:val="00933095"/>
    <w:rsid w:val="0093311C"/>
    <w:rsid w:val="00933138"/>
    <w:rsid w:val="00933415"/>
    <w:rsid w:val="00934266"/>
    <w:rsid w:val="00934AD2"/>
    <w:rsid w:val="00934D9E"/>
    <w:rsid w:val="009359AF"/>
    <w:rsid w:val="00935BC4"/>
    <w:rsid w:val="009369BA"/>
    <w:rsid w:val="009373E0"/>
    <w:rsid w:val="00937BF2"/>
    <w:rsid w:val="00937D2B"/>
    <w:rsid w:val="009416BA"/>
    <w:rsid w:val="00941840"/>
    <w:rsid w:val="0094199B"/>
    <w:rsid w:val="00942793"/>
    <w:rsid w:val="00942882"/>
    <w:rsid w:val="009432E5"/>
    <w:rsid w:val="009434E5"/>
    <w:rsid w:val="009443D0"/>
    <w:rsid w:val="00944983"/>
    <w:rsid w:val="00945611"/>
    <w:rsid w:val="00945994"/>
    <w:rsid w:val="00950BAA"/>
    <w:rsid w:val="00951183"/>
    <w:rsid w:val="00952076"/>
    <w:rsid w:val="00953697"/>
    <w:rsid w:val="009564AF"/>
    <w:rsid w:val="00956A1F"/>
    <w:rsid w:val="00957826"/>
    <w:rsid w:val="009602C5"/>
    <w:rsid w:val="00960511"/>
    <w:rsid w:val="00960971"/>
    <w:rsid w:val="00960A52"/>
    <w:rsid w:val="00961438"/>
    <w:rsid w:val="009622AD"/>
    <w:rsid w:val="00962A63"/>
    <w:rsid w:val="00962D60"/>
    <w:rsid w:val="00963644"/>
    <w:rsid w:val="00963AD2"/>
    <w:rsid w:val="00963BEB"/>
    <w:rsid w:val="00965BFE"/>
    <w:rsid w:val="00966C8A"/>
    <w:rsid w:val="00967C60"/>
    <w:rsid w:val="0097036C"/>
    <w:rsid w:val="00970B6E"/>
    <w:rsid w:val="00970CDA"/>
    <w:rsid w:val="009719DF"/>
    <w:rsid w:val="00972995"/>
    <w:rsid w:val="00973FE0"/>
    <w:rsid w:val="009741A7"/>
    <w:rsid w:val="00975AEA"/>
    <w:rsid w:val="009762BD"/>
    <w:rsid w:val="00976675"/>
    <w:rsid w:val="00976C6D"/>
    <w:rsid w:val="009775E1"/>
    <w:rsid w:val="009803BE"/>
    <w:rsid w:val="009808C2"/>
    <w:rsid w:val="0098127B"/>
    <w:rsid w:val="009822C4"/>
    <w:rsid w:val="009828DF"/>
    <w:rsid w:val="00982DDC"/>
    <w:rsid w:val="009830D3"/>
    <w:rsid w:val="00983467"/>
    <w:rsid w:val="009850D0"/>
    <w:rsid w:val="00985693"/>
    <w:rsid w:val="009867A2"/>
    <w:rsid w:val="00986A34"/>
    <w:rsid w:val="00987548"/>
    <w:rsid w:val="00987EFC"/>
    <w:rsid w:val="0099030D"/>
    <w:rsid w:val="009905C4"/>
    <w:rsid w:val="00990D65"/>
    <w:rsid w:val="00990D9A"/>
    <w:rsid w:val="00990DC0"/>
    <w:rsid w:val="00991000"/>
    <w:rsid w:val="00992EAE"/>
    <w:rsid w:val="009945F7"/>
    <w:rsid w:val="0099580C"/>
    <w:rsid w:val="009958A7"/>
    <w:rsid w:val="00995A2D"/>
    <w:rsid w:val="009972C4"/>
    <w:rsid w:val="009A0E64"/>
    <w:rsid w:val="009A12DE"/>
    <w:rsid w:val="009A1AED"/>
    <w:rsid w:val="009A28BD"/>
    <w:rsid w:val="009A2ABE"/>
    <w:rsid w:val="009A35CB"/>
    <w:rsid w:val="009A3805"/>
    <w:rsid w:val="009A471F"/>
    <w:rsid w:val="009A5C66"/>
    <w:rsid w:val="009A6535"/>
    <w:rsid w:val="009A6D02"/>
    <w:rsid w:val="009A7154"/>
    <w:rsid w:val="009A7CCC"/>
    <w:rsid w:val="009A7FFC"/>
    <w:rsid w:val="009B0A05"/>
    <w:rsid w:val="009B1A9E"/>
    <w:rsid w:val="009B1DF1"/>
    <w:rsid w:val="009B2066"/>
    <w:rsid w:val="009B27D1"/>
    <w:rsid w:val="009B2C93"/>
    <w:rsid w:val="009B40DE"/>
    <w:rsid w:val="009B5CFE"/>
    <w:rsid w:val="009B72E7"/>
    <w:rsid w:val="009B72ED"/>
    <w:rsid w:val="009B7642"/>
    <w:rsid w:val="009C0E1B"/>
    <w:rsid w:val="009C0FE2"/>
    <w:rsid w:val="009C21A9"/>
    <w:rsid w:val="009C2485"/>
    <w:rsid w:val="009C3ED4"/>
    <w:rsid w:val="009D0B63"/>
    <w:rsid w:val="009D17D7"/>
    <w:rsid w:val="009D1889"/>
    <w:rsid w:val="009D18D4"/>
    <w:rsid w:val="009D3158"/>
    <w:rsid w:val="009D3A6E"/>
    <w:rsid w:val="009D5B1E"/>
    <w:rsid w:val="009D77B3"/>
    <w:rsid w:val="009D77F8"/>
    <w:rsid w:val="009E05C2"/>
    <w:rsid w:val="009E1896"/>
    <w:rsid w:val="009E1C4B"/>
    <w:rsid w:val="009E23F7"/>
    <w:rsid w:val="009E250C"/>
    <w:rsid w:val="009E25F1"/>
    <w:rsid w:val="009E32F4"/>
    <w:rsid w:val="009E4386"/>
    <w:rsid w:val="009E473D"/>
    <w:rsid w:val="009E47F4"/>
    <w:rsid w:val="009E5CDF"/>
    <w:rsid w:val="009E6803"/>
    <w:rsid w:val="009E7CAE"/>
    <w:rsid w:val="009F0853"/>
    <w:rsid w:val="009F11A4"/>
    <w:rsid w:val="009F38F0"/>
    <w:rsid w:val="009F4407"/>
    <w:rsid w:val="009F5373"/>
    <w:rsid w:val="009F65B2"/>
    <w:rsid w:val="009F690B"/>
    <w:rsid w:val="009F6B78"/>
    <w:rsid w:val="009F7C77"/>
    <w:rsid w:val="009F7F0C"/>
    <w:rsid w:val="00A0222A"/>
    <w:rsid w:val="00A0328D"/>
    <w:rsid w:val="00A03801"/>
    <w:rsid w:val="00A03DB3"/>
    <w:rsid w:val="00A04050"/>
    <w:rsid w:val="00A04917"/>
    <w:rsid w:val="00A04EA7"/>
    <w:rsid w:val="00A05347"/>
    <w:rsid w:val="00A06C66"/>
    <w:rsid w:val="00A07EA0"/>
    <w:rsid w:val="00A112AF"/>
    <w:rsid w:val="00A11637"/>
    <w:rsid w:val="00A12C4D"/>
    <w:rsid w:val="00A141D7"/>
    <w:rsid w:val="00A14D10"/>
    <w:rsid w:val="00A166EC"/>
    <w:rsid w:val="00A17820"/>
    <w:rsid w:val="00A1798E"/>
    <w:rsid w:val="00A218C9"/>
    <w:rsid w:val="00A21EDC"/>
    <w:rsid w:val="00A22FED"/>
    <w:rsid w:val="00A24918"/>
    <w:rsid w:val="00A2507C"/>
    <w:rsid w:val="00A25187"/>
    <w:rsid w:val="00A26D07"/>
    <w:rsid w:val="00A26E7B"/>
    <w:rsid w:val="00A343FE"/>
    <w:rsid w:val="00A36A2E"/>
    <w:rsid w:val="00A36DE7"/>
    <w:rsid w:val="00A41B34"/>
    <w:rsid w:val="00A4296D"/>
    <w:rsid w:val="00A430A8"/>
    <w:rsid w:val="00A459E0"/>
    <w:rsid w:val="00A46F37"/>
    <w:rsid w:val="00A47D8E"/>
    <w:rsid w:val="00A5059C"/>
    <w:rsid w:val="00A505AC"/>
    <w:rsid w:val="00A50A4E"/>
    <w:rsid w:val="00A52C2A"/>
    <w:rsid w:val="00A531A5"/>
    <w:rsid w:val="00A53784"/>
    <w:rsid w:val="00A55B8E"/>
    <w:rsid w:val="00A5626B"/>
    <w:rsid w:val="00A57787"/>
    <w:rsid w:val="00A578FC"/>
    <w:rsid w:val="00A60583"/>
    <w:rsid w:val="00A607E8"/>
    <w:rsid w:val="00A60AC3"/>
    <w:rsid w:val="00A61660"/>
    <w:rsid w:val="00A61B46"/>
    <w:rsid w:val="00A622AA"/>
    <w:rsid w:val="00A6285D"/>
    <w:rsid w:val="00A62B2E"/>
    <w:rsid w:val="00A62ED3"/>
    <w:rsid w:val="00A6457F"/>
    <w:rsid w:val="00A65453"/>
    <w:rsid w:val="00A660A7"/>
    <w:rsid w:val="00A6689D"/>
    <w:rsid w:val="00A67FEB"/>
    <w:rsid w:val="00A701C8"/>
    <w:rsid w:val="00A705B0"/>
    <w:rsid w:val="00A711F9"/>
    <w:rsid w:val="00A72193"/>
    <w:rsid w:val="00A72656"/>
    <w:rsid w:val="00A727EE"/>
    <w:rsid w:val="00A730F0"/>
    <w:rsid w:val="00A737FF"/>
    <w:rsid w:val="00A73ABB"/>
    <w:rsid w:val="00A75404"/>
    <w:rsid w:val="00A75F6F"/>
    <w:rsid w:val="00A8023F"/>
    <w:rsid w:val="00A82DC9"/>
    <w:rsid w:val="00A834F2"/>
    <w:rsid w:val="00A83E6D"/>
    <w:rsid w:val="00A83E6F"/>
    <w:rsid w:val="00A8604A"/>
    <w:rsid w:val="00A8779D"/>
    <w:rsid w:val="00A902E7"/>
    <w:rsid w:val="00A90F20"/>
    <w:rsid w:val="00A91332"/>
    <w:rsid w:val="00A92B8B"/>
    <w:rsid w:val="00A92E93"/>
    <w:rsid w:val="00A9388F"/>
    <w:rsid w:val="00A941B0"/>
    <w:rsid w:val="00A947C1"/>
    <w:rsid w:val="00A950CD"/>
    <w:rsid w:val="00A963D8"/>
    <w:rsid w:val="00A97ADC"/>
    <w:rsid w:val="00AA0D1E"/>
    <w:rsid w:val="00AA2B78"/>
    <w:rsid w:val="00AA2D50"/>
    <w:rsid w:val="00AA2E78"/>
    <w:rsid w:val="00AA2F43"/>
    <w:rsid w:val="00AA459C"/>
    <w:rsid w:val="00AA4682"/>
    <w:rsid w:val="00AA50D2"/>
    <w:rsid w:val="00AA5C6C"/>
    <w:rsid w:val="00AA61A3"/>
    <w:rsid w:val="00AA6652"/>
    <w:rsid w:val="00AA6757"/>
    <w:rsid w:val="00AA68AE"/>
    <w:rsid w:val="00AA6BCE"/>
    <w:rsid w:val="00AA6BEB"/>
    <w:rsid w:val="00AA7171"/>
    <w:rsid w:val="00AA7751"/>
    <w:rsid w:val="00AB0AB7"/>
    <w:rsid w:val="00AB1259"/>
    <w:rsid w:val="00AB1C60"/>
    <w:rsid w:val="00AB21CA"/>
    <w:rsid w:val="00AB2497"/>
    <w:rsid w:val="00AB33AE"/>
    <w:rsid w:val="00AB430C"/>
    <w:rsid w:val="00AB52F4"/>
    <w:rsid w:val="00AB69F5"/>
    <w:rsid w:val="00AB6B37"/>
    <w:rsid w:val="00AC1003"/>
    <w:rsid w:val="00AC2CC0"/>
    <w:rsid w:val="00AC3461"/>
    <w:rsid w:val="00AC34AB"/>
    <w:rsid w:val="00AC3C59"/>
    <w:rsid w:val="00AC415A"/>
    <w:rsid w:val="00AC4397"/>
    <w:rsid w:val="00AC4434"/>
    <w:rsid w:val="00AC4562"/>
    <w:rsid w:val="00AC4DF2"/>
    <w:rsid w:val="00AC7981"/>
    <w:rsid w:val="00AD09FA"/>
    <w:rsid w:val="00AD0A06"/>
    <w:rsid w:val="00AD145F"/>
    <w:rsid w:val="00AD1731"/>
    <w:rsid w:val="00AD19FF"/>
    <w:rsid w:val="00AD1C44"/>
    <w:rsid w:val="00AD20DE"/>
    <w:rsid w:val="00AD3B22"/>
    <w:rsid w:val="00AD48A2"/>
    <w:rsid w:val="00AD5BCD"/>
    <w:rsid w:val="00AD6D65"/>
    <w:rsid w:val="00AD7C9A"/>
    <w:rsid w:val="00AD7F36"/>
    <w:rsid w:val="00AE0C3B"/>
    <w:rsid w:val="00AE1D67"/>
    <w:rsid w:val="00AE21E4"/>
    <w:rsid w:val="00AE3526"/>
    <w:rsid w:val="00AE475D"/>
    <w:rsid w:val="00AE622F"/>
    <w:rsid w:val="00AE6B26"/>
    <w:rsid w:val="00AE7235"/>
    <w:rsid w:val="00AE7A38"/>
    <w:rsid w:val="00AF0ADF"/>
    <w:rsid w:val="00AF24F8"/>
    <w:rsid w:val="00AF2E75"/>
    <w:rsid w:val="00AF3B10"/>
    <w:rsid w:val="00AF3C74"/>
    <w:rsid w:val="00AF4383"/>
    <w:rsid w:val="00AF4686"/>
    <w:rsid w:val="00AF53CC"/>
    <w:rsid w:val="00AF6D78"/>
    <w:rsid w:val="00AF7C12"/>
    <w:rsid w:val="00B015B5"/>
    <w:rsid w:val="00B02D20"/>
    <w:rsid w:val="00B04CCC"/>
    <w:rsid w:val="00B069C0"/>
    <w:rsid w:val="00B07A0D"/>
    <w:rsid w:val="00B10C1C"/>
    <w:rsid w:val="00B10FDF"/>
    <w:rsid w:val="00B116E2"/>
    <w:rsid w:val="00B11F1B"/>
    <w:rsid w:val="00B12679"/>
    <w:rsid w:val="00B144E7"/>
    <w:rsid w:val="00B146C1"/>
    <w:rsid w:val="00B14DDB"/>
    <w:rsid w:val="00B14E21"/>
    <w:rsid w:val="00B14E4D"/>
    <w:rsid w:val="00B153EE"/>
    <w:rsid w:val="00B16A35"/>
    <w:rsid w:val="00B1732A"/>
    <w:rsid w:val="00B20966"/>
    <w:rsid w:val="00B20F36"/>
    <w:rsid w:val="00B22506"/>
    <w:rsid w:val="00B22797"/>
    <w:rsid w:val="00B22C9D"/>
    <w:rsid w:val="00B2515D"/>
    <w:rsid w:val="00B25754"/>
    <w:rsid w:val="00B25945"/>
    <w:rsid w:val="00B25C5B"/>
    <w:rsid w:val="00B2697E"/>
    <w:rsid w:val="00B3154F"/>
    <w:rsid w:val="00B31B41"/>
    <w:rsid w:val="00B326C2"/>
    <w:rsid w:val="00B332E3"/>
    <w:rsid w:val="00B3340B"/>
    <w:rsid w:val="00B338CF"/>
    <w:rsid w:val="00B33900"/>
    <w:rsid w:val="00B33BE0"/>
    <w:rsid w:val="00B3533D"/>
    <w:rsid w:val="00B35BED"/>
    <w:rsid w:val="00B361A1"/>
    <w:rsid w:val="00B37005"/>
    <w:rsid w:val="00B378D7"/>
    <w:rsid w:val="00B37957"/>
    <w:rsid w:val="00B37996"/>
    <w:rsid w:val="00B404CD"/>
    <w:rsid w:val="00B40F4D"/>
    <w:rsid w:val="00B41C3D"/>
    <w:rsid w:val="00B42F89"/>
    <w:rsid w:val="00B433D3"/>
    <w:rsid w:val="00B45CE3"/>
    <w:rsid w:val="00B514C9"/>
    <w:rsid w:val="00B54072"/>
    <w:rsid w:val="00B5522A"/>
    <w:rsid w:val="00B55C3C"/>
    <w:rsid w:val="00B5607F"/>
    <w:rsid w:val="00B56E46"/>
    <w:rsid w:val="00B57EB9"/>
    <w:rsid w:val="00B60886"/>
    <w:rsid w:val="00B610B6"/>
    <w:rsid w:val="00B61F90"/>
    <w:rsid w:val="00B6356E"/>
    <w:rsid w:val="00B635BD"/>
    <w:rsid w:val="00B655CC"/>
    <w:rsid w:val="00B66036"/>
    <w:rsid w:val="00B66CB5"/>
    <w:rsid w:val="00B66F31"/>
    <w:rsid w:val="00B67116"/>
    <w:rsid w:val="00B67B5C"/>
    <w:rsid w:val="00B73715"/>
    <w:rsid w:val="00B759F6"/>
    <w:rsid w:val="00B75CBF"/>
    <w:rsid w:val="00B76481"/>
    <w:rsid w:val="00B76917"/>
    <w:rsid w:val="00B76F25"/>
    <w:rsid w:val="00B77E06"/>
    <w:rsid w:val="00B80E46"/>
    <w:rsid w:val="00B82916"/>
    <w:rsid w:val="00B86142"/>
    <w:rsid w:val="00B906C7"/>
    <w:rsid w:val="00B90AA0"/>
    <w:rsid w:val="00B912B1"/>
    <w:rsid w:val="00B9693C"/>
    <w:rsid w:val="00B96E84"/>
    <w:rsid w:val="00B97F50"/>
    <w:rsid w:val="00BA07C7"/>
    <w:rsid w:val="00BA1347"/>
    <w:rsid w:val="00BA25A8"/>
    <w:rsid w:val="00BA4156"/>
    <w:rsid w:val="00BA4E69"/>
    <w:rsid w:val="00BA5909"/>
    <w:rsid w:val="00BA6096"/>
    <w:rsid w:val="00BA68EE"/>
    <w:rsid w:val="00BA691B"/>
    <w:rsid w:val="00BB1BCD"/>
    <w:rsid w:val="00BB2B61"/>
    <w:rsid w:val="00BB39DF"/>
    <w:rsid w:val="00BB4A36"/>
    <w:rsid w:val="00BB5287"/>
    <w:rsid w:val="00BB5FB3"/>
    <w:rsid w:val="00BC0483"/>
    <w:rsid w:val="00BC06C5"/>
    <w:rsid w:val="00BC0CB4"/>
    <w:rsid w:val="00BC2BD6"/>
    <w:rsid w:val="00BC48EE"/>
    <w:rsid w:val="00BC4EFE"/>
    <w:rsid w:val="00BC62B0"/>
    <w:rsid w:val="00BC69EC"/>
    <w:rsid w:val="00BC6B23"/>
    <w:rsid w:val="00BC7120"/>
    <w:rsid w:val="00BC7DE5"/>
    <w:rsid w:val="00BD0354"/>
    <w:rsid w:val="00BD0615"/>
    <w:rsid w:val="00BD0FD9"/>
    <w:rsid w:val="00BD1437"/>
    <w:rsid w:val="00BD18CD"/>
    <w:rsid w:val="00BD199F"/>
    <w:rsid w:val="00BD2609"/>
    <w:rsid w:val="00BD28E2"/>
    <w:rsid w:val="00BD44E2"/>
    <w:rsid w:val="00BD49BA"/>
    <w:rsid w:val="00BD5BFC"/>
    <w:rsid w:val="00BD5EAE"/>
    <w:rsid w:val="00BD6EED"/>
    <w:rsid w:val="00BD7E7B"/>
    <w:rsid w:val="00BE0329"/>
    <w:rsid w:val="00BE0749"/>
    <w:rsid w:val="00BE0B66"/>
    <w:rsid w:val="00BE11B6"/>
    <w:rsid w:val="00BE1B03"/>
    <w:rsid w:val="00BE30D1"/>
    <w:rsid w:val="00BE3E71"/>
    <w:rsid w:val="00BE4DEE"/>
    <w:rsid w:val="00BE517F"/>
    <w:rsid w:val="00BE5728"/>
    <w:rsid w:val="00BE6193"/>
    <w:rsid w:val="00BE7192"/>
    <w:rsid w:val="00BE7ED0"/>
    <w:rsid w:val="00BF0356"/>
    <w:rsid w:val="00BF041F"/>
    <w:rsid w:val="00BF1056"/>
    <w:rsid w:val="00BF480B"/>
    <w:rsid w:val="00BF484E"/>
    <w:rsid w:val="00BF48EA"/>
    <w:rsid w:val="00BF59AA"/>
    <w:rsid w:val="00BF6717"/>
    <w:rsid w:val="00BF6A55"/>
    <w:rsid w:val="00BF6F5E"/>
    <w:rsid w:val="00C00BA5"/>
    <w:rsid w:val="00C01AB2"/>
    <w:rsid w:val="00C01D4E"/>
    <w:rsid w:val="00C020B8"/>
    <w:rsid w:val="00C05DDF"/>
    <w:rsid w:val="00C05ECF"/>
    <w:rsid w:val="00C1112E"/>
    <w:rsid w:val="00C11534"/>
    <w:rsid w:val="00C12B06"/>
    <w:rsid w:val="00C14968"/>
    <w:rsid w:val="00C14CEF"/>
    <w:rsid w:val="00C1569D"/>
    <w:rsid w:val="00C1592D"/>
    <w:rsid w:val="00C160CB"/>
    <w:rsid w:val="00C16188"/>
    <w:rsid w:val="00C166C3"/>
    <w:rsid w:val="00C16CF2"/>
    <w:rsid w:val="00C16DF5"/>
    <w:rsid w:val="00C17583"/>
    <w:rsid w:val="00C17CE2"/>
    <w:rsid w:val="00C20799"/>
    <w:rsid w:val="00C207B6"/>
    <w:rsid w:val="00C22B55"/>
    <w:rsid w:val="00C24902"/>
    <w:rsid w:val="00C251EE"/>
    <w:rsid w:val="00C257B0"/>
    <w:rsid w:val="00C2620F"/>
    <w:rsid w:val="00C26557"/>
    <w:rsid w:val="00C26BE3"/>
    <w:rsid w:val="00C27152"/>
    <w:rsid w:val="00C2764F"/>
    <w:rsid w:val="00C27A2E"/>
    <w:rsid w:val="00C27C83"/>
    <w:rsid w:val="00C31677"/>
    <w:rsid w:val="00C32284"/>
    <w:rsid w:val="00C322C1"/>
    <w:rsid w:val="00C3295E"/>
    <w:rsid w:val="00C335C4"/>
    <w:rsid w:val="00C3440E"/>
    <w:rsid w:val="00C349C1"/>
    <w:rsid w:val="00C34C77"/>
    <w:rsid w:val="00C34F8A"/>
    <w:rsid w:val="00C353C6"/>
    <w:rsid w:val="00C36330"/>
    <w:rsid w:val="00C431AA"/>
    <w:rsid w:val="00C44437"/>
    <w:rsid w:val="00C46C19"/>
    <w:rsid w:val="00C4711B"/>
    <w:rsid w:val="00C4738A"/>
    <w:rsid w:val="00C473A2"/>
    <w:rsid w:val="00C50ADB"/>
    <w:rsid w:val="00C517EC"/>
    <w:rsid w:val="00C51F19"/>
    <w:rsid w:val="00C51F56"/>
    <w:rsid w:val="00C52D94"/>
    <w:rsid w:val="00C57A87"/>
    <w:rsid w:val="00C60226"/>
    <w:rsid w:val="00C6077B"/>
    <w:rsid w:val="00C60AB3"/>
    <w:rsid w:val="00C60C5B"/>
    <w:rsid w:val="00C62778"/>
    <w:rsid w:val="00C627B2"/>
    <w:rsid w:val="00C62EFD"/>
    <w:rsid w:val="00C6358C"/>
    <w:rsid w:val="00C63D86"/>
    <w:rsid w:val="00C63F85"/>
    <w:rsid w:val="00C64C4C"/>
    <w:rsid w:val="00C64D69"/>
    <w:rsid w:val="00C64F3F"/>
    <w:rsid w:val="00C6520D"/>
    <w:rsid w:val="00C668D8"/>
    <w:rsid w:val="00C67549"/>
    <w:rsid w:val="00C70069"/>
    <w:rsid w:val="00C708A7"/>
    <w:rsid w:val="00C71088"/>
    <w:rsid w:val="00C7118C"/>
    <w:rsid w:val="00C7121F"/>
    <w:rsid w:val="00C722FE"/>
    <w:rsid w:val="00C745BB"/>
    <w:rsid w:val="00C74BEB"/>
    <w:rsid w:val="00C76C54"/>
    <w:rsid w:val="00C80C33"/>
    <w:rsid w:val="00C81A74"/>
    <w:rsid w:val="00C824E1"/>
    <w:rsid w:val="00C82570"/>
    <w:rsid w:val="00C82ED6"/>
    <w:rsid w:val="00C84188"/>
    <w:rsid w:val="00C859A8"/>
    <w:rsid w:val="00C8741E"/>
    <w:rsid w:val="00C91055"/>
    <w:rsid w:val="00C9127F"/>
    <w:rsid w:val="00C92250"/>
    <w:rsid w:val="00C928F0"/>
    <w:rsid w:val="00C93177"/>
    <w:rsid w:val="00C93816"/>
    <w:rsid w:val="00C95BF2"/>
    <w:rsid w:val="00CA0B0B"/>
    <w:rsid w:val="00CA3791"/>
    <w:rsid w:val="00CA3FAE"/>
    <w:rsid w:val="00CA4693"/>
    <w:rsid w:val="00CA4E54"/>
    <w:rsid w:val="00CA5307"/>
    <w:rsid w:val="00CA53B9"/>
    <w:rsid w:val="00CA6286"/>
    <w:rsid w:val="00CA6A1A"/>
    <w:rsid w:val="00CA6C20"/>
    <w:rsid w:val="00CA705E"/>
    <w:rsid w:val="00CB077A"/>
    <w:rsid w:val="00CB0F93"/>
    <w:rsid w:val="00CB590D"/>
    <w:rsid w:val="00CB5ACF"/>
    <w:rsid w:val="00CB645B"/>
    <w:rsid w:val="00CB65DD"/>
    <w:rsid w:val="00CB67AF"/>
    <w:rsid w:val="00CB7ADB"/>
    <w:rsid w:val="00CC0A24"/>
    <w:rsid w:val="00CC13E2"/>
    <w:rsid w:val="00CC19DC"/>
    <w:rsid w:val="00CC2100"/>
    <w:rsid w:val="00CC319E"/>
    <w:rsid w:val="00CC399C"/>
    <w:rsid w:val="00CC40D8"/>
    <w:rsid w:val="00CC43FE"/>
    <w:rsid w:val="00CC5907"/>
    <w:rsid w:val="00CC59A9"/>
    <w:rsid w:val="00CC5E67"/>
    <w:rsid w:val="00CC6056"/>
    <w:rsid w:val="00CC6405"/>
    <w:rsid w:val="00CC64E3"/>
    <w:rsid w:val="00CC6AF4"/>
    <w:rsid w:val="00CC73C2"/>
    <w:rsid w:val="00CC7811"/>
    <w:rsid w:val="00CD1DC2"/>
    <w:rsid w:val="00CD2D05"/>
    <w:rsid w:val="00CD46A4"/>
    <w:rsid w:val="00CD5E1D"/>
    <w:rsid w:val="00CE0DD3"/>
    <w:rsid w:val="00CE0DE9"/>
    <w:rsid w:val="00CE295B"/>
    <w:rsid w:val="00CE3A1A"/>
    <w:rsid w:val="00CE44E0"/>
    <w:rsid w:val="00CE59B0"/>
    <w:rsid w:val="00CE633E"/>
    <w:rsid w:val="00CE6B03"/>
    <w:rsid w:val="00CE7ADF"/>
    <w:rsid w:val="00CE7CF8"/>
    <w:rsid w:val="00CF08E1"/>
    <w:rsid w:val="00CF349D"/>
    <w:rsid w:val="00CF356D"/>
    <w:rsid w:val="00CF415F"/>
    <w:rsid w:val="00CF4426"/>
    <w:rsid w:val="00CF4D55"/>
    <w:rsid w:val="00CF5904"/>
    <w:rsid w:val="00CF5ABA"/>
    <w:rsid w:val="00CF5F12"/>
    <w:rsid w:val="00CF6B2A"/>
    <w:rsid w:val="00CF704E"/>
    <w:rsid w:val="00CF7A07"/>
    <w:rsid w:val="00CF7DD9"/>
    <w:rsid w:val="00D00793"/>
    <w:rsid w:val="00D009D7"/>
    <w:rsid w:val="00D00E34"/>
    <w:rsid w:val="00D025DE"/>
    <w:rsid w:val="00D02CB0"/>
    <w:rsid w:val="00D031D0"/>
    <w:rsid w:val="00D04225"/>
    <w:rsid w:val="00D05168"/>
    <w:rsid w:val="00D05829"/>
    <w:rsid w:val="00D06429"/>
    <w:rsid w:val="00D072F0"/>
    <w:rsid w:val="00D072F2"/>
    <w:rsid w:val="00D07567"/>
    <w:rsid w:val="00D1082B"/>
    <w:rsid w:val="00D1099E"/>
    <w:rsid w:val="00D11024"/>
    <w:rsid w:val="00D11953"/>
    <w:rsid w:val="00D1197D"/>
    <w:rsid w:val="00D1265C"/>
    <w:rsid w:val="00D1267F"/>
    <w:rsid w:val="00D1326B"/>
    <w:rsid w:val="00D1447F"/>
    <w:rsid w:val="00D153CD"/>
    <w:rsid w:val="00D1545D"/>
    <w:rsid w:val="00D15BE6"/>
    <w:rsid w:val="00D16003"/>
    <w:rsid w:val="00D16054"/>
    <w:rsid w:val="00D16F0A"/>
    <w:rsid w:val="00D17DB6"/>
    <w:rsid w:val="00D2059D"/>
    <w:rsid w:val="00D235C3"/>
    <w:rsid w:val="00D2529D"/>
    <w:rsid w:val="00D255E0"/>
    <w:rsid w:val="00D25FBF"/>
    <w:rsid w:val="00D260A1"/>
    <w:rsid w:val="00D268FD"/>
    <w:rsid w:val="00D272B0"/>
    <w:rsid w:val="00D2789C"/>
    <w:rsid w:val="00D27E70"/>
    <w:rsid w:val="00D27FAF"/>
    <w:rsid w:val="00D306C2"/>
    <w:rsid w:val="00D31533"/>
    <w:rsid w:val="00D33298"/>
    <w:rsid w:val="00D333F3"/>
    <w:rsid w:val="00D33A49"/>
    <w:rsid w:val="00D34924"/>
    <w:rsid w:val="00D34FA6"/>
    <w:rsid w:val="00D351B2"/>
    <w:rsid w:val="00D354D3"/>
    <w:rsid w:val="00D36E3F"/>
    <w:rsid w:val="00D37E13"/>
    <w:rsid w:val="00D407EF"/>
    <w:rsid w:val="00D424CE"/>
    <w:rsid w:val="00D4410C"/>
    <w:rsid w:val="00D44112"/>
    <w:rsid w:val="00D445E3"/>
    <w:rsid w:val="00D44683"/>
    <w:rsid w:val="00D4495B"/>
    <w:rsid w:val="00D44CC5"/>
    <w:rsid w:val="00D45B88"/>
    <w:rsid w:val="00D52505"/>
    <w:rsid w:val="00D537F3"/>
    <w:rsid w:val="00D5417A"/>
    <w:rsid w:val="00D54549"/>
    <w:rsid w:val="00D55028"/>
    <w:rsid w:val="00D57556"/>
    <w:rsid w:val="00D57B7E"/>
    <w:rsid w:val="00D607CE"/>
    <w:rsid w:val="00D60DC1"/>
    <w:rsid w:val="00D611D0"/>
    <w:rsid w:val="00D61890"/>
    <w:rsid w:val="00D61D0D"/>
    <w:rsid w:val="00D62039"/>
    <w:rsid w:val="00D63284"/>
    <w:rsid w:val="00D644F1"/>
    <w:rsid w:val="00D648BF"/>
    <w:rsid w:val="00D6538C"/>
    <w:rsid w:val="00D66600"/>
    <w:rsid w:val="00D6702A"/>
    <w:rsid w:val="00D679D4"/>
    <w:rsid w:val="00D67A9A"/>
    <w:rsid w:val="00D67B8B"/>
    <w:rsid w:val="00D7073E"/>
    <w:rsid w:val="00D71930"/>
    <w:rsid w:val="00D733A1"/>
    <w:rsid w:val="00D757F7"/>
    <w:rsid w:val="00D774B8"/>
    <w:rsid w:val="00D77BAB"/>
    <w:rsid w:val="00D77E2C"/>
    <w:rsid w:val="00D77F33"/>
    <w:rsid w:val="00D8064C"/>
    <w:rsid w:val="00D80655"/>
    <w:rsid w:val="00D84484"/>
    <w:rsid w:val="00D84D2B"/>
    <w:rsid w:val="00D85911"/>
    <w:rsid w:val="00D862B2"/>
    <w:rsid w:val="00D8761A"/>
    <w:rsid w:val="00D87E38"/>
    <w:rsid w:val="00D87FDD"/>
    <w:rsid w:val="00D90607"/>
    <w:rsid w:val="00D913E2"/>
    <w:rsid w:val="00D92F4F"/>
    <w:rsid w:val="00D93641"/>
    <w:rsid w:val="00D95339"/>
    <w:rsid w:val="00D961D9"/>
    <w:rsid w:val="00D965FD"/>
    <w:rsid w:val="00D96702"/>
    <w:rsid w:val="00D967DA"/>
    <w:rsid w:val="00D96F22"/>
    <w:rsid w:val="00DA076F"/>
    <w:rsid w:val="00DA0C71"/>
    <w:rsid w:val="00DA0C9C"/>
    <w:rsid w:val="00DA2415"/>
    <w:rsid w:val="00DA26F1"/>
    <w:rsid w:val="00DA2FC0"/>
    <w:rsid w:val="00DA3999"/>
    <w:rsid w:val="00DA3E01"/>
    <w:rsid w:val="00DA512A"/>
    <w:rsid w:val="00DA59F8"/>
    <w:rsid w:val="00DA5D41"/>
    <w:rsid w:val="00DB0338"/>
    <w:rsid w:val="00DB0F35"/>
    <w:rsid w:val="00DB1FCA"/>
    <w:rsid w:val="00DB332D"/>
    <w:rsid w:val="00DC0887"/>
    <w:rsid w:val="00DC10BC"/>
    <w:rsid w:val="00DC1B72"/>
    <w:rsid w:val="00DC1D71"/>
    <w:rsid w:val="00DC3A2B"/>
    <w:rsid w:val="00DC41EA"/>
    <w:rsid w:val="00DC5424"/>
    <w:rsid w:val="00DC6029"/>
    <w:rsid w:val="00DD255F"/>
    <w:rsid w:val="00DD2C80"/>
    <w:rsid w:val="00DD5093"/>
    <w:rsid w:val="00DD5DB8"/>
    <w:rsid w:val="00DD6465"/>
    <w:rsid w:val="00DD6905"/>
    <w:rsid w:val="00DD7752"/>
    <w:rsid w:val="00DE0F80"/>
    <w:rsid w:val="00DE1B4F"/>
    <w:rsid w:val="00DE2996"/>
    <w:rsid w:val="00DE43A9"/>
    <w:rsid w:val="00DE51AF"/>
    <w:rsid w:val="00DE56A0"/>
    <w:rsid w:val="00DE6253"/>
    <w:rsid w:val="00DF0EB7"/>
    <w:rsid w:val="00DF187B"/>
    <w:rsid w:val="00DF1FAB"/>
    <w:rsid w:val="00DF2B09"/>
    <w:rsid w:val="00DF6500"/>
    <w:rsid w:val="00DF670B"/>
    <w:rsid w:val="00E0055B"/>
    <w:rsid w:val="00E0133B"/>
    <w:rsid w:val="00E01363"/>
    <w:rsid w:val="00E017B6"/>
    <w:rsid w:val="00E0453F"/>
    <w:rsid w:val="00E057BF"/>
    <w:rsid w:val="00E0594C"/>
    <w:rsid w:val="00E061F9"/>
    <w:rsid w:val="00E07472"/>
    <w:rsid w:val="00E079F4"/>
    <w:rsid w:val="00E10703"/>
    <w:rsid w:val="00E10932"/>
    <w:rsid w:val="00E117FA"/>
    <w:rsid w:val="00E11868"/>
    <w:rsid w:val="00E1187D"/>
    <w:rsid w:val="00E1209C"/>
    <w:rsid w:val="00E12615"/>
    <w:rsid w:val="00E13438"/>
    <w:rsid w:val="00E1381A"/>
    <w:rsid w:val="00E154C2"/>
    <w:rsid w:val="00E1698A"/>
    <w:rsid w:val="00E1745C"/>
    <w:rsid w:val="00E176EC"/>
    <w:rsid w:val="00E17966"/>
    <w:rsid w:val="00E17D44"/>
    <w:rsid w:val="00E17EFC"/>
    <w:rsid w:val="00E20DA1"/>
    <w:rsid w:val="00E25AC4"/>
    <w:rsid w:val="00E264EB"/>
    <w:rsid w:val="00E2725B"/>
    <w:rsid w:val="00E277CE"/>
    <w:rsid w:val="00E27A17"/>
    <w:rsid w:val="00E27B09"/>
    <w:rsid w:val="00E27B79"/>
    <w:rsid w:val="00E27F03"/>
    <w:rsid w:val="00E30975"/>
    <w:rsid w:val="00E31DB0"/>
    <w:rsid w:val="00E32B1F"/>
    <w:rsid w:val="00E3306E"/>
    <w:rsid w:val="00E3326E"/>
    <w:rsid w:val="00E33EDC"/>
    <w:rsid w:val="00E345AC"/>
    <w:rsid w:val="00E35FCA"/>
    <w:rsid w:val="00E3605D"/>
    <w:rsid w:val="00E36C34"/>
    <w:rsid w:val="00E37477"/>
    <w:rsid w:val="00E3753E"/>
    <w:rsid w:val="00E37DCA"/>
    <w:rsid w:val="00E40EDE"/>
    <w:rsid w:val="00E40F82"/>
    <w:rsid w:val="00E42C05"/>
    <w:rsid w:val="00E45146"/>
    <w:rsid w:val="00E458E0"/>
    <w:rsid w:val="00E45A56"/>
    <w:rsid w:val="00E45CD1"/>
    <w:rsid w:val="00E45E60"/>
    <w:rsid w:val="00E464C3"/>
    <w:rsid w:val="00E46BD2"/>
    <w:rsid w:val="00E505A9"/>
    <w:rsid w:val="00E51564"/>
    <w:rsid w:val="00E522E8"/>
    <w:rsid w:val="00E528F2"/>
    <w:rsid w:val="00E53D7E"/>
    <w:rsid w:val="00E53E69"/>
    <w:rsid w:val="00E54186"/>
    <w:rsid w:val="00E54738"/>
    <w:rsid w:val="00E5513D"/>
    <w:rsid w:val="00E564FF"/>
    <w:rsid w:val="00E60A4D"/>
    <w:rsid w:val="00E62189"/>
    <w:rsid w:val="00E63347"/>
    <w:rsid w:val="00E6502F"/>
    <w:rsid w:val="00E657EF"/>
    <w:rsid w:val="00E65C2C"/>
    <w:rsid w:val="00E6777A"/>
    <w:rsid w:val="00E70343"/>
    <w:rsid w:val="00E708B8"/>
    <w:rsid w:val="00E70B33"/>
    <w:rsid w:val="00E71C6C"/>
    <w:rsid w:val="00E7308A"/>
    <w:rsid w:val="00E73179"/>
    <w:rsid w:val="00E74130"/>
    <w:rsid w:val="00E74361"/>
    <w:rsid w:val="00E74837"/>
    <w:rsid w:val="00E74F82"/>
    <w:rsid w:val="00E75481"/>
    <w:rsid w:val="00E7738D"/>
    <w:rsid w:val="00E7769E"/>
    <w:rsid w:val="00E77BB6"/>
    <w:rsid w:val="00E77F38"/>
    <w:rsid w:val="00E8104F"/>
    <w:rsid w:val="00E8336F"/>
    <w:rsid w:val="00E84232"/>
    <w:rsid w:val="00E844CE"/>
    <w:rsid w:val="00E873D5"/>
    <w:rsid w:val="00E874C0"/>
    <w:rsid w:val="00E87A92"/>
    <w:rsid w:val="00E90ACA"/>
    <w:rsid w:val="00E91F17"/>
    <w:rsid w:val="00E922B7"/>
    <w:rsid w:val="00E94713"/>
    <w:rsid w:val="00E95123"/>
    <w:rsid w:val="00E95838"/>
    <w:rsid w:val="00E95929"/>
    <w:rsid w:val="00E96225"/>
    <w:rsid w:val="00E962F1"/>
    <w:rsid w:val="00E979F9"/>
    <w:rsid w:val="00EA0377"/>
    <w:rsid w:val="00EA0553"/>
    <w:rsid w:val="00EA10CF"/>
    <w:rsid w:val="00EA2E55"/>
    <w:rsid w:val="00EA340C"/>
    <w:rsid w:val="00EA4F80"/>
    <w:rsid w:val="00EA528C"/>
    <w:rsid w:val="00EA66D9"/>
    <w:rsid w:val="00EA6D5E"/>
    <w:rsid w:val="00EB1000"/>
    <w:rsid w:val="00EB3F93"/>
    <w:rsid w:val="00EB5728"/>
    <w:rsid w:val="00EB660C"/>
    <w:rsid w:val="00EB6B58"/>
    <w:rsid w:val="00EB7815"/>
    <w:rsid w:val="00EB7F55"/>
    <w:rsid w:val="00EC0199"/>
    <w:rsid w:val="00EC02C2"/>
    <w:rsid w:val="00EC0AFC"/>
    <w:rsid w:val="00EC2457"/>
    <w:rsid w:val="00EC290B"/>
    <w:rsid w:val="00EC316E"/>
    <w:rsid w:val="00EC4C0B"/>
    <w:rsid w:val="00EC4E21"/>
    <w:rsid w:val="00EC53FB"/>
    <w:rsid w:val="00EC5B43"/>
    <w:rsid w:val="00EC6BB0"/>
    <w:rsid w:val="00EC6C3B"/>
    <w:rsid w:val="00EC6FBB"/>
    <w:rsid w:val="00EC767B"/>
    <w:rsid w:val="00ED05B6"/>
    <w:rsid w:val="00ED14F3"/>
    <w:rsid w:val="00ED17DA"/>
    <w:rsid w:val="00ED1AAE"/>
    <w:rsid w:val="00ED1D50"/>
    <w:rsid w:val="00ED26E6"/>
    <w:rsid w:val="00ED372A"/>
    <w:rsid w:val="00ED4AE3"/>
    <w:rsid w:val="00ED5008"/>
    <w:rsid w:val="00ED543F"/>
    <w:rsid w:val="00ED5C70"/>
    <w:rsid w:val="00EE0545"/>
    <w:rsid w:val="00EE0A26"/>
    <w:rsid w:val="00EE0D9B"/>
    <w:rsid w:val="00EE1EFC"/>
    <w:rsid w:val="00EE2E7E"/>
    <w:rsid w:val="00EE3054"/>
    <w:rsid w:val="00EE41DB"/>
    <w:rsid w:val="00EE42ED"/>
    <w:rsid w:val="00EE4716"/>
    <w:rsid w:val="00EE4FC5"/>
    <w:rsid w:val="00EE61A4"/>
    <w:rsid w:val="00EE7B03"/>
    <w:rsid w:val="00EF1719"/>
    <w:rsid w:val="00EF1AF3"/>
    <w:rsid w:val="00EF2340"/>
    <w:rsid w:val="00EF51FA"/>
    <w:rsid w:val="00EF599E"/>
    <w:rsid w:val="00F00316"/>
    <w:rsid w:val="00F01019"/>
    <w:rsid w:val="00F01320"/>
    <w:rsid w:val="00F0152A"/>
    <w:rsid w:val="00F01BD6"/>
    <w:rsid w:val="00F03BFD"/>
    <w:rsid w:val="00F049D3"/>
    <w:rsid w:val="00F07DCD"/>
    <w:rsid w:val="00F10D78"/>
    <w:rsid w:val="00F11FD9"/>
    <w:rsid w:val="00F131D7"/>
    <w:rsid w:val="00F14612"/>
    <w:rsid w:val="00F14B9B"/>
    <w:rsid w:val="00F21111"/>
    <w:rsid w:val="00F215CC"/>
    <w:rsid w:val="00F221BA"/>
    <w:rsid w:val="00F2276E"/>
    <w:rsid w:val="00F23A9F"/>
    <w:rsid w:val="00F23B2E"/>
    <w:rsid w:val="00F23F73"/>
    <w:rsid w:val="00F24217"/>
    <w:rsid w:val="00F2642D"/>
    <w:rsid w:val="00F27B51"/>
    <w:rsid w:val="00F30494"/>
    <w:rsid w:val="00F30535"/>
    <w:rsid w:val="00F309A7"/>
    <w:rsid w:val="00F32FEC"/>
    <w:rsid w:val="00F3342B"/>
    <w:rsid w:val="00F334F5"/>
    <w:rsid w:val="00F33B40"/>
    <w:rsid w:val="00F33E85"/>
    <w:rsid w:val="00F366DC"/>
    <w:rsid w:val="00F37257"/>
    <w:rsid w:val="00F37351"/>
    <w:rsid w:val="00F40291"/>
    <w:rsid w:val="00F410CD"/>
    <w:rsid w:val="00F41547"/>
    <w:rsid w:val="00F421F7"/>
    <w:rsid w:val="00F4259C"/>
    <w:rsid w:val="00F444FA"/>
    <w:rsid w:val="00F44535"/>
    <w:rsid w:val="00F446D8"/>
    <w:rsid w:val="00F44893"/>
    <w:rsid w:val="00F44BCA"/>
    <w:rsid w:val="00F454D7"/>
    <w:rsid w:val="00F45EC8"/>
    <w:rsid w:val="00F464CC"/>
    <w:rsid w:val="00F46A12"/>
    <w:rsid w:val="00F47F1B"/>
    <w:rsid w:val="00F50696"/>
    <w:rsid w:val="00F50708"/>
    <w:rsid w:val="00F51831"/>
    <w:rsid w:val="00F51BEF"/>
    <w:rsid w:val="00F52BC8"/>
    <w:rsid w:val="00F53860"/>
    <w:rsid w:val="00F539B2"/>
    <w:rsid w:val="00F55F27"/>
    <w:rsid w:val="00F5682A"/>
    <w:rsid w:val="00F572F0"/>
    <w:rsid w:val="00F575BF"/>
    <w:rsid w:val="00F57731"/>
    <w:rsid w:val="00F616BF"/>
    <w:rsid w:val="00F62235"/>
    <w:rsid w:val="00F63535"/>
    <w:rsid w:val="00F64692"/>
    <w:rsid w:val="00F65E73"/>
    <w:rsid w:val="00F6655A"/>
    <w:rsid w:val="00F66CED"/>
    <w:rsid w:val="00F6713E"/>
    <w:rsid w:val="00F67948"/>
    <w:rsid w:val="00F7071F"/>
    <w:rsid w:val="00F71338"/>
    <w:rsid w:val="00F71C70"/>
    <w:rsid w:val="00F7247C"/>
    <w:rsid w:val="00F73A9F"/>
    <w:rsid w:val="00F73EF3"/>
    <w:rsid w:val="00F74A3D"/>
    <w:rsid w:val="00F74A64"/>
    <w:rsid w:val="00F75DE6"/>
    <w:rsid w:val="00F75DF2"/>
    <w:rsid w:val="00F7750E"/>
    <w:rsid w:val="00F777BD"/>
    <w:rsid w:val="00F779B6"/>
    <w:rsid w:val="00F80A23"/>
    <w:rsid w:val="00F81D14"/>
    <w:rsid w:val="00F84873"/>
    <w:rsid w:val="00F85268"/>
    <w:rsid w:val="00F86645"/>
    <w:rsid w:val="00F86B0E"/>
    <w:rsid w:val="00F90524"/>
    <w:rsid w:val="00F911F8"/>
    <w:rsid w:val="00F913E3"/>
    <w:rsid w:val="00F93866"/>
    <w:rsid w:val="00F939AB"/>
    <w:rsid w:val="00F93B0A"/>
    <w:rsid w:val="00F94113"/>
    <w:rsid w:val="00F94278"/>
    <w:rsid w:val="00F94EAF"/>
    <w:rsid w:val="00F969D3"/>
    <w:rsid w:val="00F96AD5"/>
    <w:rsid w:val="00F96BBC"/>
    <w:rsid w:val="00FA064A"/>
    <w:rsid w:val="00FA096D"/>
    <w:rsid w:val="00FA162A"/>
    <w:rsid w:val="00FA34DA"/>
    <w:rsid w:val="00FA5924"/>
    <w:rsid w:val="00FA640D"/>
    <w:rsid w:val="00FA7F67"/>
    <w:rsid w:val="00FB208B"/>
    <w:rsid w:val="00FB4B38"/>
    <w:rsid w:val="00FB4FD0"/>
    <w:rsid w:val="00FB5950"/>
    <w:rsid w:val="00FB6595"/>
    <w:rsid w:val="00FB69D6"/>
    <w:rsid w:val="00FB7580"/>
    <w:rsid w:val="00FC00FD"/>
    <w:rsid w:val="00FC0E29"/>
    <w:rsid w:val="00FC1160"/>
    <w:rsid w:val="00FC15C0"/>
    <w:rsid w:val="00FC1715"/>
    <w:rsid w:val="00FC17AA"/>
    <w:rsid w:val="00FC17C4"/>
    <w:rsid w:val="00FC27FF"/>
    <w:rsid w:val="00FC3D0C"/>
    <w:rsid w:val="00FC4E85"/>
    <w:rsid w:val="00FC4EB6"/>
    <w:rsid w:val="00FC614E"/>
    <w:rsid w:val="00FC6457"/>
    <w:rsid w:val="00FC64DE"/>
    <w:rsid w:val="00FD06C4"/>
    <w:rsid w:val="00FD161E"/>
    <w:rsid w:val="00FD2C25"/>
    <w:rsid w:val="00FD31F7"/>
    <w:rsid w:val="00FD3322"/>
    <w:rsid w:val="00FD43BE"/>
    <w:rsid w:val="00FD4933"/>
    <w:rsid w:val="00FD5D8A"/>
    <w:rsid w:val="00FD7DF5"/>
    <w:rsid w:val="00FE12D2"/>
    <w:rsid w:val="00FE1336"/>
    <w:rsid w:val="00FE14DE"/>
    <w:rsid w:val="00FE1ECE"/>
    <w:rsid w:val="00FE26CA"/>
    <w:rsid w:val="00FE383B"/>
    <w:rsid w:val="00FE7254"/>
    <w:rsid w:val="00FE7C77"/>
    <w:rsid w:val="00FF048B"/>
    <w:rsid w:val="00FF0521"/>
    <w:rsid w:val="00FF063F"/>
    <w:rsid w:val="00FF096F"/>
    <w:rsid w:val="00FF10BE"/>
    <w:rsid w:val="00FF1AA8"/>
    <w:rsid w:val="00FF3797"/>
    <w:rsid w:val="00FF406D"/>
    <w:rsid w:val="00FF444A"/>
    <w:rsid w:val="00FF5492"/>
    <w:rsid w:val="00FF6DCE"/>
    <w:rsid w:val="00FF6E42"/>
    <w:rsid w:val="00FF751E"/>
    <w:rsid w:val="00FF75BD"/>
    <w:rsid w:val="00FF76AC"/>
    <w:rsid w:val="00FF797B"/>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B9AAB"/>
  <w15:docId w15:val="{52515709-57DA-4187-B17B-08CF0B4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7"/>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basedOn w:val="Normal"/>
    <w:uiPriority w:val="34"/>
    <w:qFormat/>
    <w:rsid w:val="0098127B"/>
    <w:pPr>
      <w:ind w:left="720"/>
    </w:pPr>
  </w:style>
  <w:style w:type="character" w:customStyle="1" w:styleId="CommentTextChar">
    <w:name w:val="Comment Text Char"/>
    <w:link w:val="CommentText"/>
    <w:uiPriority w:val="99"/>
    <w:semiHidden/>
    <w:rsid w:val="00FD31F7"/>
    <w:rPr>
      <w:rFonts w:cs="Angsana New"/>
      <w:szCs w:val="24"/>
      <w:lang w:val="en-GB"/>
    </w:rPr>
  </w:style>
  <w:style w:type="character" w:styleId="PlaceholderText">
    <w:name w:val="Placeholder Text"/>
    <w:basedOn w:val="DefaultParagraphFont"/>
    <w:uiPriority w:val="99"/>
    <w:semiHidden/>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715E5"/>
    <w:pPr>
      <w:spacing w:after="160" w:line="240" w:lineRule="exact"/>
    </w:pPr>
    <w:rPr>
      <w:rFonts w:eastAsia="MS Mincho"/>
      <w:sz w:val="18"/>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0/cop-10-dec-02-fr.pdf" TargetMode="External"/><Relationship Id="rId26" Type="http://schemas.openxmlformats.org/officeDocument/2006/relationships/hyperlink" Target="https://www.cbd.int/doc/decisions/cp-mop-09/cp-mop-09-dec-07-fr.pdf" TargetMode="External"/><Relationship Id="rId39" Type="http://schemas.openxmlformats.org/officeDocument/2006/relationships/hyperlink" Target="https://www.cbd.int/doc/decisions/np-mop-01/np-mop-01-dec-08-fr.pdf" TargetMode="External"/><Relationship Id="rId21" Type="http://schemas.openxmlformats.org/officeDocument/2006/relationships/hyperlink" Target="https://www.cbd.int/doc/decisions/cop-14/cop-14-dec-01-fr.pdf" TargetMode="External"/><Relationship Id="rId34" Type="http://schemas.openxmlformats.org/officeDocument/2006/relationships/hyperlink" Target="https://www.cbd.int/doc/decisions/cop-14/cop-14-dec-24-fr.pdf" TargetMode="External"/><Relationship Id="rId42" Type="http://schemas.openxmlformats.org/officeDocument/2006/relationships/hyperlink" Target="https://www.cbd.int/doc/decisions/cop-13/cop-13-dec-22-fr.pdf" TargetMode="External"/><Relationship Id="rId47" Type="http://schemas.openxmlformats.org/officeDocument/2006/relationships/hyperlink" Target="https://www.cbd.int/doc/decisions/cop-12/cop-12-dec-27-fr.pdf" TargetMode="External"/><Relationship Id="rId50" Type="http://schemas.openxmlformats.org/officeDocument/2006/relationships/hyperlink" Target="https://www.cbd.int/doc/decisions/cop-13/cop-13-dec-26-fr.pdf" TargetMode="External"/><Relationship Id="rId55" Type="http://schemas.openxmlformats.org/officeDocument/2006/relationships/hyperlink" Target="https://www.cbd.int/doc/decisions/np-mop-03/np-mop-03-dec-14-fr.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np-mop-02/np-mop-02-dec-11-fr.pdf" TargetMode="External"/><Relationship Id="rId20" Type="http://schemas.openxmlformats.org/officeDocument/2006/relationships/hyperlink" Target="https://www.cbd.int/doc/decisions/cop-12/cop-12-dec-31-fr.pdf" TargetMode="External"/><Relationship Id="rId29" Type="http://schemas.openxmlformats.org/officeDocument/2006/relationships/hyperlink" Target="https://www.cbd.int/doc/decisions/cp-mop-09/cp-mop-09-dec-07-fr.pdf" TargetMode="External"/><Relationship Id="rId41" Type="http://schemas.openxmlformats.org/officeDocument/2006/relationships/hyperlink" Target="https://www.cbd.int/doc/decisions/cop-14/cop-14-dec-26-fr.pdf" TargetMode="External"/><Relationship Id="rId54" Type="http://schemas.openxmlformats.org/officeDocument/2006/relationships/hyperlink" Target="https://www.cbd.int/doc/decisions/cop-14/cop-14-dec-03-fr.pdf"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meetings/bs/mop-05/official/mop-05-16-fr.pdf" TargetMode="External"/><Relationship Id="rId32" Type="http://schemas.openxmlformats.org/officeDocument/2006/relationships/hyperlink" Target="https://www.cbd.int/doc/decisions/cop-09/cop-09-dec-11-fr.pdf" TargetMode="External"/><Relationship Id="rId37" Type="http://schemas.openxmlformats.org/officeDocument/2006/relationships/hyperlink" Target="https://www.cbd.int/doc/decisions/np-mop-03/np-mop-03-dec-05-fr.pdf" TargetMode="External"/><Relationship Id="rId40" Type="http://schemas.openxmlformats.org/officeDocument/2006/relationships/hyperlink" Target="https://www.cbd.int/doc/decisions/cop-14/cop-14-dec-25-fr.pdf" TargetMode="External"/><Relationship Id="rId45" Type="http://schemas.openxmlformats.org/officeDocument/2006/relationships/hyperlink" Target="https://www.cbd.int/doc/decisions/cop-14/cop-14-dec-27-fr.pdf" TargetMode="External"/><Relationship Id="rId53" Type="http://schemas.openxmlformats.org/officeDocument/2006/relationships/hyperlink" Target="https://www.cbd.int/doc/decisions/cop-13/cop-13-dec-03-fr.pdf"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doc/decisions/mop-08/mop-08-dec-09-fr.pdf" TargetMode="External"/><Relationship Id="rId23" Type="http://schemas.openxmlformats.org/officeDocument/2006/relationships/hyperlink" Target="https://www.cbd.int/doc/decisions/cp-mop-09/cp-mop-09-dec-06-fr.pdf" TargetMode="External"/><Relationship Id="rId28" Type="http://schemas.openxmlformats.org/officeDocument/2006/relationships/hyperlink" Target="https://www.cbd.int/doc/decisions/cop-14/cop-14-dec-17-fr.pdf" TargetMode="External"/><Relationship Id="rId36" Type="http://schemas.openxmlformats.org/officeDocument/2006/relationships/hyperlink" Target="https://www.cbd.int/doc/decisions/cp-mop-09/cp-mop-09-dec-03-fr.pdf" TargetMode="External"/><Relationship Id="rId49" Type="http://schemas.openxmlformats.org/officeDocument/2006/relationships/hyperlink" Target="https://www.cbd.int/doc/decisions/mop-07/mop-07-dec-09-fr.pdf"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09/cop-09-dec-08-fr.pdf" TargetMode="External"/><Relationship Id="rId31" Type="http://schemas.openxmlformats.org/officeDocument/2006/relationships/hyperlink" Target="https://www.cbd.int/doc/decisions/cop-14/cop-14-dec-22-fr.pdf" TargetMode="External"/><Relationship Id="rId44" Type="http://schemas.openxmlformats.org/officeDocument/2006/relationships/hyperlink" Target="https://www.cbd.int/doc/decisions/cop-14/cop-14-dec-29-fr.pdf" TargetMode="External"/><Relationship Id="rId52" Type="http://schemas.openxmlformats.org/officeDocument/2006/relationships/hyperlink" Target="https://www.cbd.int/doc/decisions/np-mop-02/np-mop-02-dec-12-fr.pdf"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6-fr.pdf" TargetMode="External"/><Relationship Id="rId22" Type="http://schemas.openxmlformats.org/officeDocument/2006/relationships/hyperlink" Target="https://www.cbd.int/doc/decisions/cop-14/cop-14-dec-35-fr.pdf" TargetMode="External"/><Relationship Id="rId27" Type="http://schemas.openxmlformats.org/officeDocument/2006/relationships/hyperlink" Target="https://www.cbd.int/doc/decisions/np-mop-03/np-mop-03-dec-15-fr.pdf" TargetMode="External"/><Relationship Id="rId30" Type="http://schemas.openxmlformats.org/officeDocument/2006/relationships/hyperlink" Target="https://www.cbd.int/doc/decisions/cp-mop-09/cp-mop-09-dec-03-fr.pdf" TargetMode="External"/><Relationship Id="rId35" Type="http://schemas.openxmlformats.org/officeDocument/2006/relationships/hyperlink" Target="https://undocs.org/fr/A/RES/70/1" TargetMode="External"/><Relationship Id="rId43" Type="http://schemas.openxmlformats.org/officeDocument/2006/relationships/hyperlink" Target="https://www.cbd.int/doc/decisions/cop-14/cop-14-dec-30-fr.pdf" TargetMode="External"/><Relationship Id="rId48" Type="http://schemas.openxmlformats.org/officeDocument/2006/relationships/hyperlink" Target="https://www.cbd.int/doc/decisions/np-mop-01/np-mop-01-dec-12-fr.pdf" TargetMode="External"/><Relationship Id="rId56" Type="http://schemas.openxmlformats.org/officeDocument/2006/relationships/hyperlink" Target="https://www.cbd.int/doc/decisions/np-mop-03/np-mop-03-dec-13-fr.pdf" TargetMode="External"/><Relationship Id="rId8" Type="http://schemas.openxmlformats.org/officeDocument/2006/relationships/webSettings" Target="webSettings.xml"/><Relationship Id="rId51" Type="http://schemas.openxmlformats.org/officeDocument/2006/relationships/hyperlink" Target="https://www.cbd.int/doc/decisions/mop-08/mop-08-dec-10-fr.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oc/decisions/cop-13/cop-13-dec-25-fr.pdf" TargetMode="External"/><Relationship Id="rId25" Type="http://schemas.openxmlformats.org/officeDocument/2006/relationships/hyperlink" Target="https://www.cbd.int/doc/decisions/cop-14/cop-14-dec-34-fr.pdf" TargetMode="External"/><Relationship Id="rId33" Type="http://schemas.openxmlformats.org/officeDocument/2006/relationships/hyperlink" Target="https://www.cbd.int/doc/decisions/cop-14/cop-14-dec-23-fr.pdf" TargetMode="External"/><Relationship Id="rId38" Type="http://schemas.openxmlformats.org/officeDocument/2006/relationships/hyperlink" Target="https://www.cbd.int/doc/decisions/np-mop-03/np-mop-03-dec-05-fr.pdf" TargetMode="External"/><Relationship Id="rId46" Type="http://schemas.openxmlformats.org/officeDocument/2006/relationships/hyperlink" Target="https://www.cbd.int/doc/decisions/cop-12/cop-12-dec-31-fr.pdf" TargetMode="External"/><Relationship Id="rId5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FD1B4B41914470A1B04A4950C0279A"/>
        <w:category>
          <w:name w:val="General"/>
          <w:gallery w:val="placeholder"/>
        </w:category>
        <w:types>
          <w:type w:val="bbPlcHdr"/>
        </w:types>
        <w:behaviors>
          <w:behavior w:val="content"/>
        </w:behaviors>
        <w:guid w:val="{BE77CD3E-C04F-4AA7-B7E9-92116537D913}"/>
      </w:docPartPr>
      <w:docPartBody>
        <w:p w:rsidR="0028257F" w:rsidRDefault="001E3D65">
          <w:r w:rsidRPr="00C725B6">
            <w:rPr>
              <w:rStyle w:val="PlaceholderText"/>
            </w:rPr>
            <w:t>[Title]</w:t>
          </w:r>
        </w:p>
      </w:docPartBody>
    </w:docPart>
    <w:docPart>
      <w:docPartPr>
        <w:name w:val="500CEBCD15684585BA98DE4CB9BED684"/>
        <w:category>
          <w:name w:val="General"/>
          <w:gallery w:val="placeholder"/>
        </w:category>
        <w:types>
          <w:type w:val="bbPlcHdr"/>
        </w:types>
        <w:behaviors>
          <w:behavior w:val="content"/>
        </w:behaviors>
        <w:guid w:val="{3E1439A4-F382-450F-8270-8F18F7C46318}"/>
      </w:docPartPr>
      <w:docPartBody>
        <w:p w:rsidR="00430746" w:rsidRDefault="002135B3" w:rsidP="002135B3">
          <w:pPr>
            <w:pStyle w:val="500CEBCD15684585BA98DE4CB9BED684"/>
          </w:pPr>
          <w:r w:rsidRPr="00C725B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65"/>
    <w:rsid w:val="0000040C"/>
    <w:rsid w:val="000A22AC"/>
    <w:rsid w:val="000B105D"/>
    <w:rsid w:val="000E7E1B"/>
    <w:rsid w:val="000F655B"/>
    <w:rsid w:val="001059D0"/>
    <w:rsid w:val="001064C5"/>
    <w:rsid w:val="001E3D65"/>
    <w:rsid w:val="002135B3"/>
    <w:rsid w:val="0025754C"/>
    <w:rsid w:val="0028257F"/>
    <w:rsid w:val="00283D1F"/>
    <w:rsid w:val="002F764B"/>
    <w:rsid w:val="003F5D8C"/>
    <w:rsid w:val="00404710"/>
    <w:rsid w:val="00422259"/>
    <w:rsid w:val="00430746"/>
    <w:rsid w:val="004E0941"/>
    <w:rsid w:val="00503D78"/>
    <w:rsid w:val="00542CD2"/>
    <w:rsid w:val="006251B4"/>
    <w:rsid w:val="006312FD"/>
    <w:rsid w:val="007935D9"/>
    <w:rsid w:val="007A2C75"/>
    <w:rsid w:val="007D0779"/>
    <w:rsid w:val="007D2595"/>
    <w:rsid w:val="00851FA0"/>
    <w:rsid w:val="008629C1"/>
    <w:rsid w:val="00867131"/>
    <w:rsid w:val="008A5012"/>
    <w:rsid w:val="009A4A65"/>
    <w:rsid w:val="00A5463B"/>
    <w:rsid w:val="00B25805"/>
    <w:rsid w:val="00B46D7B"/>
    <w:rsid w:val="00B80DC4"/>
    <w:rsid w:val="00C153CB"/>
    <w:rsid w:val="00C925C9"/>
    <w:rsid w:val="00D33D2B"/>
    <w:rsid w:val="00D75F11"/>
    <w:rsid w:val="00D76FF1"/>
    <w:rsid w:val="00E60471"/>
    <w:rsid w:val="00E91798"/>
    <w:rsid w:val="00F26F2E"/>
    <w:rsid w:val="00FE68C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D8C"/>
    <w:rPr>
      <w:color w:val="808080"/>
    </w:rPr>
  </w:style>
  <w:style w:type="paragraph" w:customStyle="1" w:styleId="527E2BF6E0CF4C2497F5184D1086735A">
    <w:name w:val="527E2BF6E0CF4C2497F5184D1086735A"/>
    <w:rsid w:val="00B25805"/>
    <w:rPr>
      <w:lang w:val="en-GB" w:eastAsia="en-GB"/>
    </w:rPr>
  </w:style>
  <w:style w:type="paragraph" w:customStyle="1" w:styleId="500CEBCD15684585BA98DE4CB9BED684">
    <w:name w:val="500CEBCD15684585BA98DE4CB9BED684"/>
    <w:rsid w:val="002135B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2873B31C-73DE-4A40-A2A9-22AEDC939F43}">
  <ds:schemaRefs>
    <ds:schemaRef ds:uri="http://schemas.openxmlformats.org/officeDocument/2006/bibliography"/>
  </ds:schemaRefs>
</ds:datastoreItem>
</file>

<file path=customXml/itemProps4.xml><?xml version="1.0" encoding="utf-8"?>
<ds:datastoreItem xmlns:ds="http://schemas.openxmlformats.org/officeDocument/2006/customXml" ds:itemID="{B63998BC-2A13-455C-A8AE-45E80C5C2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7391</Words>
  <Characters>42133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Ordre du jour provisoire annotÉ révisÉ</vt:lpstr>
    </vt:vector>
  </TitlesOfParts>
  <Company>SCBD</Company>
  <LinksUpToDate>false</LinksUpToDate>
  <CharactersWithSpaces>49426</CharactersWithSpaces>
  <SharedDoc>false</SharedDoc>
  <HLinks>
    <vt:vector size="294" baseType="variant">
      <vt:variant>
        <vt:i4>524361</vt:i4>
      </vt:variant>
      <vt:variant>
        <vt:i4>153</vt:i4>
      </vt:variant>
      <vt:variant>
        <vt:i4>0</vt:i4>
      </vt:variant>
      <vt:variant>
        <vt:i4>5</vt:i4>
      </vt:variant>
      <vt:variant>
        <vt:lpwstr>https://www.cbd.int/doc/decisions/cop-14/cop-14-dec-37-en.pdf</vt:lpwstr>
      </vt:variant>
      <vt:variant>
        <vt:lpwstr/>
      </vt:variant>
      <vt:variant>
        <vt:i4>7798832</vt:i4>
      </vt:variant>
      <vt:variant>
        <vt:i4>150</vt:i4>
      </vt:variant>
      <vt:variant>
        <vt:i4>0</vt:i4>
      </vt:variant>
      <vt:variant>
        <vt:i4>5</vt:i4>
      </vt:variant>
      <vt:variant>
        <vt:lpwstr>https://www.cbd.int/doc/decisions/np-mop-03/np-mop-03-dec-13-en.pdf</vt:lpwstr>
      </vt:variant>
      <vt:variant>
        <vt:lpwstr/>
      </vt:variant>
      <vt:variant>
        <vt:i4>7340080</vt:i4>
      </vt:variant>
      <vt:variant>
        <vt:i4>147</vt:i4>
      </vt:variant>
      <vt:variant>
        <vt:i4>0</vt:i4>
      </vt:variant>
      <vt:variant>
        <vt:i4>5</vt:i4>
      </vt:variant>
      <vt:variant>
        <vt:lpwstr>https://www.cbd.int/doc/decisions/np-mop-03/np-mop-03-dec-14-en.pdf</vt:lpwstr>
      </vt:variant>
      <vt:variant>
        <vt:lpwstr/>
      </vt:variant>
      <vt:variant>
        <vt:i4>6881329</vt:i4>
      </vt:variant>
      <vt:variant>
        <vt:i4>144</vt:i4>
      </vt:variant>
      <vt:variant>
        <vt:i4>0</vt:i4>
      </vt:variant>
      <vt:variant>
        <vt:i4>5</vt:i4>
      </vt:variant>
      <vt:variant>
        <vt:lpwstr>https://www.ipbes.net/global-assessment-report-biodiversity-ecosystem-services</vt:lpwstr>
      </vt:variant>
      <vt:variant>
        <vt:lpwstr/>
      </vt:variant>
      <vt:variant>
        <vt:i4>3866668</vt:i4>
      </vt:variant>
      <vt:variant>
        <vt:i4>141</vt:i4>
      </vt:variant>
      <vt:variant>
        <vt:i4>0</vt:i4>
      </vt:variant>
      <vt:variant>
        <vt:i4>5</vt:i4>
      </vt:variant>
      <vt:variant>
        <vt:lpwstr>https://www.cbd.int/health/ilg-health/default.shtml</vt:lpwstr>
      </vt:variant>
      <vt:variant>
        <vt:lpwstr/>
      </vt:variant>
      <vt:variant>
        <vt:i4>720970</vt:i4>
      </vt:variant>
      <vt:variant>
        <vt:i4>138</vt:i4>
      </vt:variant>
      <vt:variant>
        <vt:i4>0</vt:i4>
      </vt:variant>
      <vt:variant>
        <vt:i4>5</vt:i4>
      </vt:variant>
      <vt:variant>
        <vt:lpwstr>https://www.cbd.int/doc/decisions/cop-14/cop-14-dec-04-en.pdf</vt:lpwstr>
      </vt:variant>
      <vt:variant>
        <vt:lpwstr/>
      </vt:variant>
      <vt:variant>
        <vt:i4>786506</vt:i4>
      </vt:variant>
      <vt:variant>
        <vt:i4>135</vt:i4>
      </vt:variant>
      <vt:variant>
        <vt:i4>0</vt:i4>
      </vt:variant>
      <vt:variant>
        <vt:i4>5</vt:i4>
      </vt:variant>
      <vt:variant>
        <vt:lpwstr>https://www.cbd.int/doc/decisions/cop-14/cop-14-dec-03-en.pdf</vt:lpwstr>
      </vt:variant>
      <vt:variant>
        <vt:lpwstr/>
      </vt:variant>
      <vt:variant>
        <vt:i4>720973</vt:i4>
      </vt:variant>
      <vt:variant>
        <vt:i4>132</vt:i4>
      </vt:variant>
      <vt:variant>
        <vt:i4>0</vt:i4>
      </vt:variant>
      <vt:variant>
        <vt:i4>5</vt:i4>
      </vt:variant>
      <vt:variant>
        <vt:lpwstr>https://www.cbd.int/doc/decisions/cop-13/cop-13-dec-03-en.pdf</vt:lpwstr>
      </vt:variant>
      <vt:variant>
        <vt:lpwstr/>
      </vt:variant>
      <vt:variant>
        <vt:i4>7733296</vt:i4>
      </vt:variant>
      <vt:variant>
        <vt:i4>129</vt:i4>
      </vt:variant>
      <vt:variant>
        <vt:i4>0</vt:i4>
      </vt:variant>
      <vt:variant>
        <vt:i4>5</vt:i4>
      </vt:variant>
      <vt:variant>
        <vt:lpwstr>https://www.cbd.int/doc/decisions/np-mop-02/np-mop-02-dec-12-en.pdf</vt:lpwstr>
      </vt:variant>
      <vt:variant>
        <vt:lpwstr/>
      </vt:variant>
      <vt:variant>
        <vt:i4>6750332</vt:i4>
      </vt:variant>
      <vt:variant>
        <vt:i4>126</vt:i4>
      </vt:variant>
      <vt:variant>
        <vt:i4>0</vt:i4>
      </vt:variant>
      <vt:variant>
        <vt:i4>5</vt:i4>
      </vt:variant>
      <vt:variant>
        <vt:lpwstr>http://bch.cbd.int/protocol/decisions/?decisionID=13540</vt:lpwstr>
      </vt:variant>
      <vt:variant>
        <vt:lpwstr/>
      </vt:variant>
      <vt:variant>
        <vt:i4>917583</vt:i4>
      </vt:variant>
      <vt:variant>
        <vt:i4>123</vt:i4>
      </vt:variant>
      <vt:variant>
        <vt:i4>0</vt:i4>
      </vt:variant>
      <vt:variant>
        <vt:i4>5</vt:i4>
      </vt:variant>
      <vt:variant>
        <vt:lpwstr>https://www.cbd.int/doc/decisions/cop-13/cop-13-dec-26-en.pdf</vt:lpwstr>
      </vt:variant>
      <vt:variant>
        <vt:lpwstr/>
      </vt:variant>
      <vt:variant>
        <vt:i4>6684794</vt:i4>
      </vt:variant>
      <vt:variant>
        <vt:i4>120</vt:i4>
      </vt:variant>
      <vt:variant>
        <vt:i4>0</vt:i4>
      </vt:variant>
      <vt:variant>
        <vt:i4>5</vt:i4>
      </vt:variant>
      <vt:variant>
        <vt:lpwstr>http://bch.cbd.int/protocol/decisions/?decisionID=13356</vt:lpwstr>
      </vt:variant>
      <vt:variant>
        <vt:lpwstr/>
      </vt:variant>
      <vt:variant>
        <vt:i4>7733296</vt:i4>
      </vt:variant>
      <vt:variant>
        <vt:i4>117</vt:i4>
      </vt:variant>
      <vt:variant>
        <vt:i4>0</vt:i4>
      </vt:variant>
      <vt:variant>
        <vt:i4>5</vt:i4>
      </vt:variant>
      <vt:variant>
        <vt:lpwstr>https://www.cbd.int/doc/decisions/np-mop-01/np-mop-01-dec-12-en.pdf</vt:lpwstr>
      </vt:variant>
      <vt:variant>
        <vt:lpwstr/>
      </vt:variant>
      <vt:variant>
        <vt:i4>917582</vt:i4>
      </vt:variant>
      <vt:variant>
        <vt:i4>114</vt:i4>
      </vt:variant>
      <vt:variant>
        <vt:i4>0</vt:i4>
      </vt:variant>
      <vt:variant>
        <vt:i4>5</vt:i4>
      </vt:variant>
      <vt:variant>
        <vt:lpwstr>https://www.cbd.int/doc/decisions/cop-12/cop-12-dec-27-en.pdf</vt:lpwstr>
      </vt:variant>
      <vt:variant>
        <vt:lpwstr/>
      </vt:variant>
      <vt:variant>
        <vt:i4>524367</vt:i4>
      </vt:variant>
      <vt:variant>
        <vt:i4>111</vt:i4>
      </vt:variant>
      <vt:variant>
        <vt:i4>0</vt:i4>
      </vt:variant>
      <vt:variant>
        <vt:i4>5</vt:i4>
      </vt:variant>
      <vt:variant>
        <vt:lpwstr>https://www.cbd.int/doc/decisions/cop-12/cop-12-dec-31-en.pdf</vt:lpwstr>
      </vt:variant>
      <vt:variant>
        <vt:lpwstr/>
      </vt:variant>
      <vt:variant>
        <vt:i4>524360</vt:i4>
      </vt:variant>
      <vt:variant>
        <vt:i4>108</vt:i4>
      </vt:variant>
      <vt:variant>
        <vt:i4>0</vt:i4>
      </vt:variant>
      <vt:variant>
        <vt:i4>5</vt:i4>
      </vt:variant>
      <vt:variant>
        <vt:lpwstr>https://www.cbd.int/doc/decisions/cop-14/cop-14-dec-27-en.pdf</vt:lpwstr>
      </vt:variant>
      <vt:variant>
        <vt:lpwstr/>
      </vt:variant>
      <vt:variant>
        <vt:i4>393288</vt:i4>
      </vt:variant>
      <vt:variant>
        <vt:i4>105</vt:i4>
      </vt:variant>
      <vt:variant>
        <vt:i4>0</vt:i4>
      </vt:variant>
      <vt:variant>
        <vt:i4>5</vt:i4>
      </vt:variant>
      <vt:variant>
        <vt:lpwstr>https://www.cbd.int/doc/decisions/cop-14/cop-14-dec-29-en.pdf</vt:lpwstr>
      </vt:variant>
      <vt:variant>
        <vt:lpwstr/>
      </vt:variant>
      <vt:variant>
        <vt:i4>983113</vt:i4>
      </vt:variant>
      <vt:variant>
        <vt:i4>102</vt:i4>
      </vt:variant>
      <vt:variant>
        <vt:i4>0</vt:i4>
      </vt:variant>
      <vt:variant>
        <vt:i4>5</vt:i4>
      </vt:variant>
      <vt:variant>
        <vt:lpwstr>https://www.cbd.int/doc/decisions/cop-14/cop-14-dec-30-en.pdf</vt:lpwstr>
      </vt:variant>
      <vt:variant>
        <vt:lpwstr/>
      </vt:variant>
      <vt:variant>
        <vt:i4>655439</vt:i4>
      </vt:variant>
      <vt:variant>
        <vt:i4>99</vt:i4>
      </vt:variant>
      <vt:variant>
        <vt:i4>0</vt:i4>
      </vt:variant>
      <vt:variant>
        <vt:i4>5</vt:i4>
      </vt:variant>
      <vt:variant>
        <vt:lpwstr>https://www.cbd.int/doc/decisions/cop-13/cop-13-dec-22-en.pdf</vt:lpwstr>
      </vt:variant>
      <vt:variant>
        <vt:lpwstr/>
      </vt:variant>
      <vt:variant>
        <vt:i4>589896</vt:i4>
      </vt:variant>
      <vt:variant>
        <vt:i4>96</vt:i4>
      </vt:variant>
      <vt:variant>
        <vt:i4>0</vt:i4>
      </vt:variant>
      <vt:variant>
        <vt:i4>5</vt:i4>
      </vt:variant>
      <vt:variant>
        <vt:lpwstr>https://www.cbd.int/doc/decisions/cop-14/cop-14-dec-26-en.pdf</vt:lpwstr>
      </vt:variant>
      <vt:variant>
        <vt:lpwstr/>
      </vt:variant>
      <vt:variant>
        <vt:i4>655432</vt:i4>
      </vt:variant>
      <vt:variant>
        <vt:i4>93</vt:i4>
      </vt:variant>
      <vt:variant>
        <vt:i4>0</vt:i4>
      </vt:variant>
      <vt:variant>
        <vt:i4>5</vt:i4>
      </vt:variant>
      <vt:variant>
        <vt:lpwstr>https://www.cbd.int/doc/decisions/cop-14/cop-14-dec-25-en.pdf</vt:lpwstr>
      </vt:variant>
      <vt:variant>
        <vt:lpwstr/>
      </vt:variant>
      <vt:variant>
        <vt:i4>7798833</vt:i4>
      </vt:variant>
      <vt:variant>
        <vt:i4>90</vt:i4>
      </vt:variant>
      <vt:variant>
        <vt:i4>0</vt:i4>
      </vt:variant>
      <vt:variant>
        <vt:i4>5</vt:i4>
      </vt:variant>
      <vt:variant>
        <vt:lpwstr>https://www.cbd.int/doc/decisions/cp-mop-09/cp-mop-09-dec-03-en.pdf</vt:lpwstr>
      </vt:variant>
      <vt:variant>
        <vt:lpwstr/>
      </vt:variant>
      <vt:variant>
        <vt:i4>7471153</vt:i4>
      </vt:variant>
      <vt:variant>
        <vt:i4>87</vt:i4>
      </vt:variant>
      <vt:variant>
        <vt:i4>0</vt:i4>
      </vt:variant>
      <vt:variant>
        <vt:i4>5</vt:i4>
      </vt:variant>
      <vt:variant>
        <vt:lpwstr>https://www.cbd.int/doc/decisions/np-mop-03/np-mop-03-dec-06-en.pdf</vt:lpwstr>
      </vt:variant>
      <vt:variant>
        <vt:lpwstr/>
      </vt:variant>
      <vt:variant>
        <vt:i4>8192049</vt:i4>
      </vt:variant>
      <vt:variant>
        <vt:i4>84</vt:i4>
      </vt:variant>
      <vt:variant>
        <vt:i4>0</vt:i4>
      </vt:variant>
      <vt:variant>
        <vt:i4>5</vt:i4>
      </vt:variant>
      <vt:variant>
        <vt:lpwstr>https://www.cbd.int/doc/decisions/np-mop-01/np-mop-01-dec-09-en.pdf</vt:lpwstr>
      </vt:variant>
      <vt:variant>
        <vt:lpwstr/>
      </vt:variant>
      <vt:variant>
        <vt:i4>7405617</vt:i4>
      </vt:variant>
      <vt:variant>
        <vt:i4>81</vt:i4>
      </vt:variant>
      <vt:variant>
        <vt:i4>0</vt:i4>
      </vt:variant>
      <vt:variant>
        <vt:i4>5</vt:i4>
      </vt:variant>
      <vt:variant>
        <vt:lpwstr>https://www.cbd.int/doc/decisions/np-mop-03/np-mop-03-dec-05-en.pdf</vt:lpwstr>
      </vt:variant>
      <vt:variant>
        <vt:lpwstr/>
      </vt:variant>
      <vt:variant>
        <vt:i4>6750261</vt:i4>
      </vt:variant>
      <vt:variant>
        <vt:i4>78</vt:i4>
      </vt:variant>
      <vt:variant>
        <vt:i4>0</vt:i4>
      </vt:variant>
      <vt:variant>
        <vt:i4>5</vt:i4>
      </vt:variant>
      <vt:variant>
        <vt:lpwstr>https://sustainabledevelopment.un.org/post2015/transformingourworld</vt:lpwstr>
      </vt:variant>
      <vt:variant>
        <vt:lpwstr/>
      </vt:variant>
      <vt:variant>
        <vt:i4>720968</vt:i4>
      </vt:variant>
      <vt:variant>
        <vt:i4>75</vt:i4>
      </vt:variant>
      <vt:variant>
        <vt:i4>0</vt:i4>
      </vt:variant>
      <vt:variant>
        <vt:i4>5</vt:i4>
      </vt:variant>
      <vt:variant>
        <vt:lpwstr>https://www.cbd.int/doc/decisions/cop-14/cop-14-dec-24-en.pdf</vt:lpwstr>
      </vt:variant>
      <vt:variant>
        <vt:lpwstr/>
      </vt:variant>
      <vt:variant>
        <vt:i4>786504</vt:i4>
      </vt:variant>
      <vt:variant>
        <vt:i4>72</vt:i4>
      </vt:variant>
      <vt:variant>
        <vt:i4>0</vt:i4>
      </vt:variant>
      <vt:variant>
        <vt:i4>5</vt:i4>
      </vt:variant>
      <vt:variant>
        <vt:lpwstr>https://www.cbd.int/doc/decisions/cop-14/cop-14-dec-23-en.pdf</vt:lpwstr>
      </vt:variant>
      <vt:variant>
        <vt:lpwstr/>
      </vt:variant>
      <vt:variant>
        <vt:i4>131143</vt:i4>
      </vt:variant>
      <vt:variant>
        <vt:i4>69</vt:i4>
      </vt:variant>
      <vt:variant>
        <vt:i4>0</vt:i4>
      </vt:variant>
      <vt:variant>
        <vt:i4>5</vt:i4>
      </vt:variant>
      <vt:variant>
        <vt:lpwstr>https://www.cbd.int/doc/decisions/cop-09/cop-09-dec-11-en.pdf</vt:lpwstr>
      </vt:variant>
      <vt:variant>
        <vt:lpwstr/>
      </vt:variant>
      <vt:variant>
        <vt:i4>852040</vt:i4>
      </vt:variant>
      <vt:variant>
        <vt:i4>66</vt:i4>
      </vt:variant>
      <vt:variant>
        <vt:i4>0</vt:i4>
      </vt:variant>
      <vt:variant>
        <vt:i4>5</vt:i4>
      </vt:variant>
      <vt:variant>
        <vt:lpwstr>https://www.cbd.int/doc/decisions/cop-14/cop-14-dec-22-en.pdf</vt:lpwstr>
      </vt:variant>
      <vt:variant>
        <vt:lpwstr/>
      </vt:variant>
      <vt:variant>
        <vt:i4>458759</vt:i4>
      </vt:variant>
      <vt:variant>
        <vt:i4>54</vt:i4>
      </vt:variant>
      <vt:variant>
        <vt:i4>0</vt:i4>
      </vt:variant>
      <vt:variant>
        <vt:i4>5</vt:i4>
      </vt:variant>
      <vt:variant>
        <vt:lpwstr>https://www.cbd.int/doc/c/0128/62b1/e4ded7710fead87860fed08d/wg2020-01-05-en.pdf</vt:lpwstr>
      </vt:variant>
      <vt:variant>
        <vt:lpwstr/>
      </vt:variant>
      <vt:variant>
        <vt:i4>524363</vt:i4>
      </vt:variant>
      <vt:variant>
        <vt:i4>51</vt:i4>
      </vt:variant>
      <vt:variant>
        <vt:i4>0</vt:i4>
      </vt:variant>
      <vt:variant>
        <vt:i4>5</vt:i4>
      </vt:variant>
      <vt:variant>
        <vt:lpwstr>https://www.cbd.int/doc/decisions/cop-14/cop-14-dec-17-en.pdf</vt:lpwstr>
      </vt:variant>
      <vt:variant>
        <vt:lpwstr/>
      </vt:variant>
      <vt:variant>
        <vt:i4>7405616</vt:i4>
      </vt:variant>
      <vt:variant>
        <vt:i4>48</vt:i4>
      </vt:variant>
      <vt:variant>
        <vt:i4>0</vt:i4>
      </vt:variant>
      <vt:variant>
        <vt:i4>5</vt:i4>
      </vt:variant>
      <vt:variant>
        <vt:lpwstr>https://www.cbd.int/doc/decisions/np-mop-03/np-mop-03-dec-15-en.pdf</vt:lpwstr>
      </vt:variant>
      <vt:variant>
        <vt:lpwstr/>
      </vt:variant>
      <vt:variant>
        <vt:i4>7536689</vt:i4>
      </vt:variant>
      <vt:variant>
        <vt:i4>45</vt:i4>
      </vt:variant>
      <vt:variant>
        <vt:i4>0</vt:i4>
      </vt:variant>
      <vt:variant>
        <vt:i4>5</vt:i4>
      </vt:variant>
      <vt:variant>
        <vt:lpwstr>https://www.cbd.int/doc/decisions/cp-mop-09/cp-mop-09-dec-07-en.pdf</vt:lpwstr>
      </vt:variant>
      <vt:variant>
        <vt:lpwstr/>
      </vt:variant>
      <vt:variant>
        <vt:i4>720969</vt:i4>
      </vt:variant>
      <vt:variant>
        <vt:i4>42</vt:i4>
      </vt:variant>
      <vt:variant>
        <vt:i4>0</vt:i4>
      </vt:variant>
      <vt:variant>
        <vt:i4>5</vt:i4>
      </vt:variant>
      <vt:variant>
        <vt:lpwstr>https://www.cbd.int/doc/decisions/cop-14/cop-14-dec-34-en.pdf</vt:lpwstr>
      </vt:variant>
      <vt:variant>
        <vt:lpwstr/>
      </vt:variant>
      <vt:variant>
        <vt:i4>65604</vt:i4>
      </vt:variant>
      <vt:variant>
        <vt:i4>39</vt:i4>
      </vt:variant>
      <vt:variant>
        <vt:i4>0</vt:i4>
      </vt:variant>
      <vt:variant>
        <vt:i4>5</vt:i4>
      </vt:variant>
      <vt:variant>
        <vt:lpwstr>https://www.cbd.int/conferences/post2020</vt:lpwstr>
      </vt:variant>
      <vt:variant>
        <vt:lpwstr/>
      </vt:variant>
      <vt:variant>
        <vt:i4>3801181</vt:i4>
      </vt:variant>
      <vt:variant>
        <vt:i4>36</vt:i4>
      </vt:variant>
      <vt:variant>
        <vt:i4>0</vt:i4>
      </vt:variant>
      <vt:variant>
        <vt:i4>5</vt:i4>
      </vt:variant>
      <vt:variant>
        <vt:lpwstr>https://bch.cbd.int/protocol/issues/cpb_stplan.shtml</vt:lpwstr>
      </vt:variant>
      <vt:variant>
        <vt:lpwstr/>
      </vt:variant>
      <vt:variant>
        <vt:i4>7471153</vt:i4>
      </vt:variant>
      <vt:variant>
        <vt:i4>33</vt:i4>
      </vt:variant>
      <vt:variant>
        <vt:i4>0</vt:i4>
      </vt:variant>
      <vt:variant>
        <vt:i4>5</vt:i4>
      </vt:variant>
      <vt:variant>
        <vt:lpwstr>https://www.cbd.int/doc/decisions/cp-mop-09/cp-mop-09-dec-06-en.pdf</vt:lpwstr>
      </vt:variant>
      <vt:variant>
        <vt:lpwstr/>
      </vt:variant>
      <vt:variant>
        <vt:i4>655433</vt:i4>
      </vt:variant>
      <vt:variant>
        <vt:i4>30</vt:i4>
      </vt:variant>
      <vt:variant>
        <vt:i4>0</vt:i4>
      </vt:variant>
      <vt:variant>
        <vt:i4>5</vt:i4>
      </vt:variant>
      <vt:variant>
        <vt:lpwstr>https://www.cbd.int/doc/decisions/cop-14/cop-14-dec-35-en.pdf</vt:lpwstr>
      </vt:variant>
      <vt:variant>
        <vt:lpwstr/>
      </vt:variant>
      <vt:variant>
        <vt:i4>917578</vt:i4>
      </vt:variant>
      <vt:variant>
        <vt:i4>27</vt:i4>
      </vt:variant>
      <vt:variant>
        <vt:i4>0</vt:i4>
      </vt:variant>
      <vt:variant>
        <vt:i4>5</vt:i4>
      </vt:variant>
      <vt:variant>
        <vt:lpwstr>https://www.cbd.int/doc/decisions/cop-14/cop-14-dec-01-en.pdf</vt:lpwstr>
      </vt:variant>
      <vt:variant>
        <vt:lpwstr/>
      </vt:variant>
      <vt:variant>
        <vt:i4>524367</vt:i4>
      </vt:variant>
      <vt:variant>
        <vt:i4>24</vt:i4>
      </vt:variant>
      <vt:variant>
        <vt:i4>0</vt:i4>
      </vt:variant>
      <vt:variant>
        <vt:i4>5</vt:i4>
      </vt:variant>
      <vt:variant>
        <vt:lpwstr>https://www.cbd.int/doc/decisions/cop-12/cop-12-dec-31-en.pdf</vt:lpwstr>
      </vt:variant>
      <vt:variant>
        <vt:lpwstr/>
      </vt:variant>
      <vt:variant>
        <vt:i4>720966</vt:i4>
      </vt:variant>
      <vt:variant>
        <vt:i4>21</vt:i4>
      </vt:variant>
      <vt:variant>
        <vt:i4>0</vt:i4>
      </vt:variant>
      <vt:variant>
        <vt:i4>5</vt:i4>
      </vt:variant>
      <vt:variant>
        <vt:lpwstr>https://www.cbd.int/doc/decisions/cop-09/cop-09-dec-08-en.pdf</vt:lpwstr>
      </vt:variant>
      <vt:variant>
        <vt:lpwstr/>
      </vt:variant>
      <vt:variant>
        <vt:i4>3473449</vt:i4>
      </vt:variant>
      <vt:variant>
        <vt:i4>18</vt:i4>
      </vt:variant>
      <vt:variant>
        <vt:i4>0</vt:i4>
      </vt:variant>
      <vt:variant>
        <vt:i4>5</vt:i4>
      </vt:variant>
      <vt:variant>
        <vt:lpwstr>https://www.cbd.int/sp/</vt:lpwstr>
      </vt:variant>
      <vt:variant>
        <vt:lpwstr/>
      </vt:variant>
      <vt:variant>
        <vt:i4>589902</vt:i4>
      </vt:variant>
      <vt:variant>
        <vt:i4>15</vt:i4>
      </vt:variant>
      <vt:variant>
        <vt:i4>0</vt:i4>
      </vt:variant>
      <vt:variant>
        <vt:i4>5</vt:i4>
      </vt:variant>
      <vt:variant>
        <vt:lpwstr>https://www.cbd.int/doc/decisions/cop-10/cop-10-dec-02-en.pdf</vt:lpwstr>
      </vt:variant>
      <vt:variant>
        <vt:lpwstr/>
      </vt:variant>
      <vt:variant>
        <vt:i4>5832712</vt:i4>
      </vt:variant>
      <vt:variant>
        <vt:i4>12</vt:i4>
      </vt:variant>
      <vt:variant>
        <vt:i4>0</vt:i4>
      </vt:variant>
      <vt:variant>
        <vt:i4>5</vt:i4>
      </vt:variant>
      <vt:variant>
        <vt:lpwstr>https://www.icao.int/</vt:lpwstr>
      </vt:variant>
      <vt:variant>
        <vt:lpwstr/>
      </vt:variant>
      <vt:variant>
        <vt:i4>852047</vt:i4>
      </vt:variant>
      <vt:variant>
        <vt:i4>9</vt:i4>
      </vt:variant>
      <vt:variant>
        <vt:i4>0</vt:i4>
      </vt:variant>
      <vt:variant>
        <vt:i4>5</vt:i4>
      </vt:variant>
      <vt:variant>
        <vt:lpwstr>https://www.cbd.int/doc/decisions/cop-13/cop-13-dec-25-en.pdf</vt:lpwstr>
      </vt:variant>
      <vt:variant>
        <vt:lpwstr/>
      </vt:variant>
      <vt:variant>
        <vt:i4>7667760</vt:i4>
      </vt:variant>
      <vt:variant>
        <vt:i4>6</vt:i4>
      </vt:variant>
      <vt:variant>
        <vt:i4>0</vt:i4>
      </vt:variant>
      <vt:variant>
        <vt:i4>5</vt:i4>
      </vt:variant>
      <vt:variant>
        <vt:lpwstr>https://www.cbd.int/doc/decisions/np-mop-02/np-mop-02-dec-11-en.pdf</vt:lpwstr>
      </vt:variant>
      <vt:variant>
        <vt:lpwstr/>
      </vt:variant>
      <vt:variant>
        <vt:i4>327753</vt:i4>
      </vt:variant>
      <vt:variant>
        <vt:i4>3</vt:i4>
      </vt:variant>
      <vt:variant>
        <vt:i4>0</vt:i4>
      </vt:variant>
      <vt:variant>
        <vt:i4>5</vt:i4>
      </vt:variant>
      <vt:variant>
        <vt:lpwstr>https://www.cbd.int/doc/decisions/mop-08/mop-08-dec-09-en.pdf</vt:lpwstr>
      </vt:variant>
      <vt:variant>
        <vt:lpwstr/>
      </vt:variant>
      <vt:variant>
        <vt:i4>983118</vt:i4>
      </vt:variant>
      <vt:variant>
        <vt:i4>0</vt:i4>
      </vt:variant>
      <vt:variant>
        <vt:i4>0</vt:i4>
      </vt:variant>
      <vt:variant>
        <vt:i4>5</vt:i4>
      </vt:variant>
      <vt:variant>
        <vt:lpwstr>https://www.cbd.int/doc/decisions/cop-12/cop-12-dec-26-en.pdf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provisoire annotÉ révisÉ</dc:title>
  <dc:subject>CBD/SBI/3/1/Add.1/Rev.2</dc:subject>
  <dc:creator>SCBD</dc:creator>
  <cp:keywords>Subsidiary Body on Implementation, third meeting, Montreal, Canada, 25-30 May 2020, Convention on Biological Diversity</cp:keywords>
  <cp:lastModifiedBy>Guyonne</cp:lastModifiedBy>
  <cp:revision>34</cp:revision>
  <cp:lastPrinted>2019-10-25T23:31:00Z</cp:lastPrinted>
  <dcterms:created xsi:type="dcterms:W3CDTF">2020-03-06T08:08:00Z</dcterms:created>
  <dcterms:modified xsi:type="dcterms:W3CDTF">2020-06-21T15:21:00Z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