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8"/>
        <w:gridCol w:w="3625"/>
        <w:gridCol w:w="4703"/>
      </w:tblGrid>
      <w:tr w:rsidR="001E44FC" w:rsidRPr="00C30693" w14:paraId="3E32902D" w14:textId="77777777" w:rsidTr="00DF2952">
        <w:trPr>
          <w:trHeight w:val="851"/>
        </w:trPr>
        <w:tc>
          <w:tcPr>
            <w:tcW w:w="705" w:type="dxa"/>
            <w:tcBorders>
              <w:bottom w:val="single" w:sz="8" w:space="0" w:color="auto"/>
            </w:tcBorders>
            <w:tcFitText/>
            <w:vAlign w:val="bottom"/>
          </w:tcPr>
          <w:p w14:paraId="159B786F" w14:textId="77777777" w:rsidR="001E44FC" w:rsidRPr="00C30693" w:rsidRDefault="001E44FC" w:rsidP="00DF2952">
            <w:pPr>
              <w:pStyle w:val="AASmallLogo"/>
              <w:jc w:val="center"/>
              <w:rPr>
                <w:lang w:val="en-GB"/>
              </w:rPr>
            </w:pPr>
            <w:bookmarkStart w:id="0" w:name="_Hlk137651738"/>
            <w:r w:rsidRPr="00C30693">
              <w:rPr>
                <w:noProof/>
                <w:lang w:val="en-GB"/>
              </w:rPr>
              <w:drawing>
                <wp:inline distT="0" distB="0" distL="0" distR="0" wp14:anchorId="5C527B71" wp14:editId="63567CD5">
                  <wp:extent cx="475200" cy="403200"/>
                  <wp:effectExtent l="0" t="0" r="1270" b="0"/>
                  <wp:docPr id="1797640107" name="Picture 179764010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200" cy="403200"/>
                          </a:xfrm>
                          <a:prstGeom prst="rect">
                            <a:avLst/>
                          </a:prstGeom>
                          <a:noFill/>
                          <a:ln>
                            <a:noFill/>
                          </a:ln>
                        </pic:spPr>
                      </pic:pic>
                    </a:graphicData>
                  </a:graphic>
                </wp:inline>
              </w:drawing>
            </w:r>
          </w:p>
        </w:tc>
        <w:tc>
          <w:tcPr>
            <w:tcW w:w="3831" w:type="dxa"/>
            <w:tcBorders>
              <w:bottom w:val="single" w:sz="8" w:space="0" w:color="auto"/>
            </w:tcBorders>
            <w:vAlign w:val="bottom"/>
          </w:tcPr>
          <w:p w14:paraId="0867F30C" w14:textId="77777777" w:rsidR="001E44FC" w:rsidRPr="00C30693" w:rsidRDefault="001E44FC" w:rsidP="00DF2952">
            <w:pPr>
              <w:pStyle w:val="AASmallLogo"/>
              <w:jc w:val="left"/>
              <w:rPr>
                <w:lang w:val="en-GB"/>
              </w:rPr>
            </w:pPr>
            <w:r w:rsidRPr="00C30693">
              <w:rPr>
                <w:noProof/>
                <w:lang w:val="en-GB"/>
              </w:rPr>
              <w:drawing>
                <wp:inline distT="0" distB="0" distL="0" distR="0" wp14:anchorId="07FFEEF8" wp14:editId="007F4FAD">
                  <wp:extent cx="500870" cy="360000"/>
                  <wp:effectExtent l="0" t="0" r="0" b="2540"/>
                  <wp:docPr id="1141374706" name="Picture 1141374706"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821" w:type="dxa"/>
            <w:tcBorders>
              <w:bottom w:val="single" w:sz="8" w:space="0" w:color="auto"/>
            </w:tcBorders>
            <w:vAlign w:val="bottom"/>
          </w:tcPr>
          <w:p w14:paraId="16E3DA18" w14:textId="6D693715" w:rsidR="001E44FC" w:rsidRPr="00C30693" w:rsidRDefault="001E44FC" w:rsidP="00DF2952">
            <w:pPr>
              <w:pStyle w:val="ABSymbol"/>
              <w:rPr>
                <w:lang w:val="en-GB"/>
              </w:rPr>
            </w:pPr>
            <w:r w:rsidRPr="00C30693">
              <w:rPr>
                <w:sz w:val="40"/>
                <w:szCs w:val="40"/>
                <w:lang w:val="en-GB"/>
              </w:rPr>
              <w:t>CBD</w:t>
            </w:r>
            <w:r w:rsidRPr="00C30693">
              <w:rPr>
                <w:lang w:val="en-GB"/>
              </w:rPr>
              <w:t>/</w:t>
            </w:r>
            <w:bookmarkStart w:id="1" w:name="CBDSymbolPart1"/>
            <w:r>
              <w:rPr>
                <w:lang w:val="en-GB"/>
              </w:rPr>
              <w:t>SBSTTA</w:t>
            </w:r>
            <w:r>
              <w:rPr>
                <w:lang w:val="en-GB"/>
              </w:rPr>
              <w:t>/</w:t>
            </w:r>
            <w:bookmarkStart w:id="2" w:name="CBDSymbolPart2"/>
            <w:bookmarkEnd w:id="1"/>
            <w:r>
              <w:rPr>
                <w:lang w:val="en-GB"/>
              </w:rPr>
              <w:t>26</w:t>
            </w:r>
            <w:r w:rsidRPr="00C30693">
              <w:rPr>
                <w:lang w:val="en-GB"/>
              </w:rPr>
              <w:t>/</w:t>
            </w:r>
            <w:bookmarkStart w:id="3" w:name="CBDSymbolPart3"/>
            <w:bookmarkEnd w:id="2"/>
            <w:r>
              <w:rPr>
                <w:lang w:val="en-GB"/>
              </w:rPr>
              <w:t>INF</w:t>
            </w:r>
            <w:r w:rsidRPr="00C30693">
              <w:rPr>
                <w:lang w:val="en-GB"/>
              </w:rPr>
              <w:t>/</w:t>
            </w:r>
            <w:bookmarkEnd w:id="3"/>
            <w:r>
              <w:rPr>
                <w:lang w:val="en-GB"/>
              </w:rPr>
              <w:t>8</w:t>
            </w:r>
          </w:p>
        </w:tc>
      </w:tr>
      <w:tr w:rsidR="001E44FC" w:rsidRPr="00C30693" w14:paraId="71015CD0" w14:textId="77777777" w:rsidTr="00DF2952">
        <w:tc>
          <w:tcPr>
            <w:tcW w:w="4536" w:type="dxa"/>
            <w:gridSpan w:val="2"/>
            <w:tcBorders>
              <w:top w:val="single" w:sz="8" w:space="0" w:color="auto"/>
              <w:bottom w:val="single" w:sz="12" w:space="0" w:color="auto"/>
            </w:tcBorders>
          </w:tcPr>
          <w:p w14:paraId="34D1F6CC" w14:textId="77777777" w:rsidR="001E44FC" w:rsidRPr="00C30693" w:rsidRDefault="001E44FC" w:rsidP="00DF2952">
            <w:pPr>
              <w:pStyle w:val="ACLargeLogo"/>
              <w:rPr>
                <w:lang w:val="en-GB"/>
              </w:rPr>
            </w:pPr>
            <w:r w:rsidRPr="00C30693">
              <w:rPr>
                <w:noProof/>
                <w:lang w:val="en-GB"/>
              </w:rPr>
              <w:drawing>
                <wp:inline distT="0" distB="0" distL="0" distR="0" wp14:anchorId="2F206070" wp14:editId="08207232">
                  <wp:extent cx="2755076" cy="1028538"/>
                  <wp:effectExtent l="0" t="0" r="0" b="635"/>
                  <wp:docPr id="1091953880" name="Picture 109195388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4821" w:type="dxa"/>
            <w:tcBorders>
              <w:top w:val="single" w:sz="8" w:space="0" w:color="auto"/>
              <w:bottom w:val="single" w:sz="12" w:space="0" w:color="auto"/>
            </w:tcBorders>
          </w:tcPr>
          <w:p w14:paraId="75F5D1E3" w14:textId="08114CEC" w:rsidR="001E44FC" w:rsidRPr="00C30693" w:rsidRDefault="001E44FC" w:rsidP="00DF2952">
            <w:pPr>
              <w:pStyle w:val="ADDistribution"/>
              <w:rPr>
                <w:lang w:val="en-GB"/>
              </w:rPr>
            </w:pPr>
            <w:r w:rsidRPr="00C30693">
              <w:rPr>
                <w:lang w:val="en-GB"/>
              </w:rPr>
              <w:t xml:space="preserve">Distr.: </w:t>
            </w:r>
            <w:r w:rsidR="0097478E">
              <w:rPr>
                <w:lang w:val="en-GB"/>
              </w:rPr>
              <w:t>General</w:t>
            </w:r>
          </w:p>
          <w:p w14:paraId="7281F33D" w14:textId="2C876A14" w:rsidR="001E44FC" w:rsidRPr="00C30693" w:rsidRDefault="0097478E" w:rsidP="00DF2952">
            <w:pPr>
              <w:pStyle w:val="ADDistribution"/>
              <w:rPr>
                <w:lang w:val="en-GB"/>
              </w:rPr>
            </w:pPr>
            <w:r>
              <w:rPr>
                <w:lang w:val="en-GB"/>
              </w:rPr>
              <w:t>29 April 2024</w:t>
            </w:r>
          </w:p>
          <w:p w14:paraId="7E5D5C13" w14:textId="77777777" w:rsidR="001E44FC" w:rsidRPr="00C30693" w:rsidRDefault="001E44FC" w:rsidP="00DF2952">
            <w:pPr>
              <w:pStyle w:val="AENormal"/>
              <w:rPr>
                <w:lang w:val="en-GB"/>
              </w:rPr>
            </w:pPr>
          </w:p>
          <w:p w14:paraId="5EA23AEA" w14:textId="332AD881" w:rsidR="001E44FC" w:rsidRPr="00C30693" w:rsidRDefault="001E44FC" w:rsidP="00DF2952">
            <w:pPr>
              <w:pStyle w:val="ADDistribution"/>
              <w:rPr>
                <w:lang w:val="en-GB"/>
              </w:rPr>
            </w:pPr>
            <w:bookmarkStart w:id="4" w:name="CBDDistributionLanguage"/>
            <w:r w:rsidRPr="00C30693">
              <w:rPr>
                <w:lang w:val="en-GB"/>
              </w:rPr>
              <w:t>English</w:t>
            </w:r>
            <w:bookmarkEnd w:id="4"/>
            <w:r w:rsidR="0097478E">
              <w:rPr>
                <w:lang w:val="en-GB"/>
              </w:rPr>
              <w:t xml:space="preserve"> only</w:t>
            </w:r>
          </w:p>
          <w:p w14:paraId="10BB0026" w14:textId="77777777" w:rsidR="001E44FC" w:rsidRPr="00C30693" w:rsidRDefault="001E44FC" w:rsidP="00DF2952">
            <w:pPr>
              <w:pStyle w:val="AENormal"/>
              <w:rPr>
                <w:lang w:val="en-GB"/>
              </w:rPr>
            </w:pPr>
          </w:p>
        </w:tc>
      </w:tr>
    </w:tbl>
    <w:p w14:paraId="42E97DA6" w14:textId="77777777" w:rsidR="00874541" w:rsidRDefault="00BF60B0" w:rsidP="00202BFD">
      <w:pPr>
        <w:pStyle w:val="Cornernotation"/>
        <w:ind w:right="5249"/>
        <w:rPr>
          <w:bCs/>
        </w:rPr>
      </w:pPr>
      <w:r w:rsidRPr="00BF60B0">
        <w:rPr>
          <w:bCs/>
        </w:rPr>
        <w:t>Subsidiary Body on Scientific, Technical and Technological Advice</w:t>
      </w:r>
    </w:p>
    <w:p w14:paraId="12862E63" w14:textId="77777777" w:rsidR="00A96B21" w:rsidRPr="005C76FB" w:rsidRDefault="00D163F5" w:rsidP="00A96B21">
      <w:pPr>
        <w:pStyle w:val="Cornernotation"/>
        <w:rPr>
          <w:bCs/>
          <w:sz w:val="22"/>
          <w:szCs w:val="22"/>
        </w:rPr>
      </w:pPr>
      <w:r w:rsidRPr="005C76FB">
        <w:rPr>
          <w:bCs/>
          <w:sz w:val="22"/>
          <w:szCs w:val="22"/>
        </w:rPr>
        <w:t>Twenty-</w:t>
      </w:r>
      <w:r w:rsidR="003F428E" w:rsidRPr="005C76FB">
        <w:rPr>
          <w:bCs/>
          <w:sz w:val="22"/>
          <w:szCs w:val="22"/>
        </w:rPr>
        <w:t>sixth</w:t>
      </w:r>
      <w:r w:rsidRPr="005C76FB">
        <w:rPr>
          <w:bCs/>
          <w:sz w:val="22"/>
          <w:szCs w:val="22"/>
        </w:rPr>
        <w:t xml:space="preserve"> </w:t>
      </w:r>
      <w:r w:rsidR="00A96B21" w:rsidRPr="005C76FB">
        <w:rPr>
          <w:bCs/>
          <w:sz w:val="22"/>
          <w:szCs w:val="22"/>
        </w:rPr>
        <w:t xml:space="preserve">meeting </w:t>
      </w:r>
    </w:p>
    <w:p w14:paraId="40AE40B7" w14:textId="77777777" w:rsidR="00A96B21" w:rsidRPr="00935461" w:rsidRDefault="00435A96" w:rsidP="00A96B21">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p w14:paraId="77F58185" w14:textId="0A2FD6A1" w:rsidR="00A96B21" w:rsidRPr="007A7247" w:rsidRDefault="00A96B21" w:rsidP="00A96B21">
      <w:pPr>
        <w:pStyle w:val="Cornernotation-Item"/>
        <w:rPr>
          <w:b w:val="0"/>
          <w:bCs w:val="0"/>
        </w:rPr>
      </w:pPr>
      <w:r w:rsidRPr="007A7247">
        <w:rPr>
          <w:b w:val="0"/>
          <w:bCs w:val="0"/>
        </w:rPr>
        <w:t xml:space="preserve">Item </w:t>
      </w:r>
      <w:r w:rsidR="009606F9">
        <w:rPr>
          <w:b w:val="0"/>
          <w:bCs w:val="0"/>
        </w:rPr>
        <w:t>8</w:t>
      </w:r>
      <w:r w:rsidR="002D4A55">
        <w:rPr>
          <w:b w:val="0"/>
          <w:bCs w:val="0"/>
        </w:rPr>
        <w:t xml:space="preserve"> </w:t>
      </w:r>
      <w:r w:rsidR="009606F9">
        <w:rPr>
          <w:b w:val="0"/>
          <w:bCs w:val="0"/>
        </w:rPr>
        <w:t>(b)</w:t>
      </w:r>
      <w:r w:rsidRPr="007A7247">
        <w:rPr>
          <w:b w:val="0"/>
          <w:bCs w:val="0"/>
        </w:rPr>
        <w:t xml:space="preserve"> of the provisional agenda</w:t>
      </w:r>
      <w:r w:rsidRPr="007A7247">
        <w:rPr>
          <w:rStyle w:val="FootnoteReference"/>
          <w:b w:val="0"/>
          <w:bCs w:val="0"/>
        </w:rPr>
        <w:footnoteReference w:customMarkFollows="1" w:id="2"/>
        <w:t>*</w:t>
      </w:r>
    </w:p>
    <w:p w14:paraId="2076D1BD" w14:textId="30FB6F5C" w:rsidR="00A96B21" w:rsidRDefault="000C3427" w:rsidP="000C3427">
      <w:pPr>
        <w:pStyle w:val="Cornernotation-Item"/>
        <w:ind w:right="4540"/>
      </w:pPr>
      <w:r>
        <w:t>Marine and coastal biodiversity: c</w:t>
      </w:r>
      <w:r w:rsidR="009606F9">
        <w:t>onservation and sustainable use of marine and coastal biodiversity</w:t>
      </w:r>
    </w:p>
    <w:bookmarkEnd w:id="0"/>
    <w:p w14:paraId="09591468" w14:textId="1ABEC534" w:rsidR="00A96B21" w:rsidRDefault="00000000" w:rsidP="000C3427">
      <w:pPr>
        <w:pStyle w:val="Title"/>
        <w:jc w:val="left"/>
      </w:pPr>
      <w:sdt>
        <w:sdtPr>
          <w:alias w:val="Title"/>
          <w:tag w:val=""/>
          <w:id w:val="-1975355689"/>
          <w:placeholder>
            <w:docPart w:val="BCDC722B3EFEE846AAA78629113A7D38"/>
          </w:placeholder>
          <w:dataBinding w:prefixMappings="xmlns:ns0='http://purl.org/dc/elements/1.1/' xmlns:ns1='http://schemas.openxmlformats.org/package/2006/metadata/core-properties' " w:xpath="/ns1:coreProperties[1]/ns0:title[1]" w:storeItemID="{6C3C8BC8-F283-45AE-878A-BAB7291924A1}"/>
          <w:text/>
        </w:sdtPr>
        <w:sdtContent>
          <w:r w:rsidR="007A3908" w:rsidRPr="007A3908">
            <w:t xml:space="preserve">Potential options for modalities for collaboration and cooperation with relevant global and regional organizations in the context of </w:t>
          </w:r>
          <w:r w:rsidR="007A3908">
            <w:t xml:space="preserve">the </w:t>
          </w:r>
          <w:r w:rsidR="007A3908" w:rsidRPr="007A3908">
            <w:t>Agreement under the United Nations Convention on the Law of the Sea on the Conservation and Sustainable Use of Marine Biological Diversity of Areas Beyond National Jurisdiction</w:t>
          </w:r>
        </w:sdtContent>
      </w:sdt>
      <w:r w:rsidR="0098778C">
        <w:rPr>
          <w:rStyle w:val="FootnoteReference"/>
        </w:rPr>
        <w:footnoteReference w:customMarkFollows="1" w:id="3"/>
        <w:t>**</w:t>
      </w:r>
    </w:p>
    <w:p w14:paraId="39709DF7"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3068F1CF" w14:textId="6ECC20BF" w:rsidR="00FA18C9" w:rsidRDefault="009606F9" w:rsidP="007C77BC">
      <w:pPr>
        <w:pStyle w:val="Heading1"/>
      </w:pPr>
      <w:r>
        <w:t>Introduction</w:t>
      </w:r>
    </w:p>
    <w:p w14:paraId="3630FF0E" w14:textId="66242D61" w:rsidR="009606F9" w:rsidRPr="009606F9" w:rsidRDefault="009606F9" w:rsidP="0035268F">
      <w:pPr>
        <w:pStyle w:val="Para1"/>
        <w:ind w:left="567" w:firstLine="0"/>
      </w:pPr>
      <w:r w:rsidRPr="00F111D3">
        <w:rPr>
          <w:szCs w:val="22"/>
          <w:lang w:val="en-US"/>
        </w:rPr>
        <w:t xml:space="preserve">At its fifteenth meeting in December 2022, the Conference of the Parties to the </w:t>
      </w:r>
      <w:r w:rsidR="00F33F12">
        <w:rPr>
          <w:szCs w:val="22"/>
          <w:lang w:val="en-US"/>
        </w:rPr>
        <w:t>Convention on Biological Diversity (</w:t>
      </w:r>
      <w:r w:rsidRPr="00F111D3">
        <w:rPr>
          <w:szCs w:val="22"/>
          <w:lang w:val="en-US"/>
        </w:rPr>
        <w:t>CBD</w:t>
      </w:r>
      <w:r w:rsidR="00F33F12">
        <w:rPr>
          <w:szCs w:val="22"/>
          <w:lang w:val="en-US"/>
        </w:rPr>
        <w:t>)</w:t>
      </w:r>
      <w:r w:rsidRPr="00F111D3">
        <w:rPr>
          <w:szCs w:val="22"/>
          <w:lang w:val="en-US"/>
        </w:rPr>
        <w:t xml:space="preserve"> adopted decision 15/24, which contain a number of references to the issue of marine biodiversity in </w:t>
      </w:r>
      <w:r w:rsidR="0012727D">
        <w:rPr>
          <w:szCs w:val="22"/>
          <w:lang w:val="en-US"/>
        </w:rPr>
        <w:t>areas beyond national jurisdiction (</w:t>
      </w:r>
      <w:r w:rsidRPr="00F111D3">
        <w:rPr>
          <w:szCs w:val="22"/>
          <w:lang w:val="en-US"/>
        </w:rPr>
        <w:t>ABNJ</w:t>
      </w:r>
      <w:r w:rsidR="0012727D">
        <w:rPr>
          <w:szCs w:val="22"/>
          <w:lang w:val="en-US"/>
        </w:rPr>
        <w:t>)</w:t>
      </w:r>
      <w:r w:rsidRPr="00F111D3">
        <w:rPr>
          <w:szCs w:val="22"/>
          <w:lang w:val="en-US"/>
        </w:rPr>
        <w:t>. The decision contains a preambular paragraph that reads as follows:</w:t>
      </w:r>
    </w:p>
    <w:p w14:paraId="32E48D42" w14:textId="45546FB1" w:rsidR="009606F9" w:rsidRDefault="009606F9" w:rsidP="009606F9">
      <w:pPr>
        <w:pStyle w:val="Para1"/>
        <w:numPr>
          <w:ilvl w:val="0"/>
          <w:numId w:val="0"/>
        </w:numPr>
        <w:tabs>
          <w:tab w:val="clear" w:pos="1134"/>
          <w:tab w:val="left" w:pos="1701"/>
        </w:tabs>
        <w:ind w:left="567" w:firstLine="567"/>
      </w:pPr>
      <w:r>
        <w:t>(a)</w:t>
      </w:r>
      <w:r>
        <w:tab/>
      </w:r>
      <w:r w:rsidRPr="009606F9">
        <w:rPr>
          <w:i/>
          <w:iCs/>
          <w:lang w:val="en-GB"/>
        </w:rPr>
        <w:t>“Recognizing</w:t>
      </w:r>
      <w:r w:rsidRPr="009606F9">
        <w:rPr>
          <w:lang w:val="en-GB"/>
        </w:rPr>
        <w:t xml:space="preserve"> the need to strengthen cooperation and collaboration with competent intergovernmental organizations, including organizations with competence in areas beyond national jurisdiction, in support of the conservation and sustainable use of marine and coastal biodiversity, applying the ecosystem approach and the precautionary approach,</w:t>
      </w:r>
      <w:r w:rsidRPr="009606F9">
        <w:rPr>
          <w:vertAlign w:val="superscript"/>
          <w:lang w:val="en-GB"/>
        </w:rPr>
        <w:footnoteReference w:id="4"/>
      </w:r>
      <w:r w:rsidRPr="009606F9">
        <w:rPr>
          <w:lang w:val="en-GB"/>
        </w:rPr>
        <w:t xml:space="preserve"> and using the best available science and traditional knowledge of indigenous peoples and local communities, with their free, prior and informed consent,</w:t>
      </w:r>
      <w:r w:rsidRPr="009606F9">
        <w:rPr>
          <w:vertAlign w:val="superscript"/>
          <w:lang w:val="en-GB"/>
        </w:rPr>
        <w:footnoteReference w:id="5"/>
      </w:r>
      <w:r w:rsidRPr="009606F9">
        <w:rPr>
          <w:lang w:val="en-GB"/>
        </w:rPr>
        <w:t xml:space="preserve"> within the jurisdictional scope of the Convention and its Protocols”</w:t>
      </w:r>
    </w:p>
    <w:p w14:paraId="0A0D40EB" w14:textId="7DDD1590" w:rsidR="009606F9" w:rsidRDefault="089A5276" w:rsidP="0035268F">
      <w:pPr>
        <w:pStyle w:val="Para1"/>
        <w:ind w:left="567" w:firstLine="0"/>
      </w:pPr>
      <w:r>
        <w:t xml:space="preserve">In addition, the decision includes a paragraph addressing the </w:t>
      </w:r>
      <w:r w:rsidR="361E21AD">
        <w:t xml:space="preserve">then-ongoing </w:t>
      </w:r>
      <w:r w:rsidR="040D6A99">
        <w:t xml:space="preserve">negotiations </w:t>
      </w:r>
      <w:r w:rsidR="361E21AD">
        <w:t xml:space="preserve">under the auspices of the United Nations </w:t>
      </w:r>
      <w:r>
        <w:t xml:space="preserve">on </w:t>
      </w:r>
      <w:r w:rsidR="361E21AD">
        <w:t xml:space="preserve">an international legally binding instrument under the United </w:t>
      </w:r>
      <w:r w:rsidR="705388EC">
        <w:t>N</w:t>
      </w:r>
      <w:r w:rsidR="361E21AD">
        <w:t>ations Convention on the Law of the Sea on the conservation and sustainable use of marine biological diversity of areas beyond national jurisdiction</w:t>
      </w:r>
      <w:r>
        <w:t>), as follows:</w:t>
      </w:r>
    </w:p>
    <w:p w14:paraId="5FDFC7D7" w14:textId="72C5CA7B" w:rsidR="009606F9" w:rsidRPr="009606F9" w:rsidRDefault="009606F9" w:rsidP="009606F9">
      <w:pPr>
        <w:tabs>
          <w:tab w:val="left" w:pos="1701"/>
        </w:tabs>
        <w:ind w:left="567" w:firstLine="567"/>
        <w:rPr>
          <w:szCs w:val="22"/>
          <w:lang w:val="en-US"/>
        </w:rPr>
      </w:pPr>
      <w:r>
        <w:t>(a)</w:t>
      </w:r>
      <w:r>
        <w:tab/>
      </w:r>
      <w:r w:rsidRPr="00F111D3">
        <w:rPr>
          <w:szCs w:val="22"/>
        </w:rPr>
        <w:t>“</w:t>
      </w:r>
      <w:r w:rsidRPr="00F111D3">
        <w:rPr>
          <w:i/>
          <w:iCs/>
          <w:szCs w:val="22"/>
        </w:rPr>
        <w:t>Encourages</w:t>
      </w:r>
      <w:r w:rsidRPr="00F111D3">
        <w:rPr>
          <w:szCs w:val="22"/>
        </w:rPr>
        <w:t xml:space="preserve"> Parties and invites other Governments participating in the Intergovernmental Conference on an international legally binding instrument under the United Nations Convention on the Law of the Sea on the conservation and sustainable use of marine </w:t>
      </w:r>
      <w:r w:rsidRPr="00F111D3">
        <w:rPr>
          <w:szCs w:val="22"/>
        </w:rPr>
        <w:lastRenderedPageBreak/>
        <w:t>biological diversity of areas beyond national jurisdiction, to take into consideration the Kunming-Montreal Global Biodiversity Framework in its negotiations, as appropriate”</w:t>
      </w:r>
    </w:p>
    <w:p w14:paraId="51166817" w14:textId="3DA02E30" w:rsidR="009606F9" w:rsidRDefault="009606F9" w:rsidP="0035268F">
      <w:pPr>
        <w:pStyle w:val="Para1"/>
        <w:ind w:left="709" w:hanging="142"/>
      </w:pPr>
      <w:r w:rsidRPr="00F111D3">
        <w:t>Finally, the decision contained a specific request to the Executive Secretary as follows:</w:t>
      </w:r>
    </w:p>
    <w:p w14:paraId="02DFD44A" w14:textId="4DF78A67" w:rsidR="009606F9" w:rsidRPr="009606F9" w:rsidRDefault="009606F9" w:rsidP="009606F9">
      <w:pPr>
        <w:ind w:left="720"/>
        <w:rPr>
          <w:szCs w:val="22"/>
          <w:lang w:val="en-US"/>
        </w:rPr>
      </w:pPr>
      <w:r>
        <w:t>(a)</w:t>
      </w:r>
      <w:r>
        <w:tab/>
      </w:r>
      <w:r w:rsidRPr="00F111D3">
        <w:rPr>
          <w:i/>
          <w:iCs/>
          <w:szCs w:val="22"/>
        </w:rPr>
        <w:t>“Requests</w:t>
      </w:r>
      <w:r w:rsidRPr="00F111D3">
        <w:rPr>
          <w:szCs w:val="22"/>
        </w:rPr>
        <w:t xml:space="preserve"> the Executive Secretary, upon the adoption of an international legally binding instrument under the United Nations Convention on the Law of the Sea</w:t>
      </w:r>
      <w:r w:rsidRPr="00F111D3">
        <w:rPr>
          <w:rStyle w:val="FootnoteReference"/>
          <w:szCs w:val="22"/>
        </w:rPr>
        <w:footnoteReference w:id="6"/>
      </w:r>
      <w:r w:rsidRPr="00F111D3">
        <w:rPr>
          <w:szCs w:val="22"/>
        </w:rPr>
        <w:t xml:space="preserve"> on the conservation and sustainable use of marine biodiversity of areas beyond national jurisdiction, to identify potential options for modalities for collaboration and cooperation with relevant global and regional organizations in the context of this instrument”</w:t>
      </w:r>
    </w:p>
    <w:p w14:paraId="6ABDE1FF" w14:textId="32365D6D" w:rsidR="009606F9" w:rsidRPr="007A0BA6" w:rsidRDefault="361E21AD" w:rsidP="0035268F">
      <w:pPr>
        <w:pStyle w:val="Para1"/>
        <w:ind w:left="567" w:firstLine="0"/>
        <w:rPr>
          <w:lang w:val="en-US"/>
        </w:rPr>
      </w:pPr>
      <w:r w:rsidRPr="00E0143E">
        <w:t>The Agreement under the United Nations Convention on the Law of the Sea on the Conservation and Sustainable Use of Marine Biological Diversity of Areas beyond National Jurisdiction (the BBNJ Agreement)</w:t>
      </w:r>
      <w:r w:rsidR="00403B9A" w:rsidRPr="00E0143E">
        <w:rPr>
          <w:rStyle w:val="FootnoteReference"/>
        </w:rPr>
        <w:footnoteReference w:id="7"/>
      </w:r>
      <w:r w:rsidRPr="00E40748">
        <w:t xml:space="preserve"> was adopted by consensus on 19 June 2023. </w:t>
      </w:r>
      <w:r w:rsidR="009606F9" w:rsidRPr="009606F9">
        <w:t xml:space="preserve">This </w:t>
      </w:r>
      <w:r w:rsidR="52ABC5CC" w:rsidRPr="009606F9">
        <w:t>document</w:t>
      </w:r>
      <w:r w:rsidR="009606F9" w:rsidRPr="009606F9">
        <w:t xml:space="preserve"> was drafted in response to above-noted request and is being made available for the Subsidiary Body on Scientific, Technical and Technological </w:t>
      </w:r>
      <w:r w:rsidR="009606F9" w:rsidRPr="007A0BA6">
        <w:t>Advice (SBSTTA) at its twenty-sixth meeting.</w:t>
      </w:r>
      <w:r w:rsidR="00F92E56" w:rsidRPr="007A0BA6">
        <w:t xml:space="preserve"> </w:t>
      </w:r>
      <w:r w:rsidR="2D7E574D" w:rsidRPr="00E40748">
        <w:t xml:space="preserve">It was prepared with input from </w:t>
      </w:r>
      <w:r w:rsidR="001019B2" w:rsidRPr="00E40748">
        <w:t xml:space="preserve">the </w:t>
      </w:r>
      <w:r w:rsidR="2D7E574D" w:rsidRPr="00E40748">
        <w:t xml:space="preserve">Division </w:t>
      </w:r>
      <w:r w:rsidR="513B3290" w:rsidRPr="00E40748">
        <w:t>for</w:t>
      </w:r>
      <w:r w:rsidR="2D7E574D" w:rsidRPr="00E40748">
        <w:t xml:space="preserve"> Ocean Affairs and the Law of the Sea</w:t>
      </w:r>
      <w:r w:rsidR="68E3F631" w:rsidRPr="00E40748">
        <w:t xml:space="preserve"> of the</w:t>
      </w:r>
      <w:r w:rsidR="2E324E50" w:rsidRPr="00E40748">
        <w:t xml:space="preserve"> Office of Legal Affairs of the United Nations</w:t>
      </w:r>
      <w:r w:rsidR="2D7E574D" w:rsidRPr="00E40748">
        <w:t xml:space="preserve"> (DOALOS)</w:t>
      </w:r>
      <w:r w:rsidRPr="00E40748">
        <w:t xml:space="preserve"> which currently performs the secretariat functions in relation to the BBNJ Agreement until </w:t>
      </w:r>
      <w:r w:rsidR="72B80267" w:rsidRPr="007A0BA6">
        <w:t>such time as the secretariat to be established under the Agreement commences its functions</w:t>
      </w:r>
      <w:r w:rsidR="2D7E574D" w:rsidRPr="00E40748">
        <w:t>.</w:t>
      </w:r>
    </w:p>
    <w:p w14:paraId="138F538F" w14:textId="0A2E885A" w:rsidR="009606F9" w:rsidRPr="009606F9" w:rsidRDefault="009606F9" w:rsidP="009606F9">
      <w:pPr>
        <w:pStyle w:val="Heading1"/>
      </w:pPr>
      <w:r>
        <w:t>Background and context</w:t>
      </w:r>
    </w:p>
    <w:p w14:paraId="0D68CADF" w14:textId="1E33235C" w:rsidR="00D3059B" w:rsidRPr="00E40748" w:rsidRDefault="008E0581" w:rsidP="007A0BA6">
      <w:pPr>
        <w:pStyle w:val="Heading2"/>
        <w:shd w:val="clear" w:color="auto" w:fill="FFFFFF" w:themeFill="background1"/>
      </w:pPr>
      <w:r>
        <w:t>A.</w:t>
      </w:r>
      <w:r>
        <w:tab/>
      </w:r>
      <w:r w:rsidR="009606F9" w:rsidRPr="00E40748">
        <w:t>Brief background and introduction on the BBNJ Agreement</w:t>
      </w:r>
    </w:p>
    <w:p w14:paraId="23F40862" w14:textId="25248052" w:rsidR="00B523D1" w:rsidRPr="00E40748" w:rsidRDefault="00516FD4" w:rsidP="0035268F">
      <w:pPr>
        <w:pStyle w:val="Para1"/>
        <w:shd w:val="clear" w:color="auto" w:fill="FFFFFF" w:themeFill="background1"/>
        <w:ind w:left="567" w:firstLine="0"/>
      </w:pPr>
      <w:r w:rsidRPr="00E40748">
        <w:t xml:space="preserve"> The BBNJ Agreement </w:t>
      </w:r>
      <w:r w:rsidR="0054455E" w:rsidRPr="00E40748">
        <w:t>is</w:t>
      </w:r>
      <w:r w:rsidRPr="00E40748">
        <w:t xml:space="preserve"> the third implementing agreement to the United Nations Convention on the Law of the Sea.</w:t>
      </w:r>
      <w:r w:rsidR="72B80267" w:rsidRPr="007A0BA6">
        <w:t xml:space="preserve"> </w:t>
      </w:r>
      <w:r w:rsidR="5F3165F5" w:rsidRPr="007A0BA6">
        <w:t>Under</w:t>
      </w:r>
      <w:r w:rsidR="26BE74BA" w:rsidRPr="007A0BA6">
        <w:t xml:space="preserve"> the overall objective of ensuring the conservation and sustainable use of marine </w:t>
      </w:r>
      <w:r w:rsidR="627C4A96" w:rsidRPr="007A0BA6">
        <w:t>bio</w:t>
      </w:r>
      <w:r w:rsidR="68FE0C14" w:rsidRPr="007A0BA6">
        <w:t xml:space="preserve">logical </w:t>
      </w:r>
      <w:r w:rsidR="627C4A96" w:rsidRPr="007A0BA6">
        <w:t>diversity</w:t>
      </w:r>
      <w:r w:rsidR="26BE74BA" w:rsidRPr="007A0BA6">
        <w:t xml:space="preserve"> of </w:t>
      </w:r>
      <w:r w:rsidR="67093091" w:rsidRPr="007A0BA6">
        <w:t>ABNJ</w:t>
      </w:r>
      <w:r w:rsidR="26BE74BA" w:rsidRPr="007A0BA6">
        <w:t xml:space="preserve"> for the present and in the long term, through effective implementation of the relevant provisions of the United Nations Convention on the Law of the Sea and further international cooperation and coordination</w:t>
      </w:r>
      <w:r w:rsidR="5F3165F5" w:rsidRPr="007A0BA6">
        <w:t>,</w:t>
      </w:r>
      <w:r w:rsidR="52D035B1" w:rsidRPr="007A0BA6">
        <w:t xml:space="preserve"> </w:t>
      </w:r>
      <w:r w:rsidR="5F3165F5" w:rsidRPr="007A0BA6">
        <w:t>t</w:t>
      </w:r>
      <w:r w:rsidR="4C3EF94E" w:rsidRPr="007A0BA6">
        <w:t xml:space="preserve">he BBNJ Agreement addresses four main issues, namely: </w:t>
      </w:r>
      <w:r w:rsidR="52D035B1" w:rsidRPr="007A0BA6">
        <w:t>m</w:t>
      </w:r>
      <w:r w:rsidR="4C3EF94E" w:rsidRPr="00E40748">
        <w:t>arine genetic resources, including the fair and equitable sharing of benefits;</w:t>
      </w:r>
      <w:r w:rsidR="52D035B1" w:rsidRPr="00E40748">
        <w:t xml:space="preserve"> m</w:t>
      </w:r>
      <w:r w:rsidR="4C3EF94E" w:rsidRPr="00E40748">
        <w:t>easures such as area-based management tools, including marine protected areas;</w:t>
      </w:r>
      <w:r w:rsidR="52D035B1" w:rsidRPr="00E40748">
        <w:t xml:space="preserve"> environmental impact assessments; and capacity-building and the transfer of marine technology.</w:t>
      </w:r>
      <w:r w:rsidR="79F44265" w:rsidRPr="00E40748">
        <w:t xml:space="preserve"> </w:t>
      </w:r>
      <w:r w:rsidR="26BE74BA" w:rsidRPr="007A0BA6">
        <w:t>It sets out specific measures in respect of these issues</w:t>
      </w:r>
      <w:r w:rsidR="2F522D50" w:rsidRPr="007A0BA6">
        <w:t xml:space="preserve">, </w:t>
      </w:r>
      <w:r w:rsidR="26BE74BA" w:rsidRPr="007A0BA6">
        <w:t xml:space="preserve">modalities to implement and monitor those measures, as well as institutional arrangements to </w:t>
      </w:r>
      <w:r w:rsidR="4C3EF94E" w:rsidRPr="007A0BA6">
        <w:t>support</w:t>
      </w:r>
      <w:r w:rsidR="26BE74BA" w:rsidRPr="007A0BA6">
        <w:t xml:space="preserve"> its implementation.</w:t>
      </w:r>
    </w:p>
    <w:p w14:paraId="55A86098" w14:textId="527603B7" w:rsidR="00B13D0D" w:rsidRPr="00E40748" w:rsidRDefault="4F43678B" w:rsidP="0035268F">
      <w:pPr>
        <w:pStyle w:val="Para1"/>
        <w:shd w:val="clear" w:color="auto" w:fill="FFFFFF" w:themeFill="background1"/>
        <w:ind w:left="567" w:firstLine="0"/>
      </w:pPr>
      <w:r w:rsidRPr="00E40748">
        <w:t xml:space="preserve">The BBNJ Agreement also </w:t>
      </w:r>
      <w:r w:rsidR="6616B28C" w:rsidRPr="00E40748">
        <w:t>addresses several “cross-cutting issues”</w:t>
      </w:r>
      <w:r w:rsidR="627C4A96" w:rsidRPr="00E40748">
        <w:t xml:space="preserve">, </w:t>
      </w:r>
      <w:r w:rsidR="3D4CCD3B" w:rsidRPr="00E40748">
        <w:t>such as</w:t>
      </w:r>
      <w:r w:rsidR="627C4A96" w:rsidRPr="00E40748">
        <w:t xml:space="preserve"> </w:t>
      </w:r>
      <w:r w:rsidR="5F3165F5" w:rsidRPr="00E40748">
        <w:t xml:space="preserve">its </w:t>
      </w:r>
      <w:r w:rsidR="1961FDC5" w:rsidRPr="00E40748">
        <w:t xml:space="preserve">relationship </w:t>
      </w:r>
      <w:r w:rsidR="54BD7FCB" w:rsidRPr="00E40748">
        <w:t>with</w:t>
      </w:r>
      <w:r w:rsidR="1961FDC5" w:rsidRPr="00E40748">
        <w:t xml:space="preserve"> relevant legal instruments and frameworks and relevant global, regional, subregional and sectoral bodies</w:t>
      </w:r>
      <w:r w:rsidR="3530BED5" w:rsidRPr="00E40748">
        <w:t>, institutional arrangements, funding, implementation and compliance, and dispute settlement</w:t>
      </w:r>
      <w:r w:rsidR="54BD7FCB" w:rsidRPr="00E40748">
        <w:t xml:space="preserve">. </w:t>
      </w:r>
      <w:r w:rsidR="3EFF2581" w:rsidRPr="00E40748">
        <w:t xml:space="preserve">It </w:t>
      </w:r>
      <w:r w:rsidR="20E6DE88" w:rsidRPr="00E40748">
        <w:t xml:space="preserve">establishes a Conference </w:t>
      </w:r>
      <w:r w:rsidR="0A75A184" w:rsidRPr="00E40748">
        <w:t>of the Parties which serves as the governing body of the Agreement, a Scientific and Technical Body and other subsidiary bodies of the Conference of the Parties, a secretariat and a Clearing-House Mechanism.</w:t>
      </w:r>
      <w:r w:rsidR="3EFF2581" w:rsidRPr="00E40748">
        <w:t xml:space="preserve"> </w:t>
      </w:r>
    </w:p>
    <w:p w14:paraId="1AA12070" w14:textId="14CA3323" w:rsidR="13054D46" w:rsidRPr="00E40748" w:rsidRDefault="220CFA80" w:rsidP="0035268F">
      <w:pPr>
        <w:pStyle w:val="Para1"/>
        <w:shd w:val="clear" w:color="auto" w:fill="FFFFFF" w:themeFill="background1"/>
        <w:ind w:left="567" w:firstLine="0"/>
      </w:pPr>
      <w:r w:rsidRPr="00E40748">
        <w:t>Further information on the provisions of the Agreement concerning international cooperation and coordination and the role of the institutions established thereunder are included in Section III A below.</w:t>
      </w:r>
    </w:p>
    <w:p w14:paraId="7412FBF4" w14:textId="570E6947" w:rsidR="009606F9" w:rsidRPr="009606F9" w:rsidRDefault="00F92E56" w:rsidP="009606F9">
      <w:pPr>
        <w:pStyle w:val="Heading2"/>
      </w:pPr>
      <w:r>
        <w:lastRenderedPageBreak/>
        <w:t>B</w:t>
      </w:r>
      <w:r w:rsidR="009606F9" w:rsidRPr="009606F9">
        <w:t>.</w:t>
      </w:r>
      <w:r w:rsidR="009606F9" w:rsidRPr="009606F9">
        <w:tab/>
        <w:t xml:space="preserve">Work under the Convention that supports the work of the UN General Assembly on the conservation and sustainable use of </w:t>
      </w:r>
      <w:r w:rsidR="005A1B0E">
        <w:t xml:space="preserve">marine </w:t>
      </w:r>
      <w:r w:rsidR="009606F9" w:rsidRPr="009606F9">
        <w:t>biodiversity in areas beyond national jurisdiction</w:t>
      </w:r>
    </w:p>
    <w:p w14:paraId="02E791AD" w14:textId="156FAD3B" w:rsidR="009606F9" w:rsidRPr="00576102" w:rsidRDefault="009606F9" w:rsidP="0035268F">
      <w:pPr>
        <w:pStyle w:val="Para1"/>
        <w:ind w:left="567" w:firstLine="0"/>
        <w:rPr>
          <w:lang w:val="en-US"/>
        </w:rPr>
      </w:pPr>
      <w:r w:rsidRPr="46828A44">
        <w:rPr>
          <w:lang w:val="en-US"/>
        </w:rPr>
        <w:t xml:space="preserve">The Conference of the Parties has reiterated the central role of the </w:t>
      </w:r>
      <w:r>
        <w:t>United Nations General Assembly in addressing issues relating to the conservation and sustainable use of biodiversity in marine areas beyond national jurisdiction (decision X/29, para 21). It furthermore recognized that the Convention on Biological Diversity has a key role in supporting the work of the General Assembly with regard to marine protected areas beyond national jurisdiction, by focusing on provision of scientific and, as appropriate, technical information and advice relating to marine biological diversity, the application of the ecosystem approach and the precautionary approach (decision X/29, para 24).</w:t>
      </w:r>
    </w:p>
    <w:p w14:paraId="0F0EF24C" w14:textId="18A3A167" w:rsidR="00736A4C" w:rsidRPr="00576102" w:rsidRDefault="006445DC" w:rsidP="0035268F">
      <w:pPr>
        <w:pStyle w:val="Para1"/>
        <w:ind w:left="567" w:firstLine="0"/>
      </w:pPr>
      <w:r w:rsidRPr="006445DC">
        <w:rPr>
          <w:lang w:val="en-US"/>
        </w:rPr>
        <w:t xml:space="preserve">In line with the mandate of the Convention and decisions of the Conference of the Parties, various areas of scientific and technical work have been advanced under the Convention that </w:t>
      </w:r>
      <w:r w:rsidR="00740C87">
        <w:rPr>
          <w:lang w:val="en-US"/>
        </w:rPr>
        <w:t>are</w:t>
      </w:r>
      <w:r w:rsidRPr="006445DC">
        <w:rPr>
          <w:lang w:val="en-US"/>
        </w:rPr>
        <w:t xml:space="preserve"> highly relevant to supporting the </w:t>
      </w:r>
      <w:r w:rsidRPr="006445DC">
        <w:t xml:space="preserve">conservation and sustainable use of </w:t>
      </w:r>
      <w:r w:rsidR="00D362B0">
        <w:t xml:space="preserve">marine </w:t>
      </w:r>
      <w:r w:rsidRPr="006445DC">
        <w:t xml:space="preserve">biodiversity </w:t>
      </w:r>
      <w:r w:rsidR="00C1553A">
        <w:t>of</w:t>
      </w:r>
      <w:r w:rsidRPr="006445DC">
        <w:t xml:space="preserve"> areas beyond national jurisdiction by States and competent intergovernmental bodies. This includes </w:t>
      </w:r>
      <w:r w:rsidR="004530CB">
        <w:t xml:space="preserve">areas of </w:t>
      </w:r>
      <w:r w:rsidRPr="006445DC">
        <w:t>work that can directly inform and support the application of the ecosystem approach in areas beyond national jurisdiction, such as</w:t>
      </w:r>
      <w:r w:rsidR="00736A4C" w:rsidRPr="00576102">
        <w:t>:</w:t>
      </w:r>
    </w:p>
    <w:p w14:paraId="3B0C4A9D" w14:textId="49ABB27F" w:rsidR="00736A4C" w:rsidRPr="00AA2A5D" w:rsidRDefault="00736A4C" w:rsidP="00AA2A5D">
      <w:pPr>
        <w:pStyle w:val="Para1"/>
        <w:numPr>
          <w:ilvl w:val="0"/>
          <w:numId w:val="25"/>
        </w:numPr>
        <w:tabs>
          <w:tab w:val="clear" w:pos="1134"/>
        </w:tabs>
        <w:ind w:left="1695" w:hanging="561"/>
        <w:rPr>
          <w:szCs w:val="22"/>
        </w:rPr>
      </w:pPr>
      <w:r w:rsidRPr="00AA2A5D">
        <w:rPr>
          <w:szCs w:val="22"/>
        </w:rPr>
        <w:t>Description of ecologically or biologically significant marine areas (EBSAs);</w:t>
      </w:r>
    </w:p>
    <w:p w14:paraId="4C0102CC" w14:textId="3E53A083" w:rsidR="00736A4C" w:rsidRPr="00AA2A5D" w:rsidRDefault="00736A4C" w:rsidP="00AA2A5D">
      <w:pPr>
        <w:pStyle w:val="Para2"/>
        <w:numPr>
          <w:ilvl w:val="0"/>
          <w:numId w:val="25"/>
        </w:numPr>
        <w:ind w:left="1695" w:hanging="561"/>
        <w:rPr>
          <w:szCs w:val="22"/>
          <w:lang w:val="en-US"/>
        </w:rPr>
      </w:pPr>
      <w:r w:rsidRPr="00AA2A5D">
        <w:rPr>
          <w:szCs w:val="22"/>
        </w:rPr>
        <w:t>Area-based management tools, including marine protected areas and other effective area-based conservation measures (OECMs)</w:t>
      </w:r>
      <w:r w:rsidR="00AA2A5D" w:rsidRPr="00AA2A5D">
        <w:rPr>
          <w:szCs w:val="22"/>
        </w:rPr>
        <w:t>;</w:t>
      </w:r>
    </w:p>
    <w:p w14:paraId="29B4854F" w14:textId="2941A9D1" w:rsidR="00736A4C" w:rsidRPr="00AA2A5D" w:rsidRDefault="00736A4C" w:rsidP="00AA2A5D">
      <w:pPr>
        <w:pStyle w:val="Para2"/>
        <w:numPr>
          <w:ilvl w:val="0"/>
          <w:numId w:val="25"/>
        </w:numPr>
        <w:ind w:left="1695" w:hanging="561"/>
        <w:rPr>
          <w:szCs w:val="22"/>
          <w:lang w:val="en-US"/>
        </w:rPr>
      </w:pPr>
      <w:r w:rsidRPr="00AA2A5D">
        <w:rPr>
          <w:szCs w:val="22"/>
        </w:rPr>
        <w:t>Biodiversity-inclusive environmental impact assessment and strategic environmental assessment</w:t>
      </w:r>
      <w:r w:rsidR="00AA2A5D" w:rsidRPr="00AA2A5D">
        <w:rPr>
          <w:szCs w:val="22"/>
        </w:rPr>
        <w:t>;</w:t>
      </w:r>
    </w:p>
    <w:p w14:paraId="5F230662" w14:textId="7290F6A9" w:rsidR="00AA2A5D" w:rsidRPr="00AA2A5D" w:rsidRDefault="00AA2A5D" w:rsidP="00AA2A5D">
      <w:pPr>
        <w:pStyle w:val="Para1"/>
        <w:numPr>
          <w:ilvl w:val="0"/>
          <w:numId w:val="25"/>
        </w:numPr>
        <w:tabs>
          <w:tab w:val="clear" w:pos="1134"/>
          <w:tab w:val="left" w:pos="1701"/>
        </w:tabs>
        <w:ind w:left="1695" w:hanging="561"/>
        <w:rPr>
          <w:szCs w:val="22"/>
        </w:rPr>
      </w:pPr>
      <w:r w:rsidRPr="00AA2A5D">
        <w:rPr>
          <w:szCs w:val="22"/>
        </w:rPr>
        <w:t>Mainstreaming biodiversity into various sectors, in particular into the fisheries sector;</w:t>
      </w:r>
    </w:p>
    <w:p w14:paraId="5352EA56" w14:textId="6DF1DBFA" w:rsidR="00AA2A5D" w:rsidRPr="00AA2A5D" w:rsidRDefault="00AA2A5D" w:rsidP="00AA2A5D">
      <w:pPr>
        <w:pStyle w:val="Para1"/>
        <w:numPr>
          <w:ilvl w:val="0"/>
          <w:numId w:val="25"/>
        </w:numPr>
        <w:tabs>
          <w:tab w:val="clear" w:pos="1134"/>
          <w:tab w:val="left" w:pos="1701"/>
        </w:tabs>
        <w:ind w:left="1695" w:hanging="561"/>
        <w:rPr>
          <w:szCs w:val="22"/>
        </w:rPr>
      </w:pPr>
      <w:r w:rsidRPr="00AA2A5D">
        <w:rPr>
          <w:szCs w:val="22"/>
        </w:rPr>
        <w:t>Guidance on key pressures on marine and coastal biodiversity (e.g., underwater noise, marine debris, ocean acidification);</w:t>
      </w:r>
    </w:p>
    <w:p w14:paraId="78D52486" w14:textId="69C25EAE" w:rsidR="00AA2A5D" w:rsidRPr="00AA2A5D" w:rsidRDefault="00AA2A5D" w:rsidP="00AA2A5D">
      <w:pPr>
        <w:pStyle w:val="Para1"/>
        <w:numPr>
          <w:ilvl w:val="0"/>
          <w:numId w:val="25"/>
        </w:numPr>
        <w:tabs>
          <w:tab w:val="clear" w:pos="1134"/>
          <w:tab w:val="left" w:pos="1701"/>
        </w:tabs>
        <w:ind w:left="1695" w:hanging="561"/>
        <w:rPr>
          <w:szCs w:val="22"/>
        </w:rPr>
      </w:pPr>
      <w:r w:rsidRPr="00AA2A5D">
        <w:rPr>
          <w:szCs w:val="22"/>
        </w:rPr>
        <w:t xml:space="preserve">Access and benefit-sharing </w:t>
      </w:r>
      <w:r w:rsidR="00900983">
        <w:rPr>
          <w:szCs w:val="22"/>
        </w:rPr>
        <w:t>in relation to</w:t>
      </w:r>
      <w:r w:rsidR="00900983" w:rsidRPr="00AA2A5D">
        <w:rPr>
          <w:szCs w:val="22"/>
        </w:rPr>
        <w:t xml:space="preserve"> </w:t>
      </w:r>
      <w:r w:rsidRPr="00AA2A5D">
        <w:rPr>
          <w:szCs w:val="22"/>
        </w:rPr>
        <w:t>genetic resources;</w:t>
      </w:r>
    </w:p>
    <w:p w14:paraId="49280D75" w14:textId="4AD0BBB5" w:rsidR="00AA2A5D" w:rsidRPr="00AA2A5D" w:rsidRDefault="00AA2A5D" w:rsidP="00AA2A5D">
      <w:pPr>
        <w:pStyle w:val="Para1"/>
        <w:numPr>
          <w:ilvl w:val="0"/>
          <w:numId w:val="25"/>
        </w:numPr>
        <w:tabs>
          <w:tab w:val="clear" w:pos="1134"/>
          <w:tab w:val="left" w:pos="1701"/>
        </w:tabs>
        <w:ind w:left="1695" w:hanging="561"/>
        <w:rPr>
          <w:szCs w:val="22"/>
        </w:rPr>
      </w:pPr>
      <w:r w:rsidRPr="00AA2A5D">
        <w:rPr>
          <w:szCs w:val="22"/>
        </w:rPr>
        <w:t xml:space="preserve">Digital sequence information </w:t>
      </w:r>
      <w:r w:rsidR="00900983">
        <w:rPr>
          <w:szCs w:val="22"/>
        </w:rPr>
        <w:t>on</w:t>
      </w:r>
      <w:r w:rsidR="00900983" w:rsidRPr="00AA2A5D">
        <w:rPr>
          <w:szCs w:val="22"/>
        </w:rPr>
        <w:t xml:space="preserve"> </w:t>
      </w:r>
      <w:r w:rsidRPr="00AA2A5D">
        <w:rPr>
          <w:szCs w:val="22"/>
        </w:rPr>
        <w:t>genetic resources; and</w:t>
      </w:r>
    </w:p>
    <w:p w14:paraId="57AC8AEE" w14:textId="4759B9CB" w:rsidR="00AA2A5D" w:rsidRPr="0046590B" w:rsidRDefault="00AA2A5D" w:rsidP="0046590B">
      <w:pPr>
        <w:pStyle w:val="Para1"/>
        <w:numPr>
          <w:ilvl w:val="0"/>
          <w:numId w:val="25"/>
        </w:numPr>
        <w:tabs>
          <w:tab w:val="clear" w:pos="1134"/>
          <w:tab w:val="left" w:pos="1701"/>
        </w:tabs>
        <w:ind w:left="1695" w:hanging="561"/>
        <w:rPr>
          <w:szCs w:val="22"/>
        </w:rPr>
      </w:pPr>
      <w:r w:rsidRPr="00AA2A5D">
        <w:rPr>
          <w:szCs w:val="22"/>
        </w:rPr>
        <w:t>Coordination of clearinghouse mechanisms.</w:t>
      </w:r>
    </w:p>
    <w:p w14:paraId="63499982" w14:textId="142D6E62" w:rsidR="00736A4C" w:rsidRPr="00E40748" w:rsidRDefault="00736A4C" w:rsidP="0035268F">
      <w:pPr>
        <w:pStyle w:val="Para1"/>
        <w:numPr>
          <w:ilvl w:val="1"/>
          <w:numId w:val="27"/>
        </w:numPr>
        <w:ind w:left="567" w:firstLine="0"/>
        <w:rPr>
          <w:lang w:val="en-US"/>
        </w:rPr>
      </w:pPr>
      <w:r w:rsidRPr="00CD1D6B">
        <w:rPr>
          <w:szCs w:val="22"/>
        </w:rPr>
        <w:t xml:space="preserve">The above outline previous and current areas of work </w:t>
      </w:r>
      <w:r w:rsidR="00B50862">
        <w:rPr>
          <w:szCs w:val="22"/>
        </w:rPr>
        <w:t xml:space="preserve">that </w:t>
      </w:r>
      <w:r w:rsidR="00CB0F4C">
        <w:rPr>
          <w:szCs w:val="22"/>
        </w:rPr>
        <w:t xml:space="preserve">supports the relevant work of the United Nations General Assembly and </w:t>
      </w:r>
      <w:r w:rsidR="00B50862">
        <w:rPr>
          <w:szCs w:val="22"/>
        </w:rPr>
        <w:t xml:space="preserve">may be </w:t>
      </w:r>
      <w:r w:rsidRPr="00CD1D6B">
        <w:rPr>
          <w:szCs w:val="22"/>
        </w:rPr>
        <w:t xml:space="preserve">relevant to supporting the </w:t>
      </w:r>
      <w:r w:rsidR="00B50862">
        <w:rPr>
          <w:szCs w:val="22"/>
        </w:rPr>
        <w:t xml:space="preserve">future </w:t>
      </w:r>
      <w:r w:rsidRPr="00CD1D6B">
        <w:rPr>
          <w:szCs w:val="22"/>
        </w:rPr>
        <w:t xml:space="preserve">implementation of the BBNJ Agreement, </w:t>
      </w:r>
      <w:r w:rsidRPr="00E40748">
        <w:rPr>
          <w:szCs w:val="22"/>
        </w:rPr>
        <w:t>but do not consider potential future areas of thematic and substantive work that may be pursued under the CBD and which may contribute to the effective implementation of the Agreement.</w:t>
      </w:r>
    </w:p>
    <w:p w14:paraId="32AD51A7" w14:textId="5C16E8F7" w:rsidR="00576102" w:rsidRPr="00576102" w:rsidRDefault="00F92E56" w:rsidP="00576102">
      <w:pPr>
        <w:pStyle w:val="Heading2"/>
      </w:pPr>
      <w:r>
        <w:t>C</w:t>
      </w:r>
      <w:r w:rsidR="00576102" w:rsidRPr="00576102">
        <w:t>.</w:t>
      </w:r>
      <w:r w:rsidR="00576102" w:rsidRPr="00576102">
        <w:tab/>
        <w:t>Kunming-Montreal Global Biodiversity Framework and the conservation and sustainable use of biodiversity in areas beyond national jurisdiction</w:t>
      </w:r>
    </w:p>
    <w:p w14:paraId="69739658" w14:textId="03AE05A6" w:rsidR="00576102" w:rsidRPr="00576102" w:rsidRDefault="00576102" w:rsidP="00576102">
      <w:pPr>
        <w:pStyle w:val="Para1"/>
        <w:numPr>
          <w:ilvl w:val="1"/>
          <w:numId w:val="27"/>
        </w:numPr>
        <w:ind w:left="567" w:firstLine="0"/>
        <w:rPr>
          <w:lang w:val="en-US"/>
        </w:rPr>
      </w:pPr>
      <w:r w:rsidRPr="00576102">
        <w:rPr>
          <w:szCs w:val="22"/>
        </w:rPr>
        <w:t>In decision 15/24, the Conference of the Parties encouraged Parties and invited other Governments participating in the Intergovernmental Conference on an international legally binding instrument under the United Nations Convention on the Law of the Sea on the conservation and sustainable use of marine biological diversity of areas beyond national jurisdiction, to take into consideration the Kunming-Montreal Global Biodiversity Framework in its negotiations, as appropriate (paragraph 11).</w:t>
      </w:r>
    </w:p>
    <w:p w14:paraId="5AF06103" w14:textId="65388E36" w:rsidR="00576102" w:rsidRPr="00576102" w:rsidRDefault="00F92E56" w:rsidP="00576102">
      <w:pPr>
        <w:pStyle w:val="Para1"/>
        <w:numPr>
          <w:ilvl w:val="1"/>
          <w:numId w:val="27"/>
        </w:numPr>
        <w:ind w:left="567" w:firstLine="0"/>
        <w:rPr>
          <w:szCs w:val="22"/>
        </w:rPr>
      </w:pPr>
      <w:r>
        <w:rPr>
          <w:szCs w:val="22"/>
        </w:rPr>
        <w:t>Various</w:t>
      </w:r>
      <w:r w:rsidR="00576102" w:rsidRPr="00576102">
        <w:rPr>
          <w:szCs w:val="22"/>
        </w:rPr>
        <w:t xml:space="preserve"> Parties have stressed the </w:t>
      </w:r>
      <w:r w:rsidR="008E75A7">
        <w:rPr>
          <w:szCs w:val="22"/>
        </w:rPr>
        <w:t>synergies between</w:t>
      </w:r>
      <w:r w:rsidR="00576102" w:rsidRPr="00576102">
        <w:rPr>
          <w:szCs w:val="22"/>
        </w:rPr>
        <w:t xml:space="preserve"> the Global Biodiversity Framework and the BBNJ Agreement, emphasizing that the </w:t>
      </w:r>
      <w:r w:rsidR="00260E36">
        <w:rPr>
          <w:szCs w:val="22"/>
        </w:rPr>
        <w:t xml:space="preserve">timely and effective implementation of the </w:t>
      </w:r>
      <w:r w:rsidR="00576102" w:rsidRPr="00576102">
        <w:rPr>
          <w:szCs w:val="22"/>
        </w:rPr>
        <w:t xml:space="preserve">Agreement can </w:t>
      </w:r>
      <w:r w:rsidR="00260E36">
        <w:rPr>
          <w:szCs w:val="22"/>
        </w:rPr>
        <w:t>contribute to</w:t>
      </w:r>
      <w:r w:rsidR="00260E36" w:rsidRPr="00576102">
        <w:rPr>
          <w:szCs w:val="22"/>
        </w:rPr>
        <w:t xml:space="preserve"> </w:t>
      </w:r>
      <w:r w:rsidR="00576102" w:rsidRPr="00576102">
        <w:rPr>
          <w:szCs w:val="22"/>
        </w:rPr>
        <w:t xml:space="preserve">the achievement of the goals and targets of the Framework. </w:t>
      </w:r>
    </w:p>
    <w:p w14:paraId="6DDD3969" w14:textId="7436B5C8" w:rsidR="00576102" w:rsidRPr="00576102" w:rsidRDefault="00576102" w:rsidP="00576102">
      <w:pPr>
        <w:pStyle w:val="Heading1"/>
      </w:pPr>
      <w:r w:rsidRPr="00576102">
        <w:lastRenderedPageBreak/>
        <w:t>Potential options for modalities for collaboration and cooperation</w:t>
      </w:r>
    </w:p>
    <w:p w14:paraId="5434AABC" w14:textId="3F087A35" w:rsidR="00040A73" w:rsidRPr="00040A73" w:rsidRDefault="00576102" w:rsidP="00040A73">
      <w:pPr>
        <w:pStyle w:val="Heading2"/>
      </w:pPr>
      <w:r w:rsidRPr="009606F9">
        <w:t>A.</w:t>
      </w:r>
      <w:r w:rsidRPr="009606F9">
        <w:tab/>
      </w:r>
      <w:r w:rsidR="00040A73">
        <w:t>Basis</w:t>
      </w:r>
    </w:p>
    <w:p w14:paraId="426489A3" w14:textId="6B9DD40A" w:rsidR="00040A73" w:rsidRPr="00040A73" w:rsidRDefault="00040A73" w:rsidP="00876985">
      <w:pPr>
        <w:pStyle w:val="Para1"/>
        <w:numPr>
          <w:ilvl w:val="1"/>
          <w:numId w:val="27"/>
        </w:numPr>
        <w:ind w:left="567" w:firstLine="0"/>
      </w:pPr>
      <w:r w:rsidRPr="00040A73">
        <w:t xml:space="preserve">Various provisions of the BBNJ Agreement address its relationship with </w:t>
      </w:r>
      <w:r w:rsidR="006674E7">
        <w:t>relevant</w:t>
      </w:r>
      <w:r w:rsidR="006674E7" w:rsidRPr="00040A73">
        <w:t xml:space="preserve"> </w:t>
      </w:r>
      <w:r w:rsidRPr="00040A73">
        <w:t>instruments</w:t>
      </w:r>
      <w:r w:rsidR="006F2BE0">
        <w:t xml:space="preserve">¸ </w:t>
      </w:r>
      <w:r w:rsidRPr="00040A73">
        <w:t xml:space="preserve">frameworks and </w:t>
      </w:r>
      <w:r w:rsidR="006F2BE0">
        <w:t>bodies</w:t>
      </w:r>
      <w:r w:rsidRPr="00040A73">
        <w:t xml:space="preserve"> and </w:t>
      </w:r>
      <w:r w:rsidR="004040CB">
        <w:t>international</w:t>
      </w:r>
      <w:r w:rsidRPr="00040A73">
        <w:t xml:space="preserve"> </w:t>
      </w:r>
      <w:r w:rsidR="00E34847">
        <w:t>cooperation and coordination</w:t>
      </w:r>
      <w:r w:rsidR="00876985">
        <w:t xml:space="preserve"> in relation to the conservation and sustainable use of marine biodiversity of areas beyond national jurisdiction</w:t>
      </w:r>
      <w:r w:rsidRPr="00040A73">
        <w:t xml:space="preserve">. </w:t>
      </w:r>
      <w:r w:rsidR="00876985">
        <w:t>The Agreemen</w:t>
      </w:r>
      <w:r w:rsidR="00206F27">
        <w:t>t</w:t>
      </w:r>
      <w:r w:rsidR="00206F27" w:rsidRPr="00206F27">
        <w:t xml:space="preserve"> provides that it is to be interpreted and applied in a manner that does not undermine and promotes coherence and coordination with relevant instruments, frameworks and bodies</w:t>
      </w:r>
      <w:r w:rsidR="00206F27">
        <w:t xml:space="preserve"> (Article 5 of the BBNJ Agreement)</w:t>
      </w:r>
      <w:r w:rsidR="00206F27" w:rsidRPr="00206F27">
        <w:t>. Parties to the BBNJ Agreement must cooperate under the Agreement, including through strengthening and enhancing cooperation with and among relevant instruments, frameworks and bodies, and endeavour to promote the objectives of the BBNJ Agreement when participating in decision-making under other relevant instruments, frameworks and bodies</w:t>
      </w:r>
      <w:r w:rsidR="00206F27">
        <w:t xml:space="preserve"> (Article 8 of the BBNJ Agreement)</w:t>
      </w:r>
      <w:r w:rsidR="00206F27" w:rsidRPr="00206F27">
        <w:t>. The BBNJ Agreement also contains provisions dealing with its relationship with relevant instruments, frameworks and bodies in relation to specific issues.</w:t>
      </w:r>
    </w:p>
    <w:p w14:paraId="418DB7AD" w14:textId="5A76ECBF" w:rsidR="00884120" w:rsidRDefault="009D6517" w:rsidP="00876985">
      <w:pPr>
        <w:pStyle w:val="Para1"/>
        <w:numPr>
          <w:ilvl w:val="1"/>
          <w:numId w:val="27"/>
        </w:numPr>
        <w:ind w:left="567" w:firstLine="0"/>
      </w:pPr>
      <w:r>
        <w:t xml:space="preserve">The </w:t>
      </w:r>
      <w:r w:rsidRPr="009D6517">
        <w:t xml:space="preserve">Conference of the Parities </w:t>
      </w:r>
      <w:r>
        <w:t xml:space="preserve">to the BBNJ Agreement </w:t>
      </w:r>
      <w:r w:rsidRPr="009D6517">
        <w:t>is mandated, among others, to promote, including by establishing appropriate processes, cooperation and coordination with and among relevant instruments, frameworks and bodies, with a view to promoting coherence among efforts towards the conservation and sustainable use of marine biodiversity of areas beyond national jurisdiction</w:t>
      </w:r>
      <w:r>
        <w:t xml:space="preserve"> (Article </w:t>
      </w:r>
      <w:r w:rsidR="00AB3CFC">
        <w:t>47 of the BBNJ Agreement)</w:t>
      </w:r>
      <w:r w:rsidRPr="009D6517">
        <w:t xml:space="preserve">. </w:t>
      </w:r>
      <w:r w:rsidR="00BE6BA8">
        <w:t>Other institutional arrangements established under the</w:t>
      </w:r>
      <w:r w:rsidR="00B81EFD">
        <w:t xml:space="preserve"> BBNJ Agreement will also play a role in</w:t>
      </w:r>
      <w:r w:rsidR="00604A4D">
        <w:t xml:space="preserve"> promoting international cooperation and coordination. For example, t</w:t>
      </w:r>
      <w:r w:rsidR="00741E84">
        <w:t>he</w:t>
      </w:r>
      <w:r w:rsidRPr="009D6517">
        <w:t xml:space="preserve"> Scientific and Technical Body </w:t>
      </w:r>
      <w:r w:rsidR="00481702">
        <w:t xml:space="preserve">and the Implementation and Compliance Committee </w:t>
      </w:r>
      <w:r w:rsidR="00604A4D">
        <w:t>may draw on</w:t>
      </w:r>
      <w:r w:rsidR="007E0069">
        <w:t xml:space="preserve"> appropriate advice</w:t>
      </w:r>
      <w:r w:rsidR="00481702">
        <w:t xml:space="preserve"> or information</w:t>
      </w:r>
      <w:r w:rsidR="007E0069">
        <w:t xml:space="preserve"> from relevant instruments, frameworks and bodies</w:t>
      </w:r>
      <w:r w:rsidR="00481702">
        <w:t>, as may be required</w:t>
      </w:r>
      <w:r w:rsidR="007E0069">
        <w:t xml:space="preserve"> (Article</w:t>
      </w:r>
      <w:r w:rsidR="00481702">
        <w:t>s</w:t>
      </w:r>
      <w:r w:rsidR="007E0069">
        <w:t xml:space="preserve"> 49 </w:t>
      </w:r>
      <w:r w:rsidR="00481702">
        <w:t xml:space="preserve">and 55 </w:t>
      </w:r>
      <w:r w:rsidR="007E0069">
        <w:t>of the BBNJ Agreement)</w:t>
      </w:r>
      <w:r w:rsidR="001E3385">
        <w:t xml:space="preserve">. The </w:t>
      </w:r>
      <w:r w:rsidRPr="009D6517">
        <w:t xml:space="preserve">secretariat </w:t>
      </w:r>
      <w:r w:rsidR="000D4761">
        <w:t xml:space="preserve">is mandated to, among others, facilitate cooperation and coordination, as appropriate, with the secretariats of other </w:t>
      </w:r>
      <w:r w:rsidR="006A317A">
        <w:t>relevant</w:t>
      </w:r>
      <w:r w:rsidR="000D4761">
        <w:t xml:space="preserve"> international bodies</w:t>
      </w:r>
      <w:r w:rsidR="006A317A">
        <w:t xml:space="preserve"> (Article 50 of the BBNJ Agreement)</w:t>
      </w:r>
      <w:r w:rsidR="001E3385">
        <w:t>. Th</w:t>
      </w:r>
      <w:r w:rsidR="00B1477B">
        <w:t xml:space="preserve">e </w:t>
      </w:r>
      <w:r w:rsidRPr="009D6517">
        <w:t>Clearing-House Mechanism</w:t>
      </w:r>
      <w:r w:rsidR="00B1477B">
        <w:t xml:space="preserve"> will, among others, facilitate international cooperation and collaboration, including scientific and technical </w:t>
      </w:r>
      <w:r w:rsidR="001E3385">
        <w:t>cooperation and collaboration (Article 51 of the BBNJ Agreement)</w:t>
      </w:r>
      <w:r w:rsidRPr="009D6517">
        <w:t>.</w:t>
      </w:r>
    </w:p>
    <w:p w14:paraId="60670B94" w14:textId="2E1A1F7B" w:rsidR="00612836" w:rsidRPr="00040A73" w:rsidRDefault="55C8636E" w:rsidP="00EB6830">
      <w:pPr>
        <w:pStyle w:val="Para1"/>
        <w:numPr>
          <w:ilvl w:val="1"/>
          <w:numId w:val="27"/>
        </w:numPr>
        <w:ind w:left="567" w:firstLine="0"/>
      </w:pPr>
      <w:r>
        <w:t>Furthermore, the BBNJ Agreement contains provisions aimed at promoting cooperation and coordination with and among relevant instruments, frameworks and bodies in relation to specific issues. For example, the access and benefit-sharing committee established under the Agreement may consult and facilitate exchange of information with relevant instruments, frameworks and bodies on activities within its mandate, including benefit-sharing, the use of digital sequence information on marine genetic resources, best practices, tools and methodologies, data governance and lessons learned</w:t>
      </w:r>
      <w:r w:rsidR="1CBC65BD">
        <w:t xml:space="preserve"> (Article </w:t>
      </w:r>
      <w:r w:rsidR="17986B14">
        <w:t>15 of the BBNJ Agreement)</w:t>
      </w:r>
      <w:r>
        <w:t>. The Conference of the Parties to the BBNJ Agreement will make arrangements for regular consultations to enhance cooperation and coordination with and among relevant instruments, frameworks and bodies with regard to area-based management tools, including marine protected areas, as well as coordination with regard to related measures adopted under such instruments and frameworks and by such bodies</w:t>
      </w:r>
      <w:r w:rsidR="17986B14">
        <w:t xml:space="preserve"> (Article </w:t>
      </w:r>
      <w:r w:rsidR="45D27FC5">
        <w:t>22 of the BBNJ Agreement</w:t>
      </w:r>
      <w:r w:rsidR="17986B14">
        <w:t>)</w:t>
      </w:r>
      <w:r>
        <w:t>. The Conference of the Parties to the BBNJ Agreement will also develop mechanisms for the Scientific and Technical Body to collaborate with relevant instruments, frameworks and bodies on environmental impact assessments</w:t>
      </w:r>
      <w:r w:rsidR="45D27FC5">
        <w:t xml:space="preserve"> (Article 29 of the BBNJ Agreement)</w:t>
      </w:r>
      <w:r>
        <w:t>. Parties to the BBNJ Agreement are to cooperate at all levels and in all forms in providing capacity-building and the transfer of marine technology, including through, among others, strengthening cooperation and coordination between relevant instruments, frameworks and bodies</w:t>
      </w:r>
      <w:r w:rsidR="0A0C396C">
        <w:t xml:space="preserve"> (Article 41 of the BBNJ Agreement)</w:t>
      </w:r>
      <w:r>
        <w:t>.</w:t>
      </w:r>
    </w:p>
    <w:p w14:paraId="5E516DB1" w14:textId="388E7E06" w:rsidR="00040A73" w:rsidRPr="00040A73" w:rsidRDefault="00040A73" w:rsidP="00040A73">
      <w:pPr>
        <w:pStyle w:val="Para1"/>
        <w:numPr>
          <w:ilvl w:val="1"/>
          <w:numId w:val="27"/>
        </w:numPr>
        <w:ind w:left="567" w:firstLine="0"/>
      </w:pPr>
      <w:r w:rsidRPr="46828A44">
        <w:rPr>
          <w:lang w:val="en-US"/>
        </w:rPr>
        <w:t>Likewise, the Convention on Biological Diversity addresses similar considerations. This includes Article 5 (“Cooperation”), which notes that “</w:t>
      </w:r>
      <w:r>
        <w:t xml:space="preserve">Each Contracting Party shall, as far as possible and as appropriate, cooperate with other Contracting Parties, directly or, where appropriate, through competent international organizations, in respect of areas beyond national jurisdiction and on other matters of mutual interest, for the conservation and sustainable use of biological diversity. In </w:t>
      </w:r>
      <w:r>
        <w:lastRenderedPageBreak/>
        <w:t>addition, Article 22 (“Relationship with other international conventions”) contains the following relevant provisions:</w:t>
      </w:r>
    </w:p>
    <w:p w14:paraId="1A69187C" w14:textId="45B55816" w:rsidR="00040A73" w:rsidRPr="00E40748" w:rsidRDefault="00040A73" w:rsidP="00E40748">
      <w:pPr>
        <w:pStyle w:val="Para1"/>
        <w:numPr>
          <w:ilvl w:val="0"/>
          <w:numId w:val="47"/>
        </w:numPr>
        <w:tabs>
          <w:tab w:val="left" w:pos="1701"/>
        </w:tabs>
        <w:ind w:left="567" w:firstLine="567"/>
      </w:pPr>
      <w:r w:rsidRPr="00E40748">
        <w:t>The provisions of this Convention shall not affect the rights and obligations of any Contracting Party deriving from any existing international agreement, except where the exercise of those rights and obligations would cause a serious damage or threat to biological diversity</w:t>
      </w:r>
      <w:r w:rsidR="00B50862">
        <w:t xml:space="preserve"> (para</w:t>
      </w:r>
      <w:r w:rsidR="007025B3">
        <w:t>.</w:t>
      </w:r>
      <w:r w:rsidR="00B50862">
        <w:t xml:space="preserve"> 1)</w:t>
      </w:r>
      <w:r w:rsidR="007025B3">
        <w:t>;</w:t>
      </w:r>
    </w:p>
    <w:p w14:paraId="4CDD13A1" w14:textId="12A21EE3" w:rsidR="00040A73" w:rsidRPr="00B50862" w:rsidRDefault="00040A73" w:rsidP="00E40748">
      <w:pPr>
        <w:pStyle w:val="Para1"/>
        <w:numPr>
          <w:ilvl w:val="0"/>
          <w:numId w:val="47"/>
        </w:numPr>
        <w:tabs>
          <w:tab w:val="left" w:pos="1701"/>
        </w:tabs>
        <w:ind w:left="567" w:firstLine="567"/>
        <w:rPr>
          <w:lang w:val="en-US"/>
        </w:rPr>
      </w:pPr>
      <w:r w:rsidRPr="00E40748">
        <w:t>Contracting Parties shall implement this Convention with respect to the marine environment consistently with the rights and obligations of States under the law of the sea</w:t>
      </w:r>
      <w:r w:rsidR="00B50862">
        <w:t xml:space="preserve"> (para</w:t>
      </w:r>
      <w:r w:rsidR="007025B3">
        <w:t>.</w:t>
      </w:r>
      <w:r w:rsidR="00B50862">
        <w:t xml:space="preserve"> 2)</w:t>
      </w:r>
      <w:r w:rsidRPr="00E40748">
        <w:t>.</w:t>
      </w:r>
    </w:p>
    <w:p w14:paraId="7B0E2A24" w14:textId="0079C290" w:rsidR="00576102" w:rsidRPr="007D5D9A" w:rsidRDefault="00040A73" w:rsidP="007D5D9A">
      <w:pPr>
        <w:pStyle w:val="Para1"/>
        <w:numPr>
          <w:ilvl w:val="1"/>
          <w:numId w:val="27"/>
        </w:numPr>
        <w:ind w:left="567" w:firstLine="0"/>
        <w:rPr>
          <w:lang w:val="en-US"/>
        </w:rPr>
      </w:pPr>
      <w:r w:rsidRPr="46828A44">
        <w:rPr>
          <w:lang w:val="en-US"/>
        </w:rPr>
        <w:t xml:space="preserve">The above provide the basis for </w:t>
      </w:r>
      <w:r w:rsidR="00C35F08">
        <w:rPr>
          <w:lang w:val="en-US"/>
        </w:rPr>
        <w:t>synergies and complementarities</w:t>
      </w:r>
      <w:r w:rsidRPr="46828A44">
        <w:rPr>
          <w:lang w:val="en-US"/>
        </w:rPr>
        <w:t xml:space="preserve"> across work </w:t>
      </w:r>
      <w:r w:rsidR="00C35F08">
        <w:rPr>
          <w:lang w:val="en-US"/>
        </w:rPr>
        <w:t>in</w:t>
      </w:r>
      <w:r w:rsidR="00C35F08" w:rsidRPr="46828A44">
        <w:rPr>
          <w:lang w:val="en-US"/>
        </w:rPr>
        <w:t xml:space="preserve"> </w:t>
      </w:r>
      <w:r w:rsidRPr="46828A44">
        <w:rPr>
          <w:lang w:val="en-US"/>
        </w:rPr>
        <w:t>the</w:t>
      </w:r>
      <w:r w:rsidR="00C35F08">
        <w:rPr>
          <w:lang w:val="en-US"/>
        </w:rPr>
        <w:t xml:space="preserve"> context of the</w:t>
      </w:r>
      <w:r w:rsidRPr="46828A44">
        <w:rPr>
          <w:lang w:val="en-US"/>
        </w:rPr>
        <w:t xml:space="preserve"> BBNJ Agreement </w:t>
      </w:r>
      <w:r w:rsidRPr="00C35F08">
        <w:rPr>
          <w:lang w:val="en-US"/>
        </w:rPr>
        <w:t xml:space="preserve">and </w:t>
      </w:r>
      <w:r w:rsidR="00C35F08" w:rsidRPr="00E40748">
        <w:rPr>
          <w:lang w:val="en-US"/>
        </w:rPr>
        <w:t xml:space="preserve">work </w:t>
      </w:r>
      <w:r w:rsidR="00C35F08" w:rsidRPr="00C35F08">
        <w:rPr>
          <w:lang w:val="en-US"/>
        </w:rPr>
        <w:t xml:space="preserve">in the context of </w:t>
      </w:r>
      <w:r w:rsidRPr="00C35F08">
        <w:rPr>
          <w:lang w:val="en-US"/>
        </w:rPr>
        <w:t>the CBD,</w:t>
      </w:r>
      <w:r w:rsidRPr="46828A44">
        <w:rPr>
          <w:lang w:val="en-US"/>
        </w:rPr>
        <w:t xml:space="preserve"> enabling the uptake and use of various types of information, guidance and experiences that can support the effective implementation of the Agreement</w:t>
      </w:r>
      <w:r w:rsidR="28B3D436" w:rsidRPr="46828A44">
        <w:rPr>
          <w:lang w:val="en-US"/>
        </w:rPr>
        <w:t xml:space="preserve"> and </w:t>
      </w:r>
      <w:r w:rsidR="00C35F08">
        <w:rPr>
          <w:lang w:val="en-US"/>
        </w:rPr>
        <w:t xml:space="preserve">of </w:t>
      </w:r>
      <w:r w:rsidR="28B3D436" w:rsidRPr="46828A44">
        <w:rPr>
          <w:lang w:val="en-US"/>
        </w:rPr>
        <w:t xml:space="preserve">the </w:t>
      </w:r>
      <w:r w:rsidR="00B50862">
        <w:rPr>
          <w:lang w:val="en-US"/>
        </w:rPr>
        <w:t>Convention on Biological Diversity</w:t>
      </w:r>
      <w:r w:rsidRPr="46828A44">
        <w:rPr>
          <w:lang w:val="en-US"/>
        </w:rPr>
        <w:t>.</w:t>
      </w:r>
    </w:p>
    <w:p w14:paraId="78C04797" w14:textId="25F6E2F6" w:rsidR="007D5D9A" w:rsidRPr="00040A73" w:rsidRDefault="007D5D9A" w:rsidP="007D5D9A">
      <w:pPr>
        <w:pStyle w:val="Heading2"/>
      </w:pPr>
      <w:r>
        <w:t>B</w:t>
      </w:r>
      <w:r w:rsidRPr="009606F9">
        <w:t>.</w:t>
      </w:r>
      <w:r w:rsidRPr="009606F9">
        <w:tab/>
      </w:r>
      <w:r>
        <w:t>Objectives</w:t>
      </w:r>
    </w:p>
    <w:p w14:paraId="11047437" w14:textId="35473A16" w:rsidR="007D5D9A" w:rsidRDefault="007D5D9A" w:rsidP="007D5D9A">
      <w:pPr>
        <w:pStyle w:val="Para1"/>
        <w:numPr>
          <w:ilvl w:val="1"/>
          <w:numId w:val="27"/>
        </w:numPr>
        <w:ind w:left="567" w:firstLine="0"/>
        <w:rPr>
          <w:lang w:val="en-US"/>
        </w:rPr>
      </w:pPr>
      <w:r w:rsidRPr="46828A44">
        <w:rPr>
          <w:lang w:val="en-US"/>
        </w:rPr>
        <w:t xml:space="preserve">In line with the </w:t>
      </w:r>
      <w:r w:rsidR="6B40024E" w:rsidRPr="46828A44">
        <w:rPr>
          <w:lang w:val="en-US"/>
        </w:rPr>
        <w:t>recognition</w:t>
      </w:r>
      <w:r w:rsidRPr="46828A44">
        <w:rPr>
          <w:lang w:val="en-US"/>
        </w:rPr>
        <w:t xml:space="preserve"> by the Conference of the Parties </w:t>
      </w:r>
      <w:r w:rsidR="488349FB" w:rsidRPr="46828A44">
        <w:rPr>
          <w:lang w:val="en-US"/>
        </w:rPr>
        <w:t xml:space="preserve">to the CBD </w:t>
      </w:r>
      <w:r w:rsidR="6B40024E" w:rsidRPr="46828A44">
        <w:rPr>
          <w:lang w:val="en-US"/>
        </w:rPr>
        <w:t xml:space="preserve">of the role of the work under the Convention </w:t>
      </w:r>
      <w:r w:rsidRPr="46828A44">
        <w:rPr>
          <w:lang w:val="en-US"/>
        </w:rPr>
        <w:t xml:space="preserve">in </w:t>
      </w:r>
      <w:r w:rsidR="6B40024E">
        <w:t>providing</w:t>
      </w:r>
      <w:r>
        <w:t xml:space="preserve"> scientific and, as appropriate, technical information and advice relating to marine biological diversity, the application of the ecosystem approach and the precautionary approach in ABNJ, there are numerous benefits to be gained by ensuring strong </w:t>
      </w:r>
      <w:r w:rsidRPr="46828A44">
        <w:rPr>
          <w:lang w:val="en-US"/>
        </w:rPr>
        <w:t xml:space="preserve">collaboration and </w:t>
      </w:r>
      <w:r>
        <w:t xml:space="preserve">cooperation with relevant global and regional organizations in the context of </w:t>
      </w:r>
      <w:r w:rsidR="6B40024E">
        <w:t>the BBNJ Agreement</w:t>
      </w:r>
      <w:r>
        <w:t>.</w:t>
      </w:r>
    </w:p>
    <w:p w14:paraId="7F51FD3B" w14:textId="10EA3573" w:rsidR="007D5D9A" w:rsidRPr="007D5D9A" w:rsidRDefault="007D5D9A" w:rsidP="007D5D9A">
      <w:pPr>
        <w:pStyle w:val="Para1"/>
        <w:numPr>
          <w:ilvl w:val="1"/>
          <w:numId w:val="27"/>
        </w:numPr>
        <w:ind w:left="567" w:firstLine="0"/>
        <w:rPr>
          <w:lang w:val="en-US"/>
        </w:rPr>
      </w:pPr>
      <w:r w:rsidRPr="46828A44">
        <w:rPr>
          <w:lang w:val="en-US"/>
        </w:rPr>
        <w:t xml:space="preserve">As the global framework instrument and process dealing specifically with the issue of biodiversity in all of its forms, </w:t>
      </w:r>
      <w:r w:rsidR="409C6A63" w:rsidRPr="46828A44">
        <w:rPr>
          <w:lang w:val="en-US"/>
        </w:rPr>
        <w:t xml:space="preserve">the Convention </w:t>
      </w:r>
      <w:r w:rsidR="42110539" w:rsidRPr="46828A44">
        <w:rPr>
          <w:lang w:val="en-US"/>
        </w:rPr>
        <w:t xml:space="preserve">can </w:t>
      </w:r>
      <w:r w:rsidRPr="46828A44">
        <w:rPr>
          <w:lang w:val="en-US"/>
        </w:rPr>
        <w:t xml:space="preserve">provide important </w:t>
      </w:r>
      <w:r w:rsidR="42110539" w:rsidRPr="46828A44">
        <w:rPr>
          <w:lang w:val="en-US"/>
        </w:rPr>
        <w:t xml:space="preserve">scientific and technical information and expertise </w:t>
      </w:r>
      <w:r w:rsidRPr="46828A44">
        <w:rPr>
          <w:lang w:val="en-US"/>
        </w:rPr>
        <w:t xml:space="preserve">to support both the deliberations of the future Conference of the Parties to the BBNJ Agreement </w:t>
      </w:r>
      <w:r w:rsidR="002A2D65" w:rsidRPr="46828A44">
        <w:rPr>
          <w:lang w:val="en-US"/>
        </w:rPr>
        <w:t xml:space="preserve">and its subsidiary bodies, </w:t>
      </w:r>
      <w:r w:rsidRPr="46828A44">
        <w:rPr>
          <w:lang w:val="en-US"/>
        </w:rPr>
        <w:t xml:space="preserve">and the effective implementation of the Agreement, including through </w:t>
      </w:r>
      <w:r w:rsidR="42110539" w:rsidRPr="46828A44">
        <w:rPr>
          <w:lang w:val="en-US"/>
        </w:rPr>
        <w:t xml:space="preserve">cooperation and coordination </w:t>
      </w:r>
      <w:r w:rsidRPr="46828A44">
        <w:rPr>
          <w:lang w:val="en-US"/>
        </w:rPr>
        <w:t xml:space="preserve">with other </w:t>
      </w:r>
      <w:r w:rsidR="42110539" w:rsidRPr="46828A44">
        <w:rPr>
          <w:lang w:val="en-US"/>
        </w:rPr>
        <w:t xml:space="preserve">instruments, frameworks and bodies through </w:t>
      </w:r>
      <w:r w:rsidR="1DD07487" w:rsidRPr="46828A44">
        <w:rPr>
          <w:lang w:val="en-US"/>
        </w:rPr>
        <w:t xml:space="preserve">the </w:t>
      </w:r>
      <w:r w:rsidR="42110539" w:rsidRPr="46828A44">
        <w:rPr>
          <w:lang w:val="en-US"/>
        </w:rPr>
        <w:t xml:space="preserve">processes </w:t>
      </w:r>
      <w:r w:rsidR="7F8F4AD6" w:rsidRPr="46828A44">
        <w:rPr>
          <w:lang w:val="en-US"/>
        </w:rPr>
        <w:t xml:space="preserve">foreseen </w:t>
      </w:r>
      <w:r w:rsidR="42110539" w:rsidRPr="46828A44">
        <w:rPr>
          <w:lang w:val="en-US"/>
        </w:rPr>
        <w:t>under the Agreement</w:t>
      </w:r>
      <w:r w:rsidRPr="46828A44">
        <w:rPr>
          <w:lang w:val="en-US"/>
        </w:rPr>
        <w:t>.</w:t>
      </w:r>
    </w:p>
    <w:p w14:paraId="7BBFBD2A" w14:textId="32E1721B" w:rsidR="007D5D9A" w:rsidRPr="007D5D9A" w:rsidRDefault="2FD56B9D" w:rsidP="007D5D9A">
      <w:pPr>
        <w:pStyle w:val="Para1"/>
        <w:numPr>
          <w:ilvl w:val="1"/>
          <w:numId w:val="27"/>
        </w:numPr>
        <w:ind w:left="567" w:firstLine="0"/>
        <w:rPr>
          <w:szCs w:val="22"/>
          <w:lang w:val="en-US"/>
        </w:rPr>
      </w:pPr>
      <w:r w:rsidRPr="46828A44">
        <w:rPr>
          <w:lang w:val="en-US"/>
        </w:rPr>
        <w:t>Experiences gained t</w:t>
      </w:r>
      <w:r w:rsidR="007D5D9A" w:rsidRPr="46828A44">
        <w:rPr>
          <w:lang w:val="en-US"/>
        </w:rPr>
        <w:t xml:space="preserve">hrough years of Party-led implementation of the CBD </w:t>
      </w:r>
      <w:r w:rsidR="002A2D65" w:rsidRPr="46828A44">
        <w:rPr>
          <w:lang w:val="en-US"/>
        </w:rPr>
        <w:t xml:space="preserve">may </w:t>
      </w:r>
      <w:r w:rsidR="007D5D9A" w:rsidRPr="46828A44">
        <w:rPr>
          <w:lang w:val="en-US"/>
        </w:rPr>
        <w:t xml:space="preserve">prove instructive to </w:t>
      </w:r>
      <w:r w:rsidRPr="46828A44">
        <w:rPr>
          <w:lang w:val="en-US"/>
        </w:rPr>
        <w:t xml:space="preserve">support </w:t>
      </w:r>
      <w:r w:rsidR="007D5D9A" w:rsidRPr="46828A44">
        <w:rPr>
          <w:lang w:val="en-US"/>
        </w:rPr>
        <w:t xml:space="preserve">the effective </w:t>
      </w:r>
      <w:r w:rsidRPr="46828A44">
        <w:rPr>
          <w:lang w:val="en-US"/>
        </w:rPr>
        <w:t xml:space="preserve">implementation </w:t>
      </w:r>
      <w:r w:rsidR="2BD36627" w:rsidRPr="46828A44">
        <w:rPr>
          <w:lang w:val="en-US"/>
        </w:rPr>
        <w:t xml:space="preserve">of </w:t>
      </w:r>
      <w:r w:rsidR="007D5D9A" w:rsidRPr="46828A44">
        <w:rPr>
          <w:lang w:val="en-US"/>
        </w:rPr>
        <w:t xml:space="preserve">the BBNJ Agreement. This includes both implementation of </w:t>
      </w:r>
      <w:r w:rsidR="00C35F08">
        <w:rPr>
          <w:lang w:val="en-US"/>
        </w:rPr>
        <w:t xml:space="preserve">the </w:t>
      </w:r>
      <w:r w:rsidR="007D5D9A" w:rsidRPr="46828A44">
        <w:rPr>
          <w:lang w:val="en-US"/>
        </w:rPr>
        <w:t xml:space="preserve">responsibilities of </w:t>
      </w:r>
      <w:r w:rsidR="00C35F08">
        <w:rPr>
          <w:lang w:val="en-US"/>
        </w:rPr>
        <w:t xml:space="preserve">CBD </w:t>
      </w:r>
      <w:r w:rsidR="007D5D9A" w:rsidRPr="46828A44">
        <w:rPr>
          <w:lang w:val="en-US"/>
        </w:rPr>
        <w:t>Parties with respect to their activities in ABNJ, as well as relevant efforts</w:t>
      </w:r>
      <w:r w:rsidR="00C35F08">
        <w:rPr>
          <w:lang w:val="en-US"/>
        </w:rPr>
        <w:t xml:space="preserve"> to implement the CBD</w:t>
      </w:r>
      <w:r w:rsidR="007D5D9A" w:rsidRPr="46828A44">
        <w:rPr>
          <w:lang w:val="en-US"/>
        </w:rPr>
        <w:t xml:space="preserve"> within national jurisdiction, including with respect to certain types of biomes, species and ecosystems that may also be found in ABNJ. </w:t>
      </w:r>
    </w:p>
    <w:p w14:paraId="05D7722E" w14:textId="3DD40C3A" w:rsidR="007D5D9A" w:rsidRPr="007D5D9A" w:rsidRDefault="007D5D9A" w:rsidP="00EB6830">
      <w:pPr>
        <w:pStyle w:val="ListParagraph"/>
        <w:numPr>
          <w:ilvl w:val="1"/>
          <w:numId w:val="27"/>
        </w:numPr>
        <w:spacing w:before="120" w:after="120"/>
        <w:ind w:left="567" w:firstLine="0"/>
        <w:contextualSpacing w:val="0"/>
        <w:jc w:val="both"/>
        <w:rPr>
          <w:rFonts w:ascii="Times New Roman" w:hAnsi="Times New Roman" w:cs="Times New Roman"/>
          <w:sz w:val="22"/>
          <w:szCs w:val="22"/>
          <w:lang w:val="en-US"/>
        </w:rPr>
      </w:pPr>
      <w:r w:rsidRPr="46828A44">
        <w:rPr>
          <w:rFonts w:ascii="Times New Roman" w:hAnsi="Times New Roman" w:cs="Times New Roman"/>
          <w:sz w:val="22"/>
          <w:szCs w:val="22"/>
          <w:lang w:val="en-US"/>
        </w:rPr>
        <w:t>As well, the Conference of the Parties</w:t>
      </w:r>
      <w:r w:rsidR="00615C81">
        <w:rPr>
          <w:rFonts w:ascii="Times New Roman" w:hAnsi="Times New Roman" w:cs="Times New Roman"/>
          <w:sz w:val="22"/>
          <w:szCs w:val="22"/>
          <w:lang w:val="en-US"/>
        </w:rPr>
        <w:t xml:space="preserve"> to the CBD</w:t>
      </w:r>
      <w:r w:rsidRPr="46828A44">
        <w:rPr>
          <w:rFonts w:ascii="Times New Roman" w:hAnsi="Times New Roman" w:cs="Times New Roman"/>
          <w:sz w:val="22"/>
          <w:szCs w:val="22"/>
          <w:lang w:val="en-US"/>
        </w:rPr>
        <w:t xml:space="preserve"> has previously discussed various issues of </w:t>
      </w:r>
      <w:r w:rsidR="2DE536AE" w:rsidRPr="46828A44">
        <w:rPr>
          <w:rFonts w:ascii="Times New Roman" w:hAnsi="Times New Roman" w:cs="Times New Roman"/>
          <w:sz w:val="22"/>
          <w:szCs w:val="22"/>
          <w:lang w:val="en-US"/>
        </w:rPr>
        <w:t xml:space="preserve">significant </w:t>
      </w:r>
      <w:r w:rsidRPr="46828A44">
        <w:rPr>
          <w:rFonts w:ascii="Times New Roman" w:hAnsi="Times New Roman" w:cs="Times New Roman"/>
          <w:sz w:val="22"/>
          <w:szCs w:val="22"/>
          <w:lang w:val="en-US"/>
        </w:rPr>
        <w:t xml:space="preserve">relevance to marine biodiversity </w:t>
      </w:r>
      <w:r w:rsidR="2DE536AE" w:rsidRPr="46828A44">
        <w:rPr>
          <w:rFonts w:ascii="Times New Roman" w:hAnsi="Times New Roman" w:cs="Times New Roman"/>
          <w:sz w:val="22"/>
          <w:szCs w:val="22"/>
          <w:lang w:val="en-US"/>
        </w:rPr>
        <w:t xml:space="preserve">of </w:t>
      </w:r>
      <w:r w:rsidRPr="46828A44">
        <w:rPr>
          <w:rFonts w:ascii="Times New Roman" w:hAnsi="Times New Roman" w:cs="Times New Roman"/>
          <w:sz w:val="22"/>
          <w:szCs w:val="22"/>
          <w:lang w:val="en-US"/>
        </w:rPr>
        <w:t>ABNJ (e.g., ecologically or biologically significant marine areas</w:t>
      </w:r>
      <w:r w:rsidR="002E0AC0" w:rsidRPr="46828A44">
        <w:rPr>
          <w:rFonts w:ascii="Times New Roman" w:hAnsi="Times New Roman" w:cs="Times New Roman"/>
          <w:sz w:val="22"/>
          <w:szCs w:val="22"/>
          <w:lang w:val="en-US"/>
        </w:rPr>
        <w:t>,</w:t>
      </w:r>
      <w:r w:rsidRPr="46828A44">
        <w:rPr>
          <w:rFonts w:ascii="Times New Roman" w:hAnsi="Times New Roman" w:cs="Times New Roman"/>
          <w:sz w:val="22"/>
          <w:szCs w:val="22"/>
          <w:lang w:val="en-US"/>
        </w:rPr>
        <w:t xml:space="preserve"> specific pressures on marine biodiversity, biodiversity mainstreaming), leading to various decisions on these issues, in addition to increased political awareness and understanding of key biodiversity topics.</w:t>
      </w:r>
    </w:p>
    <w:p w14:paraId="0B5FD0C5" w14:textId="7634C151" w:rsidR="007D5D9A" w:rsidRPr="00615C81" w:rsidRDefault="007D5D9A" w:rsidP="00EB6830">
      <w:pPr>
        <w:pStyle w:val="ListParagraph"/>
        <w:numPr>
          <w:ilvl w:val="1"/>
          <w:numId w:val="27"/>
        </w:numPr>
        <w:spacing w:before="120" w:after="120"/>
        <w:ind w:left="567" w:firstLine="0"/>
        <w:contextualSpacing w:val="0"/>
        <w:jc w:val="both"/>
        <w:rPr>
          <w:rFonts w:ascii="Times New Roman" w:hAnsi="Times New Roman" w:cs="Times New Roman"/>
          <w:sz w:val="22"/>
          <w:szCs w:val="22"/>
          <w:lang w:val="en-US"/>
        </w:rPr>
      </w:pPr>
      <w:r w:rsidRPr="00615C81">
        <w:rPr>
          <w:rFonts w:ascii="Times New Roman" w:hAnsi="Times New Roman" w:cs="Times New Roman"/>
          <w:sz w:val="22"/>
          <w:szCs w:val="22"/>
          <w:lang w:val="en-US"/>
        </w:rPr>
        <w:t xml:space="preserve">Additionally, numerous efforts and initiatives led by the CBD Secretariat provide valuable opportunities to directly </w:t>
      </w:r>
      <w:r w:rsidR="00AF1C26" w:rsidRPr="00615C81">
        <w:rPr>
          <w:rFonts w:ascii="Times New Roman" w:hAnsi="Times New Roman" w:cs="Times New Roman"/>
          <w:sz w:val="22"/>
          <w:szCs w:val="22"/>
          <w:lang w:val="en-US"/>
        </w:rPr>
        <w:t xml:space="preserve">address </w:t>
      </w:r>
      <w:r w:rsidRPr="00615C81">
        <w:rPr>
          <w:rFonts w:ascii="Times New Roman" w:hAnsi="Times New Roman" w:cs="Times New Roman"/>
          <w:sz w:val="22"/>
          <w:szCs w:val="22"/>
          <w:lang w:val="en-US"/>
        </w:rPr>
        <w:t>issues related to biodiversity in ABNJ</w:t>
      </w:r>
      <w:r w:rsidR="00615C81" w:rsidRPr="00E40748">
        <w:rPr>
          <w:rFonts w:ascii="Times New Roman" w:hAnsi="Times New Roman" w:cs="Times New Roman"/>
          <w:sz w:val="22"/>
          <w:szCs w:val="22"/>
          <w:lang w:val="en-US"/>
        </w:rPr>
        <w:t xml:space="preserve"> that have not yet been discussed in work under the CBD</w:t>
      </w:r>
      <w:r w:rsidRPr="00615C81">
        <w:rPr>
          <w:rFonts w:ascii="Times New Roman" w:hAnsi="Times New Roman" w:cs="Times New Roman"/>
          <w:sz w:val="22"/>
          <w:szCs w:val="22"/>
          <w:lang w:val="en-US"/>
        </w:rPr>
        <w:t>.</w:t>
      </w:r>
    </w:p>
    <w:p w14:paraId="1A7727B8" w14:textId="60E93F94" w:rsidR="007D5D9A" w:rsidRPr="007D5D9A" w:rsidRDefault="007D5D9A" w:rsidP="00EB6830">
      <w:pPr>
        <w:pStyle w:val="ListParagraph"/>
        <w:numPr>
          <w:ilvl w:val="1"/>
          <w:numId w:val="27"/>
        </w:numPr>
        <w:spacing w:before="120" w:after="120"/>
        <w:ind w:left="567" w:firstLine="0"/>
        <w:jc w:val="both"/>
        <w:rPr>
          <w:rFonts w:ascii="Times New Roman" w:hAnsi="Times New Roman" w:cs="Times New Roman"/>
          <w:sz w:val="22"/>
          <w:szCs w:val="22"/>
          <w:lang w:val="en-US"/>
        </w:rPr>
      </w:pPr>
      <w:r w:rsidRPr="00615C81">
        <w:rPr>
          <w:rFonts w:ascii="Times New Roman" w:hAnsi="Times New Roman" w:cs="Times New Roman"/>
          <w:sz w:val="22"/>
          <w:szCs w:val="22"/>
          <w:lang w:val="en-US"/>
        </w:rPr>
        <w:t xml:space="preserve">Through these experiences, a strong ‘community of practice’ has emerged </w:t>
      </w:r>
      <w:r w:rsidR="081AE599" w:rsidRPr="00615C81">
        <w:rPr>
          <w:rFonts w:ascii="Times New Roman" w:hAnsi="Times New Roman" w:cs="Times New Roman"/>
          <w:sz w:val="22"/>
          <w:szCs w:val="22"/>
          <w:lang w:val="en-US"/>
        </w:rPr>
        <w:t>under</w:t>
      </w:r>
      <w:r w:rsidRPr="00615C81">
        <w:rPr>
          <w:rFonts w:ascii="Times New Roman" w:hAnsi="Times New Roman" w:cs="Times New Roman"/>
          <w:sz w:val="22"/>
          <w:szCs w:val="22"/>
          <w:lang w:val="en-US"/>
        </w:rPr>
        <w:t xml:space="preserve"> the CBD, comprised</w:t>
      </w:r>
      <w:r w:rsidRPr="46828A44">
        <w:rPr>
          <w:rFonts w:ascii="Times New Roman" w:hAnsi="Times New Roman" w:cs="Times New Roman"/>
          <w:sz w:val="22"/>
          <w:szCs w:val="22"/>
          <w:lang w:val="en-US"/>
        </w:rPr>
        <w:t xml:space="preserve"> of expert scientists, managers, and policymakers. It is likely that some of these practitioners may also eventually be engaged in some form in the implementation of the BBNJ Agreement.</w:t>
      </w:r>
    </w:p>
    <w:p w14:paraId="76F09029" w14:textId="3AE36240" w:rsidR="007D5D9A" w:rsidRPr="00615C81" w:rsidRDefault="007D5D9A" w:rsidP="00EB6830">
      <w:pPr>
        <w:pStyle w:val="Para1"/>
        <w:numPr>
          <w:ilvl w:val="1"/>
          <w:numId w:val="27"/>
        </w:numPr>
        <w:ind w:left="567" w:firstLine="0"/>
        <w:rPr>
          <w:szCs w:val="22"/>
          <w:lang w:val="en-US"/>
        </w:rPr>
      </w:pPr>
      <w:r w:rsidRPr="00615C81">
        <w:rPr>
          <w:lang w:val="en-US"/>
        </w:rPr>
        <w:t xml:space="preserve">Finally, </w:t>
      </w:r>
      <w:r w:rsidR="00AF1C26" w:rsidRPr="00615C81">
        <w:rPr>
          <w:lang w:val="en-US"/>
        </w:rPr>
        <w:t xml:space="preserve">it may be useful for </w:t>
      </w:r>
      <w:r w:rsidR="00615C81" w:rsidRPr="00E40748">
        <w:rPr>
          <w:lang w:val="en-US"/>
        </w:rPr>
        <w:t xml:space="preserve">the Conference of the Parties to the </w:t>
      </w:r>
      <w:r w:rsidRPr="00615C81">
        <w:rPr>
          <w:lang w:val="en-US"/>
        </w:rPr>
        <w:t xml:space="preserve">CBD </w:t>
      </w:r>
      <w:r w:rsidR="00AF1C26" w:rsidRPr="00615C81">
        <w:rPr>
          <w:lang w:val="en-US"/>
        </w:rPr>
        <w:t xml:space="preserve"> </w:t>
      </w:r>
      <w:r w:rsidRPr="00615C81">
        <w:rPr>
          <w:lang w:val="en-US"/>
        </w:rPr>
        <w:t>to explore new areas of work</w:t>
      </w:r>
      <w:r w:rsidR="00615C81" w:rsidRPr="00E40748">
        <w:rPr>
          <w:lang w:val="en-US"/>
        </w:rPr>
        <w:t xml:space="preserve"> </w:t>
      </w:r>
      <w:r w:rsidRPr="00615C81">
        <w:rPr>
          <w:lang w:val="en-US"/>
        </w:rPr>
        <w:t>that may complement discussions in the Conference of the Parties to the BBNJ Agreement and support implementation of the Agreement.</w:t>
      </w:r>
    </w:p>
    <w:p w14:paraId="76388EB9" w14:textId="6C200A8F" w:rsidR="007D5D9A" w:rsidRPr="007D5D9A" w:rsidRDefault="007D5D9A" w:rsidP="007D5D9A">
      <w:pPr>
        <w:pStyle w:val="Heading2"/>
      </w:pPr>
      <w:r w:rsidRPr="007D5D9A">
        <w:t>C.</w:t>
      </w:r>
      <w:r w:rsidRPr="007D5D9A">
        <w:tab/>
        <w:t>Potential focal areas for collaboration and cooperation</w:t>
      </w:r>
    </w:p>
    <w:p w14:paraId="7886A96E" w14:textId="5A9F5B3C" w:rsidR="007D5D9A" w:rsidRPr="004875C5" w:rsidRDefault="007D5D9A" w:rsidP="007C7238">
      <w:pPr>
        <w:pStyle w:val="ListParagraph"/>
        <w:numPr>
          <w:ilvl w:val="1"/>
          <w:numId w:val="27"/>
        </w:numPr>
        <w:tabs>
          <w:tab w:val="left" w:pos="1134"/>
        </w:tabs>
        <w:spacing w:before="120" w:after="120"/>
        <w:ind w:left="567" w:firstLine="0"/>
        <w:contextualSpacing w:val="0"/>
        <w:jc w:val="both"/>
        <w:rPr>
          <w:rFonts w:ascii="Times New Roman" w:hAnsi="Times New Roman" w:cs="Times New Roman"/>
          <w:sz w:val="22"/>
          <w:szCs w:val="22"/>
          <w:lang w:val="en-US"/>
        </w:rPr>
      </w:pPr>
      <w:r w:rsidRPr="46828A44">
        <w:rPr>
          <w:rFonts w:ascii="Times New Roman" w:hAnsi="Times New Roman" w:cs="Times New Roman"/>
          <w:sz w:val="22"/>
          <w:szCs w:val="22"/>
          <w:lang w:val="en-US"/>
        </w:rPr>
        <w:t xml:space="preserve">As noted earlier in this document, there are areas of </w:t>
      </w:r>
      <w:r w:rsidRPr="00615C81">
        <w:rPr>
          <w:rFonts w:ascii="Times New Roman" w:hAnsi="Times New Roman" w:cs="Times New Roman"/>
          <w:sz w:val="22"/>
          <w:szCs w:val="22"/>
          <w:lang w:val="en-US"/>
        </w:rPr>
        <w:t>work under the CBD</w:t>
      </w:r>
      <w:r w:rsidRPr="46828A44">
        <w:rPr>
          <w:rFonts w:ascii="Times New Roman" w:hAnsi="Times New Roman" w:cs="Times New Roman"/>
          <w:sz w:val="22"/>
          <w:szCs w:val="22"/>
          <w:lang w:val="en-US"/>
        </w:rPr>
        <w:t xml:space="preserve"> that can</w:t>
      </w:r>
      <w:r w:rsidRPr="46828A44">
        <w:rPr>
          <w:rFonts w:ascii="Times New Roman" w:hAnsi="Times New Roman" w:cs="Times New Roman"/>
          <w:sz w:val="22"/>
          <w:szCs w:val="22"/>
        </w:rPr>
        <w:t xml:space="preserve"> directly inform and support the application of the ecosystem approach in areas beyond national jurisdiction </w:t>
      </w:r>
      <w:r w:rsidR="004875C5" w:rsidRPr="46828A44">
        <w:rPr>
          <w:rFonts w:ascii="Times New Roman" w:hAnsi="Times New Roman" w:cs="Times New Roman"/>
          <w:sz w:val="22"/>
          <w:szCs w:val="22"/>
        </w:rPr>
        <w:lastRenderedPageBreak/>
        <w:t>as well as</w:t>
      </w:r>
      <w:r w:rsidRPr="46828A44">
        <w:rPr>
          <w:rFonts w:ascii="Times New Roman" w:hAnsi="Times New Roman" w:cs="Times New Roman"/>
          <w:sz w:val="22"/>
          <w:szCs w:val="22"/>
        </w:rPr>
        <w:t xml:space="preserve"> experiences </w:t>
      </w:r>
      <w:r w:rsidRPr="46828A44">
        <w:rPr>
          <w:rFonts w:ascii="Times New Roman" w:hAnsi="Times New Roman" w:cs="Times New Roman"/>
          <w:sz w:val="22"/>
          <w:szCs w:val="22"/>
          <w:lang w:val="en-US"/>
        </w:rPr>
        <w:t>that</w:t>
      </w:r>
      <w:r w:rsidRPr="46828A44">
        <w:rPr>
          <w:rFonts w:ascii="Times New Roman" w:hAnsi="Times New Roman" w:cs="Times New Roman"/>
          <w:sz w:val="22"/>
          <w:szCs w:val="22"/>
        </w:rPr>
        <w:t xml:space="preserve">, while not being directly applicable to ABNJ, </w:t>
      </w:r>
      <w:r w:rsidR="00EC76BF" w:rsidRPr="46828A44">
        <w:rPr>
          <w:rFonts w:ascii="Times New Roman" w:hAnsi="Times New Roman" w:cs="Times New Roman"/>
          <w:sz w:val="22"/>
          <w:szCs w:val="22"/>
        </w:rPr>
        <w:t xml:space="preserve">may </w:t>
      </w:r>
      <w:r w:rsidRPr="46828A44">
        <w:rPr>
          <w:rFonts w:ascii="Times New Roman" w:hAnsi="Times New Roman" w:cs="Times New Roman"/>
          <w:sz w:val="22"/>
          <w:szCs w:val="22"/>
        </w:rPr>
        <w:t>be instructive to the implementation of the BBNJ Agreement</w:t>
      </w:r>
      <w:r w:rsidR="004875C5" w:rsidRPr="46828A44">
        <w:rPr>
          <w:rFonts w:ascii="Times New Roman" w:hAnsi="Times New Roman" w:cs="Times New Roman"/>
          <w:sz w:val="22"/>
          <w:szCs w:val="22"/>
        </w:rPr>
        <w:t>, as outlined in the below table:</w:t>
      </w:r>
    </w:p>
    <w:p w14:paraId="1E736060" w14:textId="77777777" w:rsidR="004875C5" w:rsidRPr="004875C5" w:rsidRDefault="004875C5" w:rsidP="004875C5">
      <w:pPr>
        <w:tabs>
          <w:tab w:val="left" w:pos="1134"/>
        </w:tabs>
        <w:spacing w:before="120" w:after="120"/>
        <w:rPr>
          <w:szCs w:val="22"/>
          <w:lang w:val="en-US"/>
        </w:rPr>
      </w:pPr>
    </w:p>
    <w:tbl>
      <w:tblPr>
        <w:tblStyle w:val="TableGrid"/>
        <w:tblW w:w="0" w:type="auto"/>
        <w:tblLook w:val="04A0" w:firstRow="1" w:lastRow="0" w:firstColumn="1" w:lastColumn="0" w:noHBand="0" w:noVBand="1"/>
      </w:tblPr>
      <w:tblGrid>
        <w:gridCol w:w="4815"/>
        <w:gridCol w:w="4535"/>
      </w:tblGrid>
      <w:tr w:rsidR="004875C5" w:rsidRPr="0097225C" w14:paraId="2A17F31A" w14:textId="77777777" w:rsidTr="13054D46">
        <w:tc>
          <w:tcPr>
            <w:tcW w:w="4815" w:type="dxa"/>
            <w:shd w:val="clear" w:color="auto" w:fill="auto"/>
          </w:tcPr>
          <w:p w14:paraId="4D368979" w14:textId="56AD067D" w:rsidR="004875C5" w:rsidRPr="0097225C" w:rsidRDefault="004875C5" w:rsidP="0097225C">
            <w:pPr>
              <w:tabs>
                <w:tab w:val="left" w:pos="1134"/>
              </w:tabs>
              <w:jc w:val="center"/>
              <w:rPr>
                <w:b/>
                <w:bCs/>
                <w:szCs w:val="22"/>
                <w:lang w:val="en-US"/>
              </w:rPr>
            </w:pPr>
            <w:r w:rsidRPr="0097225C">
              <w:rPr>
                <w:b/>
                <w:bCs/>
                <w:szCs w:val="22"/>
                <w:lang w:val="en-US"/>
              </w:rPr>
              <w:t xml:space="preserve">Relevant work </w:t>
            </w:r>
            <w:r w:rsidRPr="00615C81">
              <w:rPr>
                <w:b/>
                <w:bCs/>
                <w:szCs w:val="22"/>
                <w:lang w:val="en-US"/>
              </w:rPr>
              <w:t>under the CBD</w:t>
            </w:r>
          </w:p>
        </w:tc>
        <w:tc>
          <w:tcPr>
            <w:tcW w:w="4535" w:type="dxa"/>
            <w:shd w:val="clear" w:color="auto" w:fill="auto"/>
          </w:tcPr>
          <w:p w14:paraId="4044CA76" w14:textId="06E4C6C6" w:rsidR="004875C5" w:rsidRPr="0097225C" w:rsidRDefault="004875C5" w:rsidP="0097225C">
            <w:pPr>
              <w:tabs>
                <w:tab w:val="left" w:pos="1134"/>
              </w:tabs>
              <w:jc w:val="center"/>
              <w:rPr>
                <w:b/>
                <w:bCs/>
                <w:szCs w:val="22"/>
                <w:lang w:val="en-US"/>
              </w:rPr>
            </w:pPr>
            <w:r w:rsidRPr="0097225C">
              <w:rPr>
                <w:b/>
                <w:bCs/>
                <w:szCs w:val="22"/>
                <w:lang w:val="en-US"/>
              </w:rPr>
              <w:t>Relevance for implementation of the BBNJ Agreement</w:t>
            </w:r>
          </w:p>
        </w:tc>
      </w:tr>
      <w:tr w:rsidR="004875C5" w:rsidRPr="0097225C" w14:paraId="38944FEC" w14:textId="77777777" w:rsidTr="0097225C">
        <w:tc>
          <w:tcPr>
            <w:tcW w:w="4815" w:type="dxa"/>
          </w:tcPr>
          <w:p w14:paraId="375153B4" w14:textId="77777777" w:rsidR="004875C5" w:rsidRPr="0097225C" w:rsidRDefault="004875C5" w:rsidP="00174744">
            <w:pPr>
              <w:tabs>
                <w:tab w:val="left" w:pos="1134"/>
              </w:tabs>
              <w:jc w:val="left"/>
              <w:rPr>
                <w:szCs w:val="22"/>
                <w:u w:val="single"/>
              </w:rPr>
            </w:pPr>
            <w:r w:rsidRPr="0097225C">
              <w:rPr>
                <w:szCs w:val="22"/>
                <w:u w:val="single"/>
              </w:rPr>
              <w:t>Description of ecologically or biologically significant marine areas (EBSAs)</w:t>
            </w:r>
          </w:p>
          <w:p w14:paraId="556D2F64" w14:textId="17BB1B92" w:rsidR="0097225C" w:rsidRPr="0097225C" w:rsidRDefault="0097225C" w:rsidP="00174744">
            <w:pPr>
              <w:pStyle w:val="ListParagraph"/>
              <w:numPr>
                <w:ilvl w:val="0"/>
                <w:numId w:val="41"/>
              </w:numPr>
              <w:tabs>
                <w:tab w:val="left" w:pos="1134"/>
              </w:tabs>
              <w:ind w:left="312"/>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15 regional workshops to facilitate the description EBSAs</w:t>
            </w:r>
          </w:p>
          <w:p w14:paraId="05960D10" w14:textId="34FBEC1E" w:rsidR="0097225C" w:rsidRPr="0097225C" w:rsidRDefault="0097225C" w:rsidP="00174744">
            <w:pPr>
              <w:pStyle w:val="ListParagraph"/>
              <w:numPr>
                <w:ilvl w:val="0"/>
                <w:numId w:val="41"/>
              </w:numPr>
              <w:tabs>
                <w:tab w:val="left" w:pos="1134"/>
              </w:tabs>
              <w:ind w:left="312"/>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Described using the CBD scientific criteria for EBSAs (adopted in decision XI/20)</w:t>
            </w:r>
          </w:p>
          <w:p w14:paraId="598A6FD6" w14:textId="3A4C6768" w:rsidR="002312BF" w:rsidRPr="0097225C" w:rsidRDefault="0097225C" w:rsidP="00174744">
            <w:pPr>
              <w:pStyle w:val="ListParagraph"/>
              <w:numPr>
                <w:ilvl w:val="0"/>
                <w:numId w:val="41"/>
              </w:numPr>
              <w:tabs>
                <w:tab w:val="left" w:pos="1134"/>
              </w:tabs>
              <w:ind w:left="312"/>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338 EBSAs described on the basis of outcomes of CBD regional workshops (organized based on decisions X/20 and XI/17)</w:t>
            </w:r>
          </w:p>
          <w:p w14:paraId="73D5E4F0" w14:textId="4D3C02E4" w:rsidR="0097225C" w:rsidRPr="0097225C" w:rsidRDefault="0097225C" w:rsidP="00174744">
            <w:pPr>
              <w:pStyle w:val="ListParagraph"/>
              <w:numPr>
                <w:ilvl w:val="0"/>
                <w:numId w:val="41"/>
              </w:numPr>
              <w:tabs>
                <w:tab w:val="left" w:pos="1134"/>
              </w:tabs>
              <w:ind w:left="312"/>
              <w:contextualSpacing w:val="0"/>
              <w:rPr>
                <w:rFonts w:ascii="Times New Roman" w:hAnsi="Times New Roman" w:cs="Times New Roman"/>
                <w:sz w:val="22"/>
                <w:szCs w:val="22"/>
                <w:u w:val="single"/>
                <w:lang w:val="en-US"/>
              </w:rPr>
            </w:pPr>
            <w:r w:rsidRPr="0097225C">
              <w:rPr>
                <w:rFonts w:ascii="Times New Roman" w:hAnsi="Times New Roman" w:cs="Times New Roman"/>
                <w:sz w:val="22"/>
                <w:szCs w:val="22"/>
                <w:lang w:val="en-US"/>
              </w:rPr>
              <w:t>EBSAs included in the EBSA repository (</w:t>
            </w:r>
            <w:hyperlink r:id="rId14" w:history="1">
              <w:r w:rsidRPr="0097225C">
                <w:rPr>
                  <w:rStyle w:val="Hyperlink"/>
                  <w:rFonts w:ascii="Times New Roman" w:hAnsi="Times New Roman" w:cs="Times New Roman"/>
                  <w:sz w:val="22"/>
                  <w:szCs w:val="22"/>
                  <w:u w:val="none"/>
                  <w:lang w:val="en-US"/>
                </w:rPr>
                <w:t>https://www.cbd.int/ebsa/ebsas</w:t>
              </w:r>
            </w:hyperlink>
            <w:r w:rsidRPr="0097225C">
              <w:rPr>
                <w:rFonts w:ascii="Times New Roman" w:hAnsi="Times New Roman" w:cs="Times New Roman"/>
                <w:sz w:val="22"/>
                <w:szCs w:val="22"/>
                <w:lang w:val="en-US"/>
              </w:rPr>
              <w:t>) and formally transmitted to the UN General Assembly at the request of the CBD COP</w:t>
            </w:r>
          </w:p>
        </w:tc>
        <w:tc>
          <w:tcPr>
            <w:tcW w:w="4535" w:type="dxa"/>
          </w:tcPr>
          <w:p w14:paraId="609BD51B" w14:textId="20EA5275" w:rsidR="004875C5" w:rsidRPr="0097225C" w:rsidRDefault="004875C5" w:rsidP="00174744">
            <w:pPr>
              <w:tabs>
                <w:tab w:val="left" w:pos="1701"/>
              </w:tabs>
              <w:jc w:val="left"/>
              <w:rPr>
                <w:szCs w:val="22"/>
                <w:u w:val="single"/>
                <w:lang w:val="en-US"/>
              </w:rPr>
            </w:pPr>
            <w:r w:rsidRPr="0097225C">
              <w:rPr>
                <w:szCs w:val="22"/>
                <w:u w:val="single"/>
                <w:lang w:val="en-US"/>
              </w:rPr>
              <w:t>Area-based management tools (ABMTs), including marine protected areas</w:t>
            </w:r>
          </w:p>
          <w:p w14:paraId="6342CEBD" w14:textId="74F038E0" w:rsidR="007A027A" w:rsidRPr="0097225C" w:rsidRDefault="0071010E"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Pr>
                <w:rFonts w:ascii="Times New Roman" w:hAnsi="Times New Roman" w:cs="Times New Roman"/>
                <w:sz w:val="22"/>
                <w:szCs w:val="22"/>
                <w:lang w:val="en-US"/>
              </w:rPr>
              <w:t>Scientific information on</w:t>
            </w:r>
            <w:r w:rsidR="007A027A" w:rsidRPr="0097225C">
              <w:rPr>
                <w:rFonts w:ascii="Times New Roman" w:hAnsi="Times New Roman" w:cs="Times New Roman"/>
                <w:sz w:val="22"/>
                <w:szCs w:val="22"/>
                <w:lang w:val="en-US"/>
              </w:rPr>
              <w:t xml:space="preserve"> areas described as meeting the scientific criteria for ecologically or biologically significant marine areas (EBSAs) could </w:t>
            </w:r>
            <w:r w:rsidR="00D7497E">
              <w:rPr>
                <w:rFonts w:ascii="Times New Roman" w:hAnsi="Times New Roman" w:cs="Times New Roman"/>
                <w:sz w:val="22"/>
                <w:szCs w:val="22"/>
                <w:lang w:val="en-US"/>
              </w:rPr>
              <w:t>inform</w:t>
            </w:r>
            <w:r w:rsidR="007A027A" w:rsidRPr="0097225C">
              <w:rPr>
                <w:rFonts w:ascii="Times New Roman" w:hAnsi="Times New Roman" w:cs="Times New Roman"/>
                <w:sz w:val="22"/>
                <w:szCs w:val="22"/>
                <w:lang w:val="en-US"/>
              </w:rPr>
              <w:t xml:space="preserve"> the development of proposals for the </w:t>
            </w:r>
            <w:r w:rsidR="00D7497E">
              <w:rPr>
                <w:rFonts w:ascii="Times New Roman" w:hAnsi="Times New Roman" w:cs="Times New Roman"/>
                <w:sz w:val="22"/>
                <w:szCs w:val="22"/>
                <w:lang w:val="en-US"/>
              </w:rPr>
              <w:t>establishment</w:t>
            </w:r>
            <w:r w:rsidR="00D7497E" w:rsidRPr="0097225C">
              <w:rPr>
                <w:rFonts w:ascii="Times New Roman" w:hAnsi="Times New Roman" w:cs="Times New Roman"/>
                <w:sz w:val="22"/>
                <w:szCs w:val="22"/>
                <w:lang w:val="en-US"/>
              </w:rPr>
              <w:t xml:space="preserve"> </w:t>
            </w:r>
            <w:r w:rsidR="007A027A" w:rsidRPr="0097225C">
              <w:rPr>
                <w:rFonts w:ascii="Times New Roman" w:hAnsi="Times New Roman" w:cs="Times New Roman"/>
                <w:sz w:val="22"/>
                <w:szCs w:val="22"/>
                <w:lang w:val="en-US"/>
              </w:rPr>
              <w:t>of area-based management tools</w:t>
            </w:r>
            <w:r>
              <w:rPr>
                <w:rFonts w:ascii="Times New Roman" w:hAnsi="Times New Roman" w:cs="Times New Roman"/>
                <w:sz w:val="22"/>
                <w:szCs w:val="22"/>
                <w:lang w:val="en-US"/>
              </w:rPr>
              <w:t>, including marine protected areas</w:t>
            </w:r>
            <w:r w:rsidR="007A027A" w:rsidRPr="0097225C">
              <w:rPr>
                <w:rFonts w:ascii="Times New Roman" w:hAnsi="Times New Roman" w:cs="Times New Roman"/>
                <w:sz w:val="22"/>
                <w:szCs w:val="22"/>
                <w:lang w:val="en-US"/>
              </w:rPr>
              <w:t>.</w:t>
            </w:r>
          </w:p>
          <w:p w14:paraId="76885EF2" w14:textId="5EBCDCCA" w:rsidR="004875C5" w:rsidRPr="0097225C" w:rsidRDefault="007A027A"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 xml:space="preserve">Experiences in applying the EBSA criteria through the CBD EBSA process, including for certain types of features in the deep-sea and open ocean, </w:t>
            </w:r>
            <w:r w:rsidR="004B3DF5">
              <w:rPr>
                <w:rFonts w:ascii="Times New Roman" w:hAnsi="Times New Roman" w:cs="Times New Roman"/>
                <w:sz w:val="22"/>
                <w:szCs w:val="22"/>
                <w:lang w:val="en-US"/>
              </w:rPr>
              <w:t>could</w:t>
            </w:r>
            <w:r w:rsidR="004B3DF5" w:rsidRPr="0097225C">
              <w:rPr>
                <w:rFonts w:ascii="Times New Roman" w:hAnsi="Times New Roman" w:cs="Times New Roman"/>
                <w:sz w:val="22"/>
                <w:szCs w:val="22"/>
                <w:lang w:val="en-US"/>
              </w:rPr>
              <w:t xml:space="preserve"> </w:t>
            </w:r>
            <w:r w:rsidRPr="0097225C">
              <w:rPr>
                <w:rFonts w:ascii="Times New Roman" w:hAnsi="Times New Roman" w:cs="Times New Roman"/>
                <w:sz w:val="22"/>
                <w:szCs w:val="22"/>
                <w:lang w:val="en-US"/>
              </w:rPr>
              <w:t xml:space="preserve">be used in the development of proposals for the </w:t>
            </w:r>
            <w:r w:rsidR="0071010E">
              <w:rPr>
                <w:rFonts w:ascii="Times New Roman" w:hAnsi="Times New Roman" w:cs="Times New Roman"/>
                <w:sz w:val="22"/>
                <w:szCs w:val="22"/>
                <w:lang w:val="en-US"/>
              </w:rPr>
              <w:t xml:space="preserve">establishment of </w:t>
            </w:r>
            <w:r w:rsidRPr="0097225C">
              <w:rPr>
                <w:rFonts w:ascii="Times New Roman" w:hAnsi="Times New Roman" w:cs="Times New Roman"/>
                <w:sz w:val="22"/>
                <w:szCs w:val="22"/>
                <w:lang w:val="en-US"/>
              </w:rPr>
              <w:t>area-based management tools</w:t>
            </w:r>
            <w:r w:rsidR="0071010E">
              <w:rPr>
                <w:rFonts w:ascii="Times New Roman" w:hAnsi="Times New Roman" w:cs="Times New Roman"/>
                <w:sz w:val="22"/>
                <w:szCs w:val="22"/>
                <w:lang w:val="en-US"/>
              </w:rPr>
              <w:t>, including marine protected areas</w:t>
            </w:r>
          </w:p>
          <w:p w14:paraId="44B2BEDA" w14:textId="77777777" w:rsidR="0097225C" w:rsidRPr="0097225C" w:rsidRDefault="0097225C" w:rsidP="00174744">
            <w:pPr>
              <w:pStyle w:val="ListParagraph"/>
              <w:tabs>
                <w:tab w:val="left" w:pos="1701"/>
              </w:tabs>
              <w:ind w:left="315"/>
              <w:contextualSpacing w:val="0"/>
              <w:rPr>
                <w:rFonts w:ascii="Times New Roman" w:hAnsi="Times New Roman" w:cs="Times New Roman"/>
                <w:sz w:val="22"/>
                <w:szCs w:val="22"/>
                <w:lang w:val="en-US"/>
              </w:rPr>
            </w:pPr>
          </w:p>
          <w:p w14:paraId="6A911132" w14:textId="77777777" w:rsidR="004875C5" w:rsidRPr="0097225C" w:rsidRDefault="004875C5" w:rsidP="00174744">
            <w:pPr>
              <w:tabs>
                <w:tab w:val="left" w:pos="1701"/>
              </w:tabs>
              <w:jc w:val="left"/>
              <w:rPr>
                <w:szCs w:val="22"/>
                <w:u w:val="single"/>
                <w:lang w:val="en-US"/>
              </w:rPr>
            </w:pPr>
            <w:r w:rsidRPr="0097225C">
              <w:rPr>
                <w:szCs w:val="22"/>
                <w:u w:val="single"/>
                <w:lang w:val="en-US"/>
              </w:rPr>
              <w:t>Environmental impact assessment</w:t>
            </w:r>
          </w:p>
          <w:p w14:paraId="6FBCC9BD" w14:textId="300A4FBA" w:rsidR="004875C5" w:rsidRPr="0097225C" w:rsidRDefault="0071010E" w:rsidP="00174744">
            <w:pPr>
              <w:pStyle w:val="ListParagraph"/>
              <w:numPr>
                <w:ilvl w:val="1"/>
                <w:numId w:val="33"/>
              </w:numPr>
              <w:tabs>
                <w:tab w:val="left" w:pos="1701"/>
              </w:tabs>
              <w:ind w:left="315"/>
              <w:rPr>
                <w:rFonts w:ascii="Times New Roman" w:hAnsi="Times New Roman" w:cs="Times New Roman"/>
                <w:sz w:val="22"/>
                <w:szCs w:val="22"/>
                <w:lang w:val="en-US"/>
              </w:rPr>
            </w:pPr>
            <w:r>
              <w:rPr>
                <w:rFonts w:ascii="Times New Roman" w:hAnsi="Times New Roman" w:cs="Times New Roman"/>
                <w:sz w:val="22"/>
                <w:szCs w:val="22"/>
                <w:lang w:val="en-US"/>
              </w:rPr>
              <w:t>Scientific information on a</w:t>
            </w:r>
            <w:r w:rsidR="007A027A" w:rsidRPr="0097225C">
              <w:rPr>
                <w:rFonts w:ascii="Times New Roman" w:hAnsi="Times New Roman" w:cs="Times New Roman"/>
                <w:sz w:val="22"/>
                <w:szCs w:val="22"/>
                <w:lang w:val="en-US"/>
              </w:rPr>
              <w:t xml:space="preserve">reas described as meeting the scientific criteria for ecologically or biologically significant marine areas (EBSAs) could </w:t>
            </w:r>
            <w:r>
              <w:rPr>
                <w:rFonts w:ascii="Times New Roman" w:hAnsi="Times New Roman" w:cs="Times New Roman"/>
                <w:sz w:val="22"/>
                <w:szCs w:val="22"/>
                <w:lang w:val="en-US"/>
              </w:rPr>
              <w:t xml:space="preserve">inform </w:t>
            </w:r>
            <w:r w:rsidR="004B3DF5">
              <w:rPr>
                <w:rFonts w:ascii="Times New Roman" w:hAnsi="Times New Roman" w:cs="Times New Roman"/>
                <w:sz w:val="22"/>
                <w:szCs w:val="22"/>
                <w:lang w:val="en-US"/>
              </w:rPr>
              <w:t xml:space="preserve">the conduct of </w:t>
            </w:r>
            <w:r w:rsidR="007A027A" w:rsidRPr="0097225C">
              <w:rPr>
                <w:rFonts w:ascii="Times New Roman" w:hAnsi="Times New Roman" w:cs="Times New Roman"/>
                <w:sz w:val="22"/>
                <w:szCs w:val="22"/>
                <w:lang w:val="en-US"/>
              </w:rPr>
              <w:t>environmental impact assessment</w:t>
            </w:r>
            <w:r w:rsidR="004B3DF5">
              <w:rPr>
                <w:rFonts w:ascii="Times New Roman" w:hAnsi="Times New Roman" w:cs="Times New Roman"/>
                <w:sz w:val="22"/>
                <w:szCs w:val="22"/>
                <w:lang w:val="en-US"/>
              </w:rPr>
              <w:t xml:space="preserve"> and relevant decision-making</w:t>
            </w:r>
          </w:p>
        </w:tc>
      </w:tr>
      <w:tr w:rsidR="004875C5" w:rsidRPr="0097225C" w14:paraId="3B994941" w14:textId="77777777" w:rsidTr="0097225C">
        <w:tc>
          <w:tcPr>
            <w:tcW w:w="4815" w:type="dxa"/>
          </w:tcPr>
          <w:p w14:paraId="3ACDB444" w14:textId="77777777" w:rsidR="004875C5" w:rsidRPr="0097225C" w:rsidRDefault="004875C5" w:rsidP="00174744">
            <w:pPr>
              <w:pStyle w:val="Para2"/>
              <w:spacing w:before="0" w:after="0"/>
              <w:jc w:val="left"/>
              <w:rPr>
                <w:szCs w:val="22"/>
                <w:u w:val="single"/>
                <w:lang w:val="en-US"/>
              </w:rPr>
            </w:pPr>
            <w:r w:rsidRPr="0097225C">
              <w:rPr>
                <w:szCs w:val="22"/>
                <w:u w:val="single"/>
              </w:rPr>
              <w:t>Area-based management tools, including marine protected areas and other effective area-based conservation measures (OECMs)</w:t>
            </w:r>
          </w:p>
          <w:p w14:paraId="59941CEA" w14:textId="71A9A41E" w:rsidR="0097225C" w:rsidRDefault="00722935" w:rsidP="00174744">
            <w:pPr>
              <w:pStyle w:val="ListParagraph"/>
              <w:numPr>
                <w:ilvl w:val="0"/>
                <w:numId w:val="41"/>
              </w:numPr>
              <w:tabs>
                <w:tab w:val="left" w:pos="1134"/>
              </w:tabs>
              <w:ind w:left="312"/>
              <w:contextualSpacing w:val="0"/>
              <w:rPr>
                <w:rFonts w:ascii="Times New Roman" w:hAnsi="Times New Roman" w:cs="Times New Roman"/>
                <w:sz w:val="22"/>
                <w:szCs w:val="22"/>
                <w:lang w:val="en-US"/>
              </w:rPr>
            </w:pPr>
            <w:r>
              <w:rPr>
                <w:rFonts w:ascii="Times New Roman" w:hAnsi="Times New Roman" w:cs="Times New Roman"/>
                <w:sz w:val="22"/>
                <w:szCs w:val="22"/>
                <w:lang w:val="en-US"/>
              </w:rPr>
              <w:t>Target 3 of the Kunming-Montreal Global Biodiversity Framework, which includes both quantitative and qualitative elements</w:t>
            </w:r>
          </w:p>
          <w:p w14:paraId="5FFE7884" w14:textId="77777777" w:rsidR="0097225C" w:rsidRDefault="0097225C" w:rsidP="00174744">
            <w:pPr>
              <w:pStyle w:val="ListParagraph"/>
              <w:numPr>
                <w:ilvl w:val="0"/>
                <w:numId w:val="41"/>
              </w:numPr>
              <w:tabs>
                <w:tab w:val="left" w:pos="1134"/>
              </w:tabs>
              <w:ind w:left="312"/>
              <w:contextualSpacing w:val="0"/>
              <w:rPr>
                <w:rFonts w:ascii="Times New Roman" w:hAnsi="Times New Roman" w:cs="Times New Roman"/>
                <w:sz w:val="22"/>
                <w:szCs w:val="22"/>
                <w:lang w:val="en-US"/>
              </w:rPr>
            </w:pPr>
            <w:r>
              <w:rPr>
                <w:rFonts w:ascii="Times New Roman" w:hAnsi="Times New Roman" w:cs="Times New Roman"/>
                <w:sz w:val="22"/>
                <w:szCs w:val="22"/>
                <w:lang w:val="en-US"/>
              </w:rPr>
              <w:t xml:space="preserve">Various types of </w:t>
            </w:r>
            <w:r w:rsidRPr="00615C81">
              <w:rPr>
                <w:rFonts w:ascii="Times New Roman" w:hAnsi="Times New Roman" w:cs="Times New Roman"/>
                <w:sz w:val="22"/>
                <w:szCs w:val="22"/>
                <w:lang w:val="en-US"/>
              </w:rPr>
              <w:t>guidance produced under the CBD on designation</w:t>
            </w:r>
            <w:r>
              <w:rPr>
                <w:rFonts w:ascii="Times New Roman" w:hAnsi="Times New Roman" w:cs="Times New Roman"/>
                <w:sz w:val="22"/>
                <w:szCs w:val="22"/>
                <w:lang w:val="en-US"/>
              </w:rPr>
              <w:t xml:space="preserve"> and management of area-based conservation measures, including on issues such to governance, stakeholder engagement, and ecological representativity, among others</w:t>
            </w:r>
          </w:p>
          <w:p w14:paraId="679D1849" w14:textId="4947EB7B" w:rsidR="004875C5" w:rsidRPr="00722935" w:rsidRDefault="0097225C" w:rsidP="00174744">
            <w:pPr>
              <w:pStyle w:val="ListParagraph"/>
              <w:numPr>
                <w:ilvl w:val="0"/>
                <w:numId w:val="41"/>
              </w:numPr>
              <w:tabs>
                <w:tab w:val="left" w:pos="1134"/>
              </w:tabs>
              <w:ind w:left="312"/>
              <w:contextualSpacing w:val="0"/>
              <w:rPr>
                <w:rFonts w:ascii="Times New Roman" w:hAnsi="Times New Roman" w:cs="Times New Roman"/>
                <w:sz w:val="22"/>
                <w:szCs w:val="22"/>
                <w:lang w:val="en-US"/>
              </w:rPr>
            </w:pPr>
            <w:r>
              <w:rPr>
                <w:rFonts w:ascii="Times New Roman" w:hAnsi="Times New Roman" w:cs="Times New Roman"/>
                <w:sz w:val="22"/>
                <w:szCs w:val="22"/>
                <w:lang w:val="en-US"/>
              </w:rPr>
              <w:t>Criteria and guidance on the identification and management of other effective area-based conservation measures adopted by CBD COP</w:t>
            </w:r>
          </w:p>
        </w:tc>
        <w:tc>
          <w:tcPr>
            <w:tcW w:w="4535" w:type="dxa"/>
          </w:tcPr>
          <w:p w14:paraId="784C66D6" w14:textId="77777777" w:rsidR="004875C5" w:rsidRPr="00AF1C26" w:rsidRDefault="004875C5" w:rsidP="00174744">
            <w:pPr>
              <w:tabs>
                <w:tab w:val="left" w:pos="1701"/>
              </w:tabs>
              <w:jc w:val="left"/>
              <w:rPr>
                <w:szCs w:val="22"/>
                <w:u w:val="single"/>
                <w:lang w:val="en-US"/>
              </w:rPr>
            </w:pPr>
            <w:r w:rsidRPr="00AF1C26">
              <w:rPr>
                <w:szCs w:val="22"/>
                <w:u w:val="single"/>
                <w:lang w:val="en-US"/>
              </w:rPr>
              <w:t>Area-based management tools (ABMTs), including marine protected areas:</w:t>
            </w:r>
          </w:p>
          <w:p w14:paraId="10B99BC3" w14:textId="61293DC7" w:rsidR="004875C5" w:rsidRPr="00AF1C26" w:rsidRDefault="007A027A"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sidRPr="00AF1C26">
              <w:rPr>
                <w:rFonts w:ascii="Times New Roman" w:hAnsi="Times New Roman" w:cs="Times New Roman"/>
                <w:sz w:val="22"/>
                <w:szCs w:val="22"/>
                <w:lang w:val="en-US"/>
              </w:rPr>
              <w:t xml:space="preserve">Various forms of guidance produced under the CBD </w:t>
            </w:r>
            <w:r w:rsidR="00C237D6" w:rsidRPr="00AF1C26">
              <w:rPr>
                <w:rFonts w:ascii="Times New Roman" w:hAnsi="Times New Roman" w:cs="Times New Roman"/>
                <w:sz w:val="22"/>
                <w:szCs w:val="22"/>
                <w:lang w:val="en-US"/>
              </w:rPr>
              <w:t xml:space="preserve">could </w:t>
            </w:r>
            <w:r w:rsidRPr="00AF1C26">
              <w:rPr>
                <w:rFonts w:ascii="Times New Roman" w:hAnsi="Times New Roman" w:cs="Times New Roman"/>
                <w:sz w:val="22"/>
                <w:szCs w:val="22"/>
                <w:lang w:val="en-US"/>
              </w:rPr>
              <w:t xml:space="preserve">be used to inform </w:t>
            </w:r>
            <w:r w:rsidR="00AF1C26" w:rsidRPr="00E40748">
              <w:rPr>
                <w:rFonts w:ascii="Times New Roman" w:hAnsi="Times New Roman" w:cs="Times New Roman"/>
                <w:sz w:val="22"/>
                <w:szCs w:val="22"/>
                <w:lang w:val="en-US"/>
              </w:rPr>
              <w:t xml:space="preserve">work under the </w:t>
            </w:r>
            <w:r w:rsidR="00AF1C26" w:rsidRPr="00AF1C26">
              <w:rPr>
                <w:rFonts w:ascii="Times New Roman" w:hAnsi="Times New Roman" w:cs="Times New Roman"/>
                <w:sz w:val="22"/>
                <w:szCs w:val="22"/>
              </w:rPr>
              <w:t>Scientific and Technical Body</w:t>
            </w:r>
            <w:r w:rsidR="00AF1C26" w:rsidRPr="00E40748">
              <w:rPr>
                <w:rFonts w:ascii="Times New Roman" w:hAnsi="Times New Roman" w:cs="Times New Roman"/>
                <w:sz w:val="22"/>
                <w:szCs w:val="22"/>
                <w:lang w:val="en-US"/>
              </w:rPr>
              <w:t xml:space="preserve"> with respect to</w:t>
            </w:r>
            <w:r w:rsidRPr="00AF1C26">
              <w:rPr>
                <w:rFonts w:ascii="Times New Roman" w:hAnsi="Times New Roman" w:cs="Times New Roman"/>
                <w:sz w:val="22"/>
                <w:szCs w:val="22"/>
                <w:lang w:val="en-US"/>
              </w:rPr>
              <w:t xml:space="preserve"> area-based management tools, including </w:t>
            </w:r>
            <w:r w:rsidR="00C237D6" w:rsidRPr="00AF1C26">
              <w:rPr>
                <w:rFonts w:ascii="Times New Roman" w:hAnsi="Times New Roman" w:cs="Times New Roman"/>
                <w:sz w:val="22"/>
                <w:szCs w:val="22"/>
                <w:lang w:val="en-US"/>
              </w:rPr>
              <w:t>marine protected areas,</w:t>
            </w:r>
            <w:r w:rsidRPr="00AF1C26">
              <w:rPr>
                <w:rFonts w:ascii="Times New Roman" w:hAnsi="Times New Roman" w:cs="Times New Roman"/>
                <w:sz w:val="22"/>
                <w:szCs w:val="22"/>
                <w:lang w:val="en-US"/>
              </w:rPr>
              <w:t xml:space="preserve"> including with respect to effectiveness, equitability, representativity and connectivity.</w:t>
            </w:r>
            <w:r w:rsidR="00AF1C26" w:rsidRPr="00AF1C26">
              <w:rPr>
                <w:rFonts w:ascii="Times New Roman" w:hAnsi="Times New Roman" w:cs="Times New Roman"/>
                <w:sz w:val="22"/>
                <w:szCs w:val="22"/>
              </w:rPr>
              <w:t xml:space="preserve"> </w:t>
            </w:r>
          </w:p>
        </w:tc>
      </w:tr>
      <w:tr w:rsidR="007A027A" w:rsidRPr="0097225C" w14:paraId="257A3A90" w14:textId="77777777" w:rsidTr="0097225C">
        <w:tc>
          <w:tcPr>
            <w:tcW w:w="4815" w:type="dxa"/>
          </w:tcPr>
          <w:p w14:paraId="7CA38484" w14:textId="4AD29B35" w:rsidR="007A027A" w:rsidRPr="0097225C" w:rsidRDefault="007A027A" w:rsidP="00174744">
            <w:pPr>
              <w:pStyle w:val="Para2"/>
              <w:spacing w:before="0" w:after="0"/>
              <w:jc w:val="left"/>
              <w:rPr>
                <w:szCs w:val="22"/>
                <w:u w:val="single"/>
                <w:lang w:val="en-US"/>
              </w:rPr>
            </w:pPr>
            <w:r w:rsidRPr="0097225C">
              <w:rPr>
                <w:szCs w:val="22"/>
                <w:u w:val="single"/>
              </w:rPr>
              <w:t xml:space="preserve">Biodiversity-inclusive environmental impact assessment </w:t>
            </w:r>
          </w:p>
          <w:p w14:paraId="5D960611" w14:textId="77777777" w:rsidR="007A027A" w:rsidRPr="00AA2A5D" w:rsidRDefault="00722935" w:rsidP="00174744">
            <w:pPr>
              <w:pStyle w:val="Para2"/>
              <w:numPr>
                <w:ilvl w:val="1"/>
                <w:numId w:val="33"/>
              </w:numPr>
              <w:spacing w:before="0" w:after="0"/>
              <w:ind w:left="312"/>
              <w:jc w:val="left"/>
              <w:rPr>
                <w:szCs w:val="22"/>
              </w:rPr>
            </w:pPr>
            <w:r w:rsidRPr="00722935">
              <w:rPr>
                <w:szCs w:val="22"/>
                <w:lang w:val="en-GB"/>
              </w:rPr>
              <w:t>Voluntary guidelines on biodiversity-inclusive environmental impact assessment</w:t>
            </w:r>
            <w:r>
              <w:rPr>
                <w:szCs w:val="22"/>
                <w:lang w:val="en-GB"/>
              </w:rPr>
              <w:t xml:space="preserve"> endorsed by CBD COP (decision VIII/28)</w:t>
            </w:r>
          </w:p>
          <w:p w14:paraId="281FC17A" w14:textId="1F9C50C0" w:rsidR="00AA2A5D" w:rsidRPr="00AA2A5D" w:rsidRDefault="00AA2A5D" w:rsidP="00174744">
            <w:pPr>
              <w:pStyle w:val="Para2"/>
              <w:numPr>
                <w:ilvl w:val="1"/>
                <w:numId w:val="33"/>
              </w:numPr>
              <w:spacing w:before="0" w:after="0"/>
              <w:ind w:left="312"/>
              <w:jc w:val="left"/>
              <w:rPr>
                <w:szCs w:val="22"/>
              </w:rPr>
            </w:pPr>
            <w:r>
              <w:rPr>
                <w:szCs w:val="22"/>
              </w:rPr>
              <w:t xml:space="preserve">Voluntary guidelines were subsequently annotated </w:t>
            </w:r>
            <w:r w:rsidRPr="00AA2A5D">
              <w:rPr>
                <w:szCs w:val="22"/>
                <w:lang w:val="en-GB"/>
              </w:rPr>
              <w:t xml:space="preserve">specifically for biodiversity in marine </w:t>
            </w:r>
            <w:r w:rsidRPr="00AA2A5D">
              <w:rPr>
                <w:szCs w:val="22"/>
                <w:lang w:val="en-GB"/>
              </w:rPr>
              <w:lastRenderedPageBreak/>
              <w:t>and coastal areas, including in areas beyond national jurisdiction</w:t>
            </w:r>
            <w:r>
              <w:rPr>
                <w:szCs w:val="22"/>
                <w:lang w:val="en-GB"/>
              </w:rPr>
              <w:t xml:space="preserve"> (</w:t>
            </w:r>
            <w:r>
              <w:t>UNEP/CBD/COP/11/23)</w:t>
            </w:r>
          </w:p>
        </w:tc>
        <w:tc>
          <w:tcPr>
            <w:tcW w:w="4535" w:type="dxa"/>
          </w:tcPr>
          <w:p w14:paraId="654E332B" w14:textId="77777777" w:rsidR="007A027A" w:rsidRPr="0097225C" w:rsidRDefault="007A027A" w:rsidP="00174744">
            <w:pPr>
              <w:tabs>
                <w:tab w:val="left" w:pos="1701"/>
              </w:tabs>
              <w:jc w:val="left"/>
              <w:rPr>
                <w:szCs w:val="22"/>
                <w:u w:val="single"/>
                <w:lang w:val="en-US"/>
              </w:rPr>
            </w:pPr>
            <w:r w:rsidRPr="0097225C">
              <w:rPr>
                <w:szCs w:val="22"/>
                <w:u w:val="single"/>
                <w:lang w:val="en-US"/>
              </w:rPr>
              <w:lastRenderedPageBreak/>
              <w:t>Environmental impact assessment</w:t>
            </w:r>
          </w:p>
          <w:p w14:paraId="040DEE43" w14:textId="138E2F23" w:rsidR="007A027A" w:rsidRPr="0097225C" w:rsidRDefault="00F871C2"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Pr>
                <w:rFonts w:ascii="Times New Roman" w:hAnsi="Times New Roman" w:cs="Times New Roman"/>
                <w:sz w:val="22"/>
                <w:szCs w:val="22"/>
                <w:lang w:val="en-US"/>
              </w:rPr>
              <w:t>The</w:t>
            </w:r>
            <w:r w:rsidR="007A027A" w:rsidRPr="0097225C">
              <w:rPr>
                <w:rFonts w:ascii="Times New Roman" w:hAnsi="Times New Roman" w:cs="Times New Roman"/>
                <w:sz w:val="22"/>
                <w:szCs w:val="22"/>
                <w:lang w:val="en-US"/>
              </w:rPr>
              <w:t xml:space="preserve"> CBD </w:t>
            </w:r>
            <w:r w:rsidR="00722935">
              <w:rPr>
                <w:rFonts w:ascii="Times New Roman" w:hAnsi="Times New Roman" w:cs="Times New Roman"/>
                <w:sz w:val="22"/>
                <w:szCs w:val="22"/>
                <w:lang w:val="en-US"/>
              </w:rPr>
              <w:t>v</w:t>
            </w:r>
            <w:r w:rsidR="007A027A" w:rsidRPr="0097225C">
              <w:rPr>
                <w:rFonts w:ascii="Times New Roman" w:hAnsi="Times New Roman" w:cs="Times New Roman"/>
                <w:sz w:val="22"/>
                <w:szCs w:val="22"/>
              </w:rPr>
              <w:t xml:space="preserve">oluntary guidelines </w:t>
            </w:r>
            <w:r>
              <w:rPr>
                <w:rFonts w:ascii="Times New Roman" w:hAnsi="Times New Roman" w:cs="Times New Roman"/>
                <w:sz w:val="22"/>
                <w:szCs w:val="22"/>
              </w:rPr>
              <w:t xml:space="preserve">could </w:t>
            </w:r>
            <w:r w:rsidR="00722935">
              <w:rPr>
                <w:rFonts w:ascii="Times New Roman" w:hAnsi="Times New Roman" w:cs="Times New Roman"/>
                <w:sz w:val="22"/>
                <w:szCs w:val="22"/>
              </w:rPr>
              <w:t>inform</w:t>
            </w:r>
            <w:r w:rsidR="007A027A" w:rsidRPr="0097225C">
              <w:rPr>
                <w:rFonts w:ascii="Times New Roman" w:hAnsi="Times New Roman" w:cs="Times New Roman"/>
                <w:sz w:val="22"/>
                <w:szCs w:val="22"/>
              </w:rPr>
              <w:t xml:space="preserve"> the development of standards and guidelines by the Scientific and Technical Body </w:t>
            </w:r>
            <w:r>
              <w:rPr>
                <w:rFonts w:ascii="Times New Roman" w:hAnsi="Times New Roman" w:cs="Times New Roman"/>
                <w:sz w:val="22"/>
                <w:szCs w:val="22"/>
              </w:rPr>
              <w:t>established under</w:t>
            </w:r>
            <w:r w:rsidR="007A027A" w:rsidRPr="0097225C">
              <w:rPr>
                <w:rFonts w:ascii="Times New Roman" w:hAnsi="Times New Roman" w:cs="Times New Roman"/>
                <w:sz w:val="22"/>
                <w:szCs w:val="22"/>
              </w:rPr>
              <w:t xml:space="preserve"> the BBNJ Agreement (as referred to in Article 38 of the BBNJ Agreement).</w:t>
            </w:r>
          </w:p>
        </w:tc>
      </w:tr>
      <w:tr w:rsidR="004875C5" w:rsidRPr="0097225C" w14:paraId="205830DA" w14:textId="77777777" w:rsidTr="0097225C">
        <w:tc>
          <w:tcPr>
            <w:tcW w:w="4815" w:type="dxa"/>
          </w:tcPr>
          <w:p w14:paraId="0AD2A52A" w14:textId="77777777" w:rsidR="004875C5" w:rsidRPr="0097225C" w:rsidRDefault="004875C5" w:rsidP="00174744">
            <w:pPr>
              <w:pStyle w:val="Para1"/>
              <w:numPr>
                <w:ilvl w:val="0"/>
                <w:numId w:val="0"/>
              </w:numPr>
              <w:tabs>
                <w:tab w:val="clear" w:pos="1134"/>
                <w:tab w:val="left" w:pos="1701"/>
              </w:tabs>
              <w:spacing w:before="0" w:after="0"/>
              <w:jc w:val="left"/>
              <w:rPr>
                <w:szCs w:val="22"/>
                <w:u w:val="single"/>
              </w:rPr>
            </w:pPr>
            <w:r w:rsidRPr="0097225C">
              <w:rPr>
                <w:szCs w:val="22"/>
                <w:u w:val="single"/>
              </w:rPr>
              <w:t>Mainstreaming biodiversity into various sectors, in particular into the fisheries sector</w:t>
            </w:r>
          </w:p>
          <w:p w14:paraId="13440985" w14:textId="77777777" w:rsidR="004875C5" w:rsidRPr="00AA2A5D" w:rsidRDefault="00AA2A5D" w:rsidP="00174744">
            <w:pPr>
              <w:pStyle w:val="Para2"/>
              <w:numPr>
                <w:ilvl w:val="1"/>
                <w:numId w:val="33"/>
              </w:numPr>
              <w:spacing w:before="0" w:after="0"/>
              <w:ind w:left="312"/>
              <w:jc w:val="left"/>
              <w:rPr>
                <w:szCs w:val="22"/>
              </w:rPr>
            </w:pPr>
            <w:r w:rsidRPr="00AA2A5D">
              <w:rPr>
                <w:szCs w:val="22"/>
                <w:lang w:val="en-GB"/>
              </w:rPr>
              <w:t xml:space="preserve">Cancun Declaration </w:t>
            </w:r>
            <w:r>
              <w:rPr>
                <w:szCs w:val="22"/>
                <w:lang w:val="en-GB"/>
              </w:rPr>
              <w:t>o</w:t>
            </w:r>
            <w:r w:rsidRPr="00AA2A5D">
              <w:rPr>
                <w:szCs w:val="22"/>
                <w:lang w:val="en-GB"/>
              </w:rPr>
              <w:t xml:space="preserve">n Mainstreaming </w:t>
            </w:r>
            <w:r>
              <w:rPr>
                <w:szCs w:val="22"/>
                <w:lang w:val="en-GB"/>
              </w:rPr>
              <w:t>t</w:t>
            </w:r>
            <w:r w:rsidRPr="00AA2A5D">
              <w:rPr>
                <w:szCs w:val="22"/>
                <w:lang w:val="en-GB"/>
              </w:rPr>
              <w:t xml:space="preserve">he Conservation </w:t>
            </w:r>
            <w:r>
              <w:rPr>
                <w:szCs w:val="22"/>
                <w:lang w:val="en-GB"/>
              </w:rPr>
              <w:t>a</w:t>
            </w:r>
            <w:r w:rsidRPr="00AA2A5D">
              <w:rPr>
                <w:szCs w:val="22"/>
                <w:lang w:val="en-GB"/>
              </w:rPr>
              <w:t xml:space="preserve">nd Sustainable Use </w:t>
            </w:r>
            <w:r>
              <w:rPr>
                <w:szCs w:val="22"/>
                <w:lang w:val="en-GB"/>
              </w:rPr>
              <w:t>o</w:t>
            </w:r>
            <w:r w:rsidRPr="00AA2A5D">
              <w:rPr>
                <w:szCs w:val="22"/>
                <w:lang w:val="en-GB"/>
              </w:rPr>
              <w:t xml:space="preserve">f Biodiversity </w:t>
            </w:r>
            <w:r>
              <w:rPr>
                <w:szCs w:val="22"/>
                <w:lang w:val="en-GB"/>
              </w:rPr>
              <w:t>f</w:t>
            </w:r>
            <w:r w:rsidRPr="00AA2A5D">
              <w:rPr>
                <w:szCs w:val="22"/>
                <w:lang w:val="en-GB"/>
              </w:rPr>
              <w:t>or Well-Being</w:t>
            </w:r>
            <w:r>
              <w:rPr>
                <w:szCs w:val="22"/>
                <w:lang w:val="en-GB"/>
              </w:rPr>
              <w:t xml:space="preserve"> adopted at the high-level segment of CBD COP 13</w:t>
            </w:r>
          </w:p>
          <w:p w14:paraId="2A62DB47" w14:textId="77777777" w:rsidR="00AA2A5D" w:rsidRDefault="00AA2A5D" w:rsidP="00174744">
            <w:pPr>
              <w:pStyle w:val="Para2"/>
              <w:numPr>
                <w:ilvl w:val="1"/>
                <w:numId w:val="33"/>
              </w:numPr>
              <w:spacing w:before="0" w:after="0"/>
              <w:ind w:left="312"/>
              <w:jc w:val="left"/>
              <w:rPr>
                <w:szCs w:val="22"/>
              </w:rPr>
            </w:pPr>
            <w:r>
              <w:rPr>
                <w:szCs w:val="22"/>
              </w:rPr>
              <w:t>Significant technical work and collaboration with FAO, regional fishery bodies and other organizations on mainstreaming biodiversity into sustainable fisheries management</w:t>
            </w:r>
          </w:p>
          <w:p w14:paraId="01D639E7" w14:textId="7029D31C" w:rsidR="00AA2A5D" w:rsidRPr="00AA2A5D" w:rsidRDefault="00AA2A5D" w:rsidP="00174744">
            <w:pPr>
              <w:pStyle w:val="Para2"/>
              <w:numPr>
                <w:ilvl w:val="1"/>
                <w:numId w:val="33"/>
              </w:numPr>
              <w:spacing w:before="0" w:after="0"/>
              <w:ind w:left="312"/>
              <w:jc w:val="left"/>
            </w:pPr>
            <w:r w:rsidRPr="13054D46">
              <w:rPr>
                <w:lang w:val="en-GB"/>
              </w:rPr>
              <w:t>CBD COP decisions addressing mainstreaming of biodiversity into relevant sectors, including into fisheries, aquaculture and tourism (decision XIII/3), as well as in energy, mining and infrastructure (decision 14/3), among others</w:t>
            </w:r>
          </w:p>
        </w:tc>
        <w:tc>
          <w:tcPr>
            <w:tcW w:w="4535" w:type="dxa"/>
          </w:tcPr>
          <w:p w14:paraId="58B7C8EA" w14:textId="77777777" w:rsidR="004875C5" w:rsidRPr="0097225C" w:rsidRDefault="004875C5" w:rsidP="00174744">
            <w:pPr>
              <w:tabs>
                <w:tab w:val="left" w:pos="1701"/>
              </w:tabs>
              <w:jc w:val="left"/>
              <w:rPr>
                <w:szCs w:val="22"/>
                <w:u w:val="single"/>
                <w:lang w:val="en-US"/>
              </w:rPr>
            </w:pPr>
            <w:r w:rsidRPr="0097225C">
              <w:rPr>
                <w:szCs w:val="22"/>
                <w:u w:val="single"/>
                <w:lang w:val="en-US"/>
              </w:rPr>
              <w:t>Environmental impact assessment</w:t>
            </w:r>
          </w:p>
          <w:p w14:paraId="76518C11" w14:textId="33D14A78" w:rsidR="007A027A" w:rsidRPr="0097225C" w:rsidRDefault="007A027A"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 xml:space="preserve">Guidance produced under the CBD on mainstreaming biodiversity into various sectors (e.g., fisheries, transport) </w:t>
            </w:r>
            <w:r w:rsidR="00F871C2">
              <w:rPr>
                <w:rFonts w:ascii="Times New Roman" w:hAnsi="Times New Roman" w:cs="Times New Roman"/>
                <w:sz w:val="22"/>
                <w:szCs w:val="22"/>
                <w:lang w:val="en-US"/>
              </w:rPr>
              <w:t>could</w:t>
            </w:r>
            <w:r w:rsidR="00F871C2" w:rsidRPr="0097225C">
              <w:rPr>
                <w:rFonts w:ascii="Times New Roman" w:hAnsi="Times New Roman" w:cs="Times New Roman"/>
                <w:sz w:val="22"/>
                <w:szCs w:val="22"/>
                <w:lang w:val="en-US"/>
              </w:rPr>
              <w:t xml:space="preserve"> </w:t>
            </w:r>
            <w:r w:rsidRPr="0097225C">
              <w:rPr>
                <w:rFonts w:ascii="Times New Roman" w:hAnsi="Times New Roman" w:cs="Times New Roman"/>
                <w:sz w:val="22"/>
                <w:szCs w:val="22"/>
                <w:lang w:val="en-US"/>
              </w:rPr>
              <w:t>inform measures to minimize or mitigate impacts on biodiversity in the context of EIAs.</w:t>
            </w:r>
          </w:p>
          <w:p w14:paraId="2A4AAEB9" w14:textId="77777777" w:rsidR="00722935" w:rsidRDefault="00722935" w:rsidP="00174744">
            <w:pPr>
              <w:tabs>
                <w:tab w:val="left" w:pos="1701"/>
              </w:tabs>
              <w:jc w:val="left"/>
              <w:rPr>
                <w:szCs w:val="22"/>
                <w:u w:val="single"/>
                <w:lang w:val="en-US"/>
              </w:rPr>
            </w:pPr>
          </w:p>
          <w:p w14:paraId="54CB4E48" w14:textId="58F0D5E6" w:rsidR="007A027A" w:rsidRPr="0097225C" w:rsidRDefault="007A027A" w:rsidP="00174744">
            <w:pPr>
              <w:tabs>
                <w:tab w:val="left" w:pos="1701"/>
              </w:tabs>
              <w:jc w:val="left"/>
              <w:rPr>
                <w:szCs w:val="22"/>
                <w:u w:val="single"/>
                <w:lang w:val="en-US"/>
              </w:rPr>
            </w:pPr>
            <w:r w:rsidRPr="0097225C">
              <w:rPr>
                <w:szCs w:val="22"/>
                <w:u w:val="single"/>
                <w:lang w:val="en-US"/>
              </w:rPr>
              <w:t>Area-based management tools (ABMTs), including marine protected areas:</w:t>
            </w:r>
          </w:p>
          <w:p w14:paraId="1277FE01" w14:textId="4B217A18" w:rsidR="007A027A" w:rsidRPr="0097225C" w:rsidRDefault="007A027A"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 xml:space="preserve">Various forms of guidance produced under the CBD </w:t>
            </w:r>
            <w:r w:rsidR="00F871C2">
              <w:rPr>
                <w:rFonts w:ascii="Times New Roman" w:hAnsi="Times New Roman" w:cs="Times New Roman"/>
                <w:sz w:val="22"/>
                <w:szCs w:val="22"/>
                <w:lang w:val="en-US"/>
              </w:rPr>
              <w:t>could</w:t>
            </w:r>
            <w:r w:rsidRPr="0097225C">
              <w:rPr>
                <w:rFonts w:ascii="Times New Roman" w:hAnsi="Times New Roman" w:cs="Times New Roman"/>
                <w:sz w:val="22"/>
                <w:szCs w:val="22"/>
                <w:lang w:val="en-US"/>
              </w:rPr>
              <w:t xml:space="preserve"> inform the development of proposals for the </w:t>
            </w:r>
            <w:r w:rsidR="00F871C2">
              <w:rPr>
                <w:rFonts w:ascii="Times New Roman" w:hAnsi="Times New Roman" w:cs="Times New Roman"/>
                <w:sz w:val="22"/>
                <w:szCs w:val="22"/>
                <w:lang w:val="en-US"/>
              </w:rPr>
              <w:t>establishment</w:t>
            </w:r>
            <w:r w:rsidR="00F871C2" w:rsidRPr="0097225C">
              <w:rPr>
                <w:rFonts w:ascii="Times New Roman" w:hAnsi="Times New Roman" w:cs="Times New Roman"/>
                <w:sz w:val="22"/>
                <w:szCs w:val="22"/>
                <w:lang w:val="en-US"/>
              </w:rPr>
              <w:t xml:space="preserve"> </w:t>
            </w:r>
            <w:r w:rsidRPr="0097225C">
              <w:rPr>
                <w:rFonts w:ascii="Times New Roman" w:hAnsi="Times New Roman" w:cs="Times New Roman"/>
                <w:sz w:val="22"/>
                <w:szCs w:val="22"/>
                <w:lang w:val="en-US"/>
              </w:rPr>
              <w:t xml:space="preserve">and implementation of area-based management tools, including </w:t>
            </w:r>
            <w:r w:rsidR="00F871C2">
              <w:rPr>
                <w:rFonts w:ascii="Times New Roman" w:hAnsi="Times New Roman" w:cs="Times New Roman"/>
                <w:sz w:val="22"/>
                <w:szCs w:val="22"/>
                <w:lang w:val="en-US"/>
              </w:rPr>
              <w:t xml:space="preserve">marine protected areas, </w:t>
            </w:r>
            <w:r w:rsidRPr="0097225C">
              <w:rPr>
                <w:rFonts w:ascii="Times New Roman" w:hAnsi="Times New Roman" w:cs="Times New Roman"/>
                <w:sz w:val="22"/>
                <w:szCs w:val="22"/>
                <w:lang w:val="en-US"/>
              </w:rPr>
              <w:t>including with respect to effectiveness, equitability, representativity and connectivity.</w:t>
            </w:r>
          </w:p>
        </w:tc>
      </w:tr>
      <w:tr w:rsidR="004875C5" w:rsidRPr="0097225C" w14:paraId="32E656AE" w14:textId="77777777" w:rsidTr="0097225C">
        <w:tc>
          <w:tcPr>
            <w:tcW w:w="4815" w:type="dxa"/>
          </w:tcPr>
          <w:p w14:paraId="01518FD4" w14:textId="17BC6BC9" w:rsidR="004875C5" w:rsidRDefault="004875C5" w:rsidP="00174744">
            <w:pPr>
              <w:pStyle w:val="Para1"/>
              <w:numPr>
                <w:ilvl w:val="0"/>
                <w:numId w:val="0"/>
              </w:numPr>
              <w:tabs>
                <w:tab w:val="clear" w:pos="1134"/>
                <w:tab w:val="left" w:pos="1701"/>
              </w:tabs>
              <w:spacing w:before="0" w:after="0"/>
              <w:jc w:val="left"/>
              <w:rPr>
                <w:szCs w:val="22"/>
                <w:u w:val="single"/>
              </w:rPr>
            </w:pPr>
            <w:r w:rsidRPr="0097225C">
              <w:rPr>
                <w:szCs w:val="22"/>
                <w:u w:val="single"/>
              </w:rPr>
              <w:t xml:space="preserve">Guidance on key pressures on marine and coastal biodiversity </w:t>
            </w:r>
          </w:p>
          <w:p w14:paraId="23FA4F6A" w14:textId="04B3E176" w:rsidR="00AA2A5D" w:rsidRPr="0046590B" w:rsidRDefault="0046590B" w:rsidP="00174744">
            <w:pPr>
              <w:pStyle w:val="Para2"/>
              <w:numPr>
                <w:ilvl w:val="1"/>
                <w:numId w:val="33"/>
              </w:numPr>
              <w:spacing w:before="0" w:after="0"/>
              <w:ind w:left="312"/>
              <w:jc w:val="left"/>
              <w:rPr>
                <w:szCs w:val="22"/>
              </w:rPr>
            </w:pPr>
            <w:r>
              <w:rPr>
                <w:szCs w:val="22"/>
              </w:rPr>
              <w:t>Guidance produced and relevant experience synthesized on various pressures, such as anthropogenic underwater noise, marine debris, and ocean acidification</w:t>
            </w:r>
          </w:p>
        </w:tc>
        <w:tc>
          <w:tcPr>
            <w:tcW w:w="4535" w:type="dxa"/>
          </w:tcPr>
          <w:p w14:paraId="3BC6E7CF" w14:textId="77777777" w:rsidR="004875C5" w:rsidRPr="0097225C" w:rsidRDefault="004875C5" w:rsidP="00174744">
            <w:pPr>
              <w:tabs>
                <w:tab w:val="left" w:pos="1701"/>
              </w:tabs>
              <w:jc w:val="left"/>
              <w:rPr>
                <w:szCs w:val="22"/>
                <w:u w:val="single"/>
                <w:lang w:val="en-US"/>
              </w:rPr>
            </w:pPr>
            <w:r w:rsidRPr="0097225C">
              <w:rPr>
                <w:szCs w:val="22"/>
                <w:u w:val="single"/>
                <w:lang w:val="en-US"/>
              </w:rPr>
              <w:t>Environmental impact assessment</w:t>
            </w:r>
          </w:p>
          <w:p w14:paraId="54C55F50" w14:textId="0F250B77" w:rsidR="004875C5" w:rsidRPr="0097225C" w:rsidRDefault="007A027A"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 xml:space="preserve">Guidance produced under the CBD on various pressures (e.g., underwater noise, marine debris, ocean acidification) </w:t>
            </w:r>
            <w:r w:rsidR="00F871C2">
              <w:rPr>
                <w:rFonts w:ascii="Times New Roman" w:hAnsi="Times New Roman" w:cs="Times New Roman"/>
                <w:sz w:val="22"/>
                <w:szCs w:val="22"/>
                <w:lang w:val="en-US"/>
              </w:rPr>
              <w:t>could</w:t>
            </w:r>
            <w:r w:rsidR="00F871C2" w:rsidRPr="0097225C">
              <w:rPr>
                <w:rFonts w:ascii="Times New Roman" w:hAnsi="Times New Roman" w:cs="Times New Roman"/>
                <w:sz w:val="22"/>
                <w:szCs w:val="22"/>
                <w:lang w:val="en-US"/>
              </w:rPr>
              <w:t xml:space="preserve"> </w:t>
            </w:r>
            <w:r w:rsidRPr="0097225C">
              <w:rPr>
                <w:rFonts w:ascii="Times New Roman" w:hAnsi="Times New Roman" w:cs="Times New Roman"/>
                <w:sz w:val="22"/>
                <w:szCs w:val="22"/>
                <w:lang w:val="en-US"/>
              </w:rPr>
              <w:t>inform measures to minimize or mitigate impacts on biodiversity in the context of EIAs.</w:t>
            </w:r>
          </w:p>
        </w:tc>
      </w:tr>
      <w:tr w:rsidR="004875C5" w:rsidRPr="0097225C" w14:paraId="350CB3E3" w14:textId="77777777" w:rsidTr="0097225C">
        <w:tc>
          <w:tcPr>
            <w:tcW w:w="4815" w:type="dxa"/>
          </w:tcPr>
          <w:p w14:paraId="42AE5FFF" w14:textId="28927131" w:rsidR="004875C5" w:rsidRPr="0097225C" w:rsidRDefault="004875C5" w:rsidP="00174744">
            <w:pPr>
              <w:pStyle w:val="Para1"/>
              <w:numPr>
                <w:ilvl w:val="0"/>
                <w:numId w:val="0"/>
              </w:numPr>
              <w:tabs>
                <w:tab w:val="clear" w:pos="1134"/>
                <w:tab w:val="left" w:pos="1701"/>
              </w:tabs>
              <w:spacing w:before="0" w:after="0"/>
              <w:jc w:val="left"/>
              <w:rPr>
                <w:szCs w:val="22"/>
                <w:u w:val="single"/>
              </w:rPr>
            </w:pPr>
            <w:r w:rsidRPr="0097225C">
              <w:rPr>
                <w:szCs w:val="22"/>
                <w:u w:val="single"/>
              </w:rPr>
              <w:t xml:space="preserve">Access and benefit-sharing for marine genetic resources; and </w:t>
            </w:r>
            <w:r w:rsidR="007417C7">
              <w:rPr>
                <w:szCs w:val="22"/>
                <w:u w:val="single"/>
              </w:rPr>
              <w:t>d</w:t>
            </w:r>
            <w:r w:rsidRPr="0097225C">
              <w:rPr>
                <w:szCs w:val="22"/>
                <w:u w:val="single"/>
              </w:rPr>
              <w:t>igital sequence information</w:t>
            </w:r>
            <w:r w:rsidR="007417C7">
              <w:rPr>
                <w:szCs w:val="22"/>
                <w:u w:val="single"/>
              </w:rPr>
              <w:t xml:space="preserve"> (DSI)</w:t>
            </w:r>
            <w:r w:rsidRPr="0097225C">
              <w:rPr>
                <w:szCs w:val="22"/>
                <w:u w:val="single"/>
              </w:rPr>
              <w:t xml:space="preserve"> </w:t>
            </w:r>
            <w:r w:rsidR="007417C7">
              <w:rPr>
                <w:szCs w:val="22"/>
                <w:u w:val="single"/>
              </w:rPr>
              <w:t>on</w:t>
            </w:r>
            <w:r w:rsidRPr="0097225C">
              <w:rPr>
                <w:szCs w:val="22"/>
                <w:u w:val="single"/>
              </w:rPr>
              <w:t xml:space="preserve"> genetic resources</w:t>
            </w:r>
          </w:p>
          <w:p w14:paraId="658E0D60" w14:textId="77777777" w:rsidR="004875C5" w:rsidRPr="007417C7" w:rsidRDefault="008A06C2" w:rsidP="00174744">
            <w:pPr>
              <w:pStyle w:val="Para2"/>
              <w:numPr>
                <w:ilvl w:val="1"/>
                <w:numId w:val="33"/>
              </w:numPr>
              <w:spacing w:before="0" w:after="0"/>
              <w:ind w:left="312"/>
              <w:jc w:val="left"/>
              <w:rPr>
                <w:szCs w:val="22"/>
              </w:rPr>
            </w:pPr>
            <w:r w:rsidRPr="008A06C2">
              <w:rPr>
                <w:szCs w:val="22"/>
              </w:rPr>
              <w:t>Experiences in the implementation of the N</w:t>
            </w:r>
            <w:r w:rsidRPr="008A06C2">
              <w:rPr>
                <w:szCs w:val="22"/>
                <w:lang w:val="en-GB"/>
              </w:rPr>
              <w:t>agoya Protocol on Access to Genetic Resources and the Fair and Equitable Sharing of Benefits Arising from their Utilization</w:t>
            </w:r>
          </w:p>
          <w:p w14:paraId="04B97850" w14:textId="77777777" w:rsidR="007417C7" w:rsidRPr="007417C7" w:rsidRDefault="007417C7" w:rsidP="00174744">
            <w:pPr>
              <w:pStyle w:val="Para2"/>
              <w:numPr>
                <w:ilvl w:val="1"/>
                <w:numId w:val="33"/>
              </w:numPr>
              <w:spacing w:before="0" w:after="0"/>
              <w:ind w:left="312"/>
              <w:jc w:val="left"/>
              <w:rPr>
                <w:szCs w:val="22"/>
              </w:rPr>
            </w:pPr>
            <w:r>
              <w:rPr>
                <w:szCs w:val="22"/>
                <w:lang w:val="en-GB"/>
              </w:rPr>
              <w:t>Ongoing discussions regarding the fair and equitable sharing of ben</w:t>
            </w:r>
            <w:r w:rsidRPr="007417C7">
              <w:rPr>
                <w:szCs w:val="22"/>
                <w:lang w:val="en-GB"/>
              </w:rPr>
              <w:t xml:space="preserve">efits arising from the use of </w:t>
            </w:r>
            <w:r>
              <w:rPr>
                <w:szCs w:val="22"/>
                <w:lang w:val="en-GB"/>
              </w:rPr>
              <w:t>DSI on genetic resources (decision 15/9)</w:t>
            </w:r>
          </w:p>
          <w:p w14:paraId="6CFAD8AF" w14:textId="43339CAF" w:rsidR="007417C7" w:rsidRPr="008A06C2" w:rsidRDefault="007417C7" w:rsidP="00174744">
            <w:pPr>
              <w:pStyle w:val="Para2"/>
              <w:numPr>
                <w:ilvl w:val="1"/>
                <w:numId w:val="33"/>
              </w:numPr>
              <w:spacing w:before="0" w:after="0"/>
              <w:ind w:left="312"/>
              <w:jc w:val="left"/>
            </w:pPr>
            <w:r w:rsidRPr="13054D46">
              <w:rPr>
                <w:lang w:val="en-GB"/>
              </w:rPr>
              <w:t>Decision by CBD COP to establish a multilateral mechanism for benefit-sharing from the use of DSI, including a global fund (decision 15/9)</w:t>
            </w:r>
          </w:p>
        </w:tc>
        <w:tc>
          <w:tcPr>
            <w:tcW w:w="4535" w:type="dxa"/>
          </w:tcPr>
          <w:p w14:paraId="6C7FFA3E" w14:textId="77777777" w:rsidR="004875C5" w:rsidRPr="0097225C" w:rsidRDefault="004875C5" w:rsidP="00174744">
            <w:pPr>
              <w:tabs>
                <w:tab w:val="left" w:pos="1134"/>
              </w:tabs>
              <w:jc w:val="left"/>
              <w:rPr>
                <w:szCs w:val="22"/>
                <w:u w:val="single"/>
                <w:lang w:val="en-US"/>
              </w:rPr>
            </w:pPr>
            <w:r w:rsidRPr="0097225C">
              <w:rPr>
                <w:szCs w:val="22"/>
                <w:u w:val="single"/>
                <w:lang w:val="en-US"/>
              </w:rPr>
              <w:t>Marine genetic resources, including the fair and equitable sharing of benefits</w:t>
            </w:r>
          </w:p>
          <w:p w14:paraId="04B01AEE" w14:textId="7E70554D" w:rsidR="007A027A" w:rsidRPr="0097225C" w:rsidRDefault="007A027A" w:rsidP="00174744">
            <w:pPr>
              <w:pStyle w:val="ListParagraph"/>
              <w:numPr>
                <w:ilvl w:val="1"/>
                <w:numId w:val="33"/>
              </w:numPr>
              <w:ind w:left="315"/>
              <w:contextualSpacing w:val="0"/>
              <w:rPr>
                <w:rFonts w:ascii="Times New Roman" w:hAnsi="Times New Roman" w:cs="Times New Roman"/>
                <w:sz w:val="22"/>
                <w:szCs w:val="22"/>
              </w:rPr>
            </w:pPr>
            <w:r w:rsidRPr="0097225C">
              <w:rPr>
                <w:rFonts w:ascii="Times New Roman" w:hAnsi="Times New Roman" w:cs="Times New Roman"/>
                <w:sz w:val="22"/>
                <w:szCs w:val="22"/>
              </w:rPr>
              <w:t xml:space="preserve">Experiences on access and benefit-sharing under the </w:t>
            </w:r>
            <w:r w:rsidRPr="0097225C">
              <w:rPr>
                <w:rStyle w:val="ui-provider"/>
                <w:rFonts w:ascii="Times New Roman" w:hAnsi="Times New Roman" w:cs="Times New Roman"/>
                <w:sz w:val="22"/>
                <w:szCs w:val="22"/>
              </w:rPr>
              <w:t>Nagoya Protocol</w:t>
            </w:r>
            <w:r w:rsidR="00324719" w:rsidRPr="0097225C">
              <w:rPr>
                <w:rStyle w:val="ui-provider"/>
                <w:rFonts w:ascii="Times New Roman" w:hAnsi="Times New Roman" w:cs="Times New Roman"/>
                <w:sz w:val="22"/>
                <w:szCs w:val="22"/>
              </w:rPr>
              <w:t xml:space="preserve"> </w:t>
            </w:r>
            <w:r w:rsidR="00324719">
              <w:rPr>
                <w:rStyle w:val="ui-provider"/>
                <w:rFonts w:ascii="Times New Roman" w:hAnsi="Times New Roman" w:cs="Times New Roman"/>
                <w:sz w:val="22"/>
                <w:szCs w:val="22"/>
              </w:rPr>
              <w:t xml:space="preserve">could </w:t>
            </w:r>
            <w:r w:rsidRPr="0097225C">
              <w:rPr>
                <w:rStyle w:val="ui-provider"/>
                <w:rFonts w:ascii="Times New Roman" w:hAnsi="Times New Roman" w:cs="Times New Roman"/>
                <w:sz w:val="22"/>
                <w:szCs w:val="22"/>
              </w:rPr>
              <w:t>inform approaches taken under the BBNJ Agreement;</w:t>
            </w:r>
          </w:p>
          <w:p w14:paraId="6E57B020" w14:textId="056D8E1C" w:rsidR="007A027A" w:rsidRPr="0097225C" w:rsidRDefault="007A027A" w:rsidP="00174744">
            <w:pPr>
              <w:pStyle w:val="ListParagraph"/>
              <w:numPr>
                <w:ilvl w:val="1"/>
                <w:numId w:val="33"/>
              </w:numPr>
              <w:ind w:left="315"/>
              <w:contextualSpacing w:val="0"/>
              <w:rPr>
                <w:rFonts w:ascii="Times New Roman" w:hAnsi="Times New Roman" w:cs="Times New Roman"/>
                <w:sz w:val="22"/>
                <w:szCs w:val="22"/>
              </w:rPr>
            </w:pPr>
            <w:r w:rsidRPr="0097225C">
              <w:rPr>
                <w:rStyle w:val="ui-provider"/>
                <w:rFonts w:ascii="Times New Roman" w:hAnsi="Times New Roman" w:cs="Times New Roman"/>
                <w:sz w:val="22"/>
                <w:szCs w:val="22"/>
              </w:rPr>
              <w:t xml:space="preserve">Further development of modalities for sharing monetary benefits from the </w:t>
            </w:r>
            <w:r w:rsidR="00675F7E">
              <w:rPr>
                <w:rStyle w:val="ui-provider"/>
                <w:rFonts w:ascii="Times New Roman" w:hAnsi="Times New Roman" w:cs="Times New Roman"/>
                <w:sz w:val="22"/>
                <w:szCs w:val="22"/>
              </w:rPr>
              <w:t>use of</w:t>
            </w:r>
            <w:r w:rsidRPr="0097225C">
              <w:rPr>
                <w:rStyle w:val="ui-provider"/>
                <w:rFonts w:ascii="Times New Roman" w:hAnsi="Times New Roman" w:cs="Times New Roman"/>
                <w:sz w:val="22"/>
                <w:szCs w:val="22"/>
              </w:rPr>
              <w:t xml:space="preserve"> digital sequence information (DSI) on marine genetic resources of areas beyond national jurisdiction </w:t>
            </w:r>
            <w:r w:rsidR="00675F7E">
              <w:rPr>
                <w:rStyle w:val="ui-provider"/>
                <w:rFonts w:ascii="Times New Roman" w:hAnsi="Times New Roman" w:cs="Times New Roman"/>
                <w:sz w:val="22"/>
                <w:szCs w:val="22"/>
              </w:rPr>
              <w:t>could</w:t>
            </w:r>
            <w:r w:rsidR="00675F7E" w:rsidRPr="0097225C">
              <w:rPr>
                <w:rStyle w:val="ui-provider"/>
                <w:rFonts w:ascii="Times New Roman" w:hAnsi="Times New Roman" w:cs="Times New Roman"/>
                <w:sz w:val="22"/>
                <w:szCs w:val="22"/>
              </w:rPr>
              <w:t xml:space="preserve"> </w:t>
            </w:r>
            <w:r w:rsidRPr="0097225C">
              <w:rPr>
                <w:rStyle w:val="ui-provider"/>
                <w:rFonts w:ascii="Times New Roman" w:hAnsi="Times New Roman" w:cs="Times New Roman"/>
                <w:sz w:val="22"/>
                <w:szCs w:val="22"/>
              </w:rPr>
              <w:t xml:space="preserve">take into account the multilateral mechanism </w:t>
            </w:r>
            <w:r w:rsidR="009523BE">
              <w:rPr>
                <w:rStyle w:val="ui-provider"/>
                <w:rFonts w:ascii="Times New Roman" w:hAnsi="Times New Roman" w:cs="Times New Roman"/>
                <w:sz w:val="22"/>
                <w:szCs w:val="22"/>
              </w:rPr>
              <w:t xml:space="preserve">under the CBD </w:t>
            </w:r>
            <w:r w:rsidRPr="0097225C">
              <w:rPr>
                <w:rStyle w:val="ui-provider"/>
                <w:rFonts w:ascii="Times New Roman" w:hAnsi="Times New Roman" w:cs="Times New Roman"/>
                <w:sz w:val="22"/>
                <w:szCs w:val="22"/>
              </w:rPr>
              <w:t xml:space="preserve">for sharing </w:t>
            </w:r>
            <w:r w:rsidR="009523BE">
              <w:rPr>
                <w:rStyle w:val="ui-provider"/>
                <w:rFonts w:ascii="Times New Roman" w:hAnsi="Times New Roman" w:cs="Times New Roman"/>
                <w:sz w:val="22"/>
                <w:szCs w:val="22"/>
              </w:rPr>
              <w:t xml:space="preserve">benefits </w:t>
            </w:r>
            <w:r w:rsidRPr="0097225C">
              <w:rPr>
                <w:rStyle w:val="ui-provider"/>
                <w:rFonts w:ascii="Times New Roman" w:hAnsi="Times New Roman" w:cs="Times New Roman"/>
                <w:sz w:val="22"/>
                <w:szCs w:val="22"/>
              </w:rPr>
              <w:t>from the use of DSI on genetic resources</w:t>
            </w:r>
            <w:r w:rsidR="009523BE">
              <w:rPr>
                <w:rStyle w:val="ui-provider"/>
                <w:rFonts w:ascii="Times New Roman" w:hAnsi="Times New Roman" w:cs="Times New Roman"/>
                <w:sz w:val="22"/>
                <w:szCs w:val="22"/>
              </w:rPr>
              <w:t>, including ongoing</w:t>
            </w:r>
            <w:r w:rsidRPr="0097225C">
              <w:rPr>
                <w:rStyle w:val="ui-provider"/>
                <w:rFonts w:ascii="Times New Roman" w:hAnsi="Times New Roman" w:cs="Times New Roman"/>
                <w:sz w:val="22"/>
                <w:szCs w:val="22"/>
              </w:rPr>
              <w:t xml:space="preserve"> work to further develop and operationalize the mechanism.</w:t>
            </w:r>
          </w:p>
        </w:tc>
      </w:tr>
      <w:tr w:rsidR="007A027A" w:rsidRPr="0097225C" w14:paraId="2CBFA93F" w14:textId="77777777" w:rsidTr="0097225C">
        <w:tc>
          <w:tcPr>
            <w:tcW w:w="4815" w:type="dxa"/>
          </w:tcPr>
          <w:p w14:paraId="2C5EC1B1" w14:textId="7D93BD89" w:rsidR="007A027A" w:rsidRPr="0046590B" w:rsidRDefault="007A027A" w:rsidP="00174744">
            <w:pPr>
              <w:jc w:val="left"/>
              <w:rPr>
                <w:szCs w:val="22"/>
                <w:u w:val="single"/>
              </w:rPr>
            </w:pPr>
            <w:r w:rsidRPr="0097225C">
              <w:rPr>
                <w:szCs w:val="22"/>
                <w:u w:val="single"/>
              </w:rPr>
              <w:t>Capacity-building and development</w:t>
            </w:r>
            <w:r w:rsidR="0046590B">
              <w:rPr>
                <w:szCs w:val="22"/>
                <w:u w:val="single"/>
              </w:rPr>
              <w:t xml:space="preserve">, </w:t>
            </w:r>
            <w:r w:rsidRPr="0097225C">
              <w:rPr>
                <w:szCs w:val="22"/>
                <w:u w:val="single"/>
              </w:rPr>
              <w:t xml:space="preserve">and technical and </w:t>
            </w:r>
            <w:r w:rsidRPr="0046590B">
              <w:rPr>
                <w:szCs w:val="22"/>
                <w:u w:val="single"/>
              </w:rPr>
              <w:t>scientific cooperation</w:t>
            </w:r>
          </w:p>
          <w:p w14:paraId="1E1AFBD5" w14:textId="4FB3DF25" w:rsidR="0046590B" w:rsidRPr="0046590B" w:rsidRDefault="0046590B" w:rsidP="00174744">
            <w:pPr>
              <w:pStyle w:val="ListParagraph"/>
              <w:numPr>
                <w:ilvl w:val="0"/>
                <w:numId w:val="42"/>
              </w:numPr>
              <w:ind w:left="309"/>
              <w:rPr>
                <w:rFonts w:ascii="Times New Roman" w:hAnsi="Times New Roman" w:cs="Times New Roman"/>
                <w:sz w:val="22"/>
                <w:szCs w:val="22"/>
                <w:u w:val="single"/>
              </w:rPr>
            </w:pPr>
            <w:r w:rsidRPr="0046590B">
              <w:rPr>
                <w:rFonts w:ascii="Times New Roman" w:hAnsi="Times New Roman" w:cs="Times New Roman"/>
                <w:sz w:val="22"/>
                <w:szCs w:val="22"/>
              </w:rPr>
              <w:t>Long-Term Strategic Framework for Capacity-Building and Development adopted by CBD COP (decision 15/8)</w:t>
            </w:r>
          </w:p>
          <w:p w14:paraId="20346114" w14:textId="615C23B9" w:rsidR="0046590B" w:rsidRDefault="0046590B" w:rsidP="00174744">
            <w:pPr>
              <w:pStyle w:val="ListParagraph"/>
              <w:numPr>
                <w:ilvl w:val="0"/>
                <w:numId w:val="42"/>
              </w:numPr>
              <w:ind w:left="309"/>
              <w:rPr>
                <w:rFonts w:ascii="Times New Roman" w:hAnsi="Times New Roman" w:cs="Times New Roman"/>
                <w:sz w:val="22"/>
                <w:szCs w:val="22"/>
              </w:rPr>
            </w:pPr>
            <w:r w:rsidRPr="00C67E9C">
              <w:rPr>
                <w:rFonts w:ascii="Times New Roman" w:hAnsi="Times New Roman" w:cs="Times New Roman"/>
                <w:sz w:val="22"/>
                <w:szCs w:val="22"/>
              </w:rPr>
              <w:t xml:space="preserve">Sustainable Ocean Initiative capacity-building </w:t>
            </w:r>
            <w:r w:rsidRPr="00E40748">
              <w:rPr>
                <w:rFonts w:ascii="Times New Roman" w:hAnsi="Times New Roman" w:cs="Times New Roman"/>
                <w:color w:val="000000" w:themeColor="text1"/>
                <w:sz w:val="22"/>
                <w:szCs w:val="22"/>
              </w:rPr>
              <w:t>activities (</w:t>
            </w:r>
            <w:hyperlink r:id="rId15" w:history="1">
              <w:r w:rsidRPr="00E40748">
                <w:rPr>
                  <w:rStyle w:val="Hyperlink"/>
                  <w:rFonts w:ascii="Times New Roman" w:hAnsi="Times New Roman" w:cs="Times New Roman"/>
                  <w:color w:val="000000" w:themeColor="text1"/>
                  <w:sz w:val="22"/>
                  <w:szCs w:val="22"/>
                  <w:u w:val="none"/>
                </w:rPr>
                <w:t>https://www.cbd.int/soi</w:t>
              </w:r>
            </w:hyperlink>
            <w:r w:rsidRPr="00E40748">
              <w:rPr>
                <w:rFonts w:ascii="Times New Roman" w:hAnsi="Times New Roman" w:cs="Times New Roman"/>
                <w:color w:val="000000" w:themeColor="text1"/>
                <w:sz w:val="22"/>
                <w:szCs w:val="22"/>
              </w:rPr>
              <w:t xml:space="preserve">) </w:t>
            </w:r>
          </w:p>
          <w:p w14:paraId="5B289EAB" w14:textId="1EE82F0A" w:rsidR="00C67E9C" w:rsidRPr="00C67E9C" w:rsidRDefault="00C67E9C" w:rsidP="00174744">
            <w:pPr>
              <w:pStyle w:val="ListParagraph"/>
              <w:numPr>
                <w:ilvl w:val="0"/>
                <w:numId w:val="42"/>
              </w:numPr>
              <w:ind w:left="309"/>
              <w:rPr>
                <w:rFonts w:ascii="Times New Roman" w:hAnsi="Times New Roman" w:cs="Times New Roman"/>
                <w:sz w:val="22"/>
                <w:szCs w:val="22"/>
              </w:rPr>
            </w:pPr>
            <w:r>
              <w:rPr>
                <w:rFonts w:ascii="Times New Roman" w:hAnsi="Times New Roman" w:cs="Times New Roman"/>
                <w:sz w:val="22"/>
                <w:szCs w:val="22"/>
              </w:rPr>
              <w:t xml:space="preserve">Sustainable Ocean Initiative Global Dialogue with Regional Seas Organizations and Regional </w:t>
            </w:r>
            <w:r>
              <w:rPr>
                <w:rFonts w:ascii="Times New Roman" w:hAnsi="Times New Roman" w:cs="Times New Roman"/>
                <w:sz w:val="22"/>
                <w:szCs w:val="22"/>
              </w:rPr>
              <w:lastRenderedPageBreak/>
              <w:t>Fishery Bodies, coordinated together with UNEP and FAO</w:t>
            </w:r>
          </w:p>
          <w:p w14:paraId="2B0AF177" w14:textId="0D3E0EA1" w:rsidR="0046590B" w:rsidRPr="0097225C" w:rsidRDefault="0046590B" w:rsidP="00174744">
            <w:pPr>
              <w:jc w:val="left"/>
              <w:rPr>
                <w:szCs w:val="22"/>
                <w:u w:val="single"/>
              </w:rPr>
            </w:pPr>
          </w:p>
        </w:tc>
        <w:tc>
          <w:tcPr>
            <w:tcW w:w="4535" w:type="dxa"/>
          </w:tcPr>
          <w:p w14:paraId="24B6DE85" w14:textId="04F63823" w:rsidR="007A027A" w:rsidRPr="0097225C" w:rsidRDefault="007A027A" w:rsidP="00174744">
            <w:pPr>
              <w:tabs>
                <w:tab w:val="left" w:pos="1701"/>
              </w:tabs>
              <w:jc w:val="left"/>
              <w:rPr>
                <w:szCs w:val="22"/>
                <w:u w:val="single"/>
                <w:lang w:val="en-US"/>
              </w:rPr>
            </w:pPr>
            <w:r w:rsidRPr="0097225C">
              <w:rPr>
                <w:szCs w:val="22"/>
                <w:u w:val="single"/>
                <w:lang w:val="en-US"/>
              </w:rPr>
              <w:lastRenderedPageBreak/>
              <w:t xml:space="preserve">Capacity building and </w:t>
            </w:r>
            <w:r w:rsidR="009523BE">
              <w:rPr>
                <w:szCs w:val="22"/>
                <w:u w:val="single"/>
                <w:lang w:val="en-US"/>
              </w:rPr>
              <w:t>t</w:t>
            </w:r>
            <w:r w:rsidR="009523BE">
              <w:rPr>
                <w:u w:val="single"/>
                <w:lang w:val="en-US"/>
              </w:rPr>
              <w:t xml:space="preserve">he </w:t>
            </w:r>
            <w:r w:rsidRPr="0097225C">
              <w:rPr>
                <w:szCs w:val="22"/>
                <w:u w:val="single"/>
                <w:lang w:val="en-US"/>
              </w:rPr>
              <w:t>transfer of marine technology</w:t>
            </w:r>
          </w:p>
          <w:p w14:paraId="6E8F5808" w14:textId="0A1B75BB" w:rsidR="007A027A" w:rsidRPr="0097225C" w:rsidRDefault="007A027A" w:rsidP="00174744">
            <w:pPr>
              <w:pStyle w:val="ListParagraph"/>
              <w:numPr>
                <w:ilvl w:val="1"/>
                <w:numId w:val="33"/>
              </w:numPr>
              <w:tabs>
                <w:tab w:val="left" w:pos="1701"/>
              </w:tabs>
              <w:ind w:left="457"/>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Capacity building efforts under the Sustainable Ocean Initiative (coordinated by the CBD Secretariat) could be more directly oriented to issues</w:t>
            </w:r>
            <w:r w:rsidR="009523BE">
              <w:rPr>
                <w:rFonts w:ascii="Times New Roman" w:hAnsi="Times New Roman" w:cs="Times New Roman"/>
                <w:sz w:val="22"/>
                <w:szCs w:val="22"/>
                <w:lang w:val="en-US"/>
              </w:rPr>
              <w:t xml:space="preserve"> relevant to the implementation </w:t>
            </w:r>
            <w:bookmarkStart w:id="5" w:name="OLE_LINK3"/>
            <w:bookmarkStart w:id="6" w:name="OLE_LINK4"/>
            <w:r w:rsidR="009523BE">
              <w:rPr>
                <w:rFonts w:ascii="Times New Roman" w:hAnsi="Times New Roman" w:cs="Times New Roman"/>
                <w:sz w:val="22"/>
                <w:szCs w:val="22"/>
                <w:lang w:val="en-US"/>
              </w:rPr>
              <w:t>of the BBNJ Agreement</w:t>
            </w:r>
            <w:bookmarkEnd w:id="5"/>
            <w:bookmarkEnd w:id="6"/>
            <w:r w:rsidRPr="0097225C">
              <w:rPr>
                <w:rFonts w:ascii="Times New Roman" w:hAnsi="Times New Roman" w:cs="Times New Roman"/>
                <w:sz w:val="22"/>
                <w:szCs w:val="22"/>
                <w:lang w:val="en-US"/>
              </w:rPr>
              <w:t xml:space="preserve">. </w:t>
            </w:r>
          </w:p>
          <w:p w14:paraId="5DDE1B06" w14:textId="0FDFEFDE" w:rsidR="007A027A" w:rsidRPr="0097225C" w:rsidRDefault="007A027A" w:rsidP="00174744">
            <w:pPr>
              <w:pStyle w:val="ListParagraph"/>
              <w:numPr>
                <w:ilvl w:val="1"/>
                <w:numId w:val="33"/>
              </w:numPr>
              <w:tabs>
                <w:tab w:val="left" w:pos="1701"/>
              </w:tabs>
              <w:ind w:left="457"/>
              <w:contextualSpacing w:val="0"/>
              <w:rPr>
                <w:rFonts w:ascii="Times New Roman" w:hAnsi="Times New Roman" w:cs="Times New Roman"/>
                <w:sz w:val="22"/>
                <w:szCs w:val="22"/>
                <w:lang w:val="en-US"/>
              </w:rPr>
            </w:pPr>
            <w:r w:rsidRPr="0097225C">
              <w:rPr>
                <w:rFonts w:ascii="Times New Roman" w:hAnsi="Times New Roman" w:cs="Times New Roman"/>
                <w:sz w:val="22"/>
                <w:szCs w:val="22"/>
                <w:lang w:val="en-US"/>
              </w:rPr>
              <w:t xml:space="preserve">Efforts to implement the </w:t>
            </w:r>
            <w:r w:rsidRPr="0097225C">
              <w:rPr>
                <w:rFonts w:ascii="Times New Roman" w:hAnsi="Times New Roman" w:cs="Times New Roman"/>
                <w:sz w:val="22"/>
                <w:szCs w:val="22"/>
              </w:rPr>
              <w:t xml:space="preserve">Long-Term Strategic Framework for Capacity-Building and Development (adopted by the CBD </w:t>
            </w:r>
            <w:r w:rsidRPr="0097225C">
              <w:rPr>
                <w:rFonts w:ascii="Times New Roman" w:hAnsi="Times New Roman" w:cs="Times New Roman"/>
                <w:sz w:val="22"/>
                <w:szCs w:val="22"/>
              </w:rPr>
              <w:lastRenderedPageBreak/>
              <w:t xml:space="preserve">COP in decision 15/8) </w:t>
            </w:r>
            <w:r w:rsidR="009523BE">
              <w:rPr>
                <w:rFonts w:ascii="Times New Roman" w:hAnsi="Times New Roman" w:cs="Times New Roman"/>
                <w:sz w:val="22"/>
                <w:szCs w:val="22"/>
              </w:rPr>
              <w:t>could</w:t>
            </w:r>
            <w:r w:rsidR="009523BE" w:rsidRPr="0097225C">
              <w:rPr>
                <w:rFonts w:ascii="Times New Roman" w:hAnsi="Times New Roman" w:cs="Times New Roman"/>
                <w:sz w:val="22"/>
                <w:szCs w:val="22"/>
              </w:rPr>
              <w:t xml:space="preserve"> </w:t>
            </w:r>
            <w:r w:rsidRPr="0097225C">
              <w:rPr>
                <w:rFonts w:ascii="Times New Roman" w:hAnsi="Times New Roman" w:cs="Times New Roman"/>
                <w:sz w:val="22"/>
                <w:szCs w:val="22"/>
              </w:rPr>
              <w:t xml:space="preserve">seek synergies to address capacity needs that will also support effective implementation </w:t>
            </w:r>
            <w:r w:rsidR="00CD1D6B">
              <w:rPr>
                <w:rFonts w:ascii="Times New Roman" w:hAnsi="Times New Roman" w:cs="Times New Roman"/>
                <w:sz w:val="22"/>
                <w:szCs w:val="22"/>
                <w:lang w:val="en-US"/>
              </w:rPr>
              <w:t>of the BBNJ Agreement</w:t>
            </w:r>
            <w:r w:rsidRPr="0097225C">
              <w:rPr>
                <w:rFonts w:ascii="Times New Roman" w:hAnsi="Times New Roman" w:cs="Times New Roman"/>
                <w:sz w:val="22"/>
                <w:szCs w:val="22"/>
              </w:rPr>
              <w:t>.</w:t>
            </w:r>
          </w:p>
        </w:tc>
      </w:tr>
      <w:tr w:rsidR="004875C5" w:rsidRPr="0097225C" w14:paraId="1ADC8993" w14:textId="77777777" w:rsidTr="0097225C">
        <w:tc>
          <w:tcPr>
            <w:tcW w:w="4815" w:type="dxa"/>
          </w:tcPr>
          <w:p w14:paraId="689C8693" w14:textId="77777777" w:rsidR="004875C5" w:rsidRPr="0097225C" w:rsidRDefault="004875C5" w:rsidP="00174744">
            <w:pPr>
              <w:jc w:val="left"/>
              <w:rPr>
                <w:szCs w:val="22"/>
                <w:u w:val="single"/>
              </w:rPr>
            </w:pPr>
            <w:r w:rsidRPr="0097225C">
              <w:rPr>
                <w:szCs w:val="22"/>
                <w:u w:val="single"/>
              </w:rPr>
              <w:lastRenderedPageBreak/>
              <w:t>Coordination of clearinghouse mechanisms</w:t>
            </w:r>
          </w:p>
          <w:p w14:paraId="71E38160" w14:textId="1BD12983" w:rsidR="004875C5" w:rsidRPr="00C67E9C" w:rsidRDefault="00C67E9C" w:rsidP="00174744">
            <w:pPr>
              <w:pStyle w:val="Para1"/>
              <w:numPr>
                <w:ilvl w:val="0"/>
                <w:numId w:val="43"/>
              </w:numPr>
              <w:tabs>
                <w:tab w:val="clear" w:pos="1134"/>
                <w:tab w:val="left" w:pos="1701"/>
              </w:tabs>
              <w:spacing w:before="0" w:after="0"/>
              <w:ind w:left="312"/>
              <w:jc w:val="left"/>
              <w:rPr>
                <w:szCs w:val="22"/>
              </w:rPr>
            </w:pPr>
            <w:r w:rsidRPr="00C67E9C">
              <w:rPr>
                <w:szCs w:val="22"/>
              </w:rPr>
              <w:t>CBD Clearing-House Mechanism (CHM)</w:t>
            </w:r>
          </w:p>
          <w:p w14:paraId="3FFED1A8" w14:textId="77777777" w:rsidR="00C67E9C" w:rsidRPr="00C67E9C" w:rsidRDefault="00C67E9C" w:rsidP="00174744">
            <w:pPr>
              <w:pStyle w:val="Para1"/>
              <w:numPr>
                <w:ilvl w:val="0"/>
                <w:numId w:val="43"/>
              </w:numPr>
              <w:tabs>
                <w:tab w:val="clear" w:pos="1134"/>
                <w:tab w:val="left" w:pos="1701"/>
              </w:tabs>
              <w:spacing w:before="0" w:after="0"/>
              <w:ind w:left="312"/>
              <w:jc w:val="left"/>
              <w:rPr>
                <w:szCs w:val="22"/>
              </w:rPr>
            </w:pPr>
            <w:r w:rsidRPr="00C67E9C">
              <w:rPr>
                <w:szCs w:val="22"/>
              </w:rPr>
              <w:t>Support for coordination of national clearing-house mechanisms</w:t>
            </w:r>
          </w:p>
          <w:p w14:paraId="3D40DABF" w14:textId="7C14B03E" w:rsidR="00C67E9C" w:rsidRPr="00C67E9C" w:rsidRDefault="00C67E9C" w:rsidP="00174744">
            <w:pPr>
              <w:pStyle w:val="Para1"/>
              <w:numPr>
                <w:ilvl w:val="0"/>
                <w:numId w:val="43"/>
              </w:numPr>
              <w:tabs>
                <w:tab w:val="clear" w:pos="1134"/>
                <w:tab w:val="left" w:pos="1701"/>
              </w:tabs>
              <w:spacing w:before="0" w:after="0"/>
              <w:ind w:left="312"/>
              <w:jc w:val="left"/>
              <w:rPr>
                <w:szCs w:val="22"/>
              </w:rPr>
            </w:pPr>
            <w:r w:rsidRPr="00C67E9C">
              <w:rPr>
                <w:szCs w:val="22"/>
              </w:rPr>
              <w:t>Access and Benefit-Sharing Clearing-House</w:t>
            </w:r>
          </w:p>
          <w:p w14:paraId="5E148A7B" w14:textId="71CC56CE" w:rsidR="00C67E9C" w:rsidRPr="0097225C" w:rsidRDefault="00C67E9C" w:rsidP="00174744">
            <w:pPr>
              <w:pStyle w:val="Para1"/>
              <w:numPr>
                <w:ilvl w:val="0"/>
                <w:numId w:val="43"/>
              </w:numPr>
              <w:tabs>
                <w:tab w:val="clear" w:pos="1134"/>
                <w:tab w:val="left" w:pos="1701"/>
              </w:tabs>
              <w:spacing w:before="0" w:after="0"/>
              <w:ind w:left="312"/>
              <w:jc w:val="left"/>
              <w:rPr>
                <w:szCs w:val="22"/>
                <w:u w:val="single"/>
              </w:rPr>
            </w:pPr>
            <w:r w:rsidRPr="00C67E9C">
              <w:rPr>
                <w:szCs w:val="22"/>
              </w:rPr>
              <w:t>Biosafety Clearing-House (BCH)</w:t>
            </w:r>
          </w:p>
        </w:tc>
        <w:tc>
          <w:tcPr>
            <w:tcW w:w="4535" w:type="dxa"/>
          </w:tcPr>
          <w:p w14:paraId="2C409F26" w14:textId="0CD54491" w:rsidR="007A027A" w:rsidRPr="0097225C" w:rsidRDefault="007A027A" w:rsidP="00174744">
            <w:pPr>
              <w:tabs>
                <w:tab w:val="left" w:pos="1701"/>
              </w:tabs>
              <w:jc w:val="left"/>
              <w:rPr>
                <w:szCs w:val="22"/>
                <w:u w:val="single"/>
                <w:lang w:val="en-US"/>
              </w:rPr>
            </w:pPr>
            <w:r w:rsidRPr="0097225C">
              <w:rPr>
                <w:szCs w:val="22"/>
                <w:u w:val="single"/>
                <w:lang w:val="en-US"/>
              </w:rPr>
              <w:t xml:space="preserve">Capacity building and </w:t>
            </w:r>
            <w:r w:rsidR="009523BE">
              <w:rPr>
                <w:szCs w:val="22"/>
                <w:u w:val="single"/>
                <w:lang w:val="en-US"/>
              </w:rPr>
              <w:t xml:space="preserve">the </w:t>
            </w:r>
            <w:r w:rsidRPr="0097225C">
              <w:rPr>
                <w:szCs w:val="22"/>
                <w:u w:val="single"/>
                <w:lang w:val="en-US"/>
              </w:rPr>
              <w:t>transfer of marine technology</w:t>
            </w:r>
          </w:p>
          <w:p w14:paraId="55117C5B" w14:textId="5FCAD95C" w:rsidR="004875C5" w:rsidRPr="0097225C" w:rsidRDefault="009523BE" w:rsidP="00174744">
            <w:pPr>
              <w:pStyle w:val="ListParagraph"/>
              <w:numPr>
                <w:ilvl w:val="1"/>
                <w:numId w:val="33"/>
              </w:numPr>
              <w:tabs>
                <w:tab w:val="left" w:pos="1701"/>
              </w:tabs>
              <w:ind w:left="315"/>
              <w:contextualSpacing w:val="0"/>
              <w:rPr>
                <w:rFonts w:ascii="Times New Roman" w:hAnsi="Times New Roman" w:cs="Times New Roman"/>
                <w:sz w:val="22"/>
                <w:szCs w:val="22"/>
                <w:lang w:val="en-US"/>
              </w:rPr>
            </w:pPr>
            <w:r>
              <w:rPr>
                <w:rFonts w:ascii="Times New Roman" w:hAnsi="Times New Roman" w:cs="Times New Roman"/>
                <w:sz w:val="22"/>
                <w:szCs w:val="22"/>
              </w:rPr>
              <w:t>Experience</w:t>
            </w:r>
            <w:r w:rsidR="007A027A" w:rsidRPr="0097225C">
              <w:rPr>
                <w:rFonts w:ascii="Times New Roman" w:hAnsi="Times New Roman" w:cs="Times New Roman"/>
                <w:sz w:val="22"/>
                <w:szCs w:val="22"/>
              </w:rPr>
              <w:t xml:space="preserve"> of the CBD Secretariat in running three clearinghouse mechanisms </w:t>
            </w:r>
            <w:r>
              <w:rPr>
                <w:rFonts w:ascii="Times New Roman" w:hAnsi="Times New Roman" w:cs="Times New Roman"/>
                <w:sz w:val="22"/>
                <w:szCs w:val="22"/>
              </w:rPr>
              <w:t>could be</w:t>
            </w:r>
            <w:r w:rsidR="007A027A" w:rsidRPr="0097225C">
              <w:rPr>
                <w:rFonts w:ascii="Times New Roman" w:hAnsi="Times New Roman" w:cs="Times New Roman"/>
                <w:sz w:val="22"/>
                <w:szCs w:val="22"/>
              </w:rPr>
              <w:t xml:space="preserve"> instructive to the development and </w:t>
            </w:r>
            <w:r>
              <w:rPr>
                <w:rFonts w:ascii="Times New Roman" w:hAnsi="Times New Roman" w:cs="Times New Roman"/>
                <w:sz w:val="22"/>
                <w:szCs w:val="22"/>
              </w:rPr>
              <w:t>operationalization</w:t>
            </w:r>
            <w:r w:rsidRPr="0097225C">
              <w:rPr>
                <w:rFonts w:ascii="Times New Roman" w:hAnsi="Times New Roman" w:cs="Times New Roman"/>
                <w:sz w:val="22"/>
                <w:szCs w:val="22"/>
              </w:rPr>
              <w:t xml:space="preserve"> </w:t>
            </w:r>
            <w:r w:rsidR="007A027A" w:rsidRPr="0097225C">
              <w:rPr>
                <w:rFonts w:ascii="Times New Roman" w:hAnsi="Times New Roman" w:cs="Times New Roman"/>
                <w:sz w:val="22"/>
                <w:szCs w:val="22"/>
              </w:rPr>
              <w:t xml:space="preserve">of the Clearing-House Mechanism under the BBNJ Agreement. </w:t>
            </w:r>
          </w:p>
        </w:tc>
      </w:tr>
    </w:tbl>
    <w:p w14:paraId="587F27B2" w14:textId="77777777" w:rsidR="004875C5" w:rsidRPr="004875C5" w:rsidRDefault="004875C5" w:rsidP="004875C5">
      <w:pPr>
        <w:tabs>
          <w:tab w:val="left" w:pos="1134"/>
        </w:tabs>
        <w:spacing w:before="120" w:after="120"/>
        <w:rPr>
          <w:szCs w:val="22"/>
          <w:lang w:val="en-US"/>
        </w:rPr>
      </w:pPr>
    </w:p>
    <w:p w14:paraId="0E1FB5F8" w14:textId="551CB7BA" w:rsidR="004875C5" w:rsidRPr="004875C5" w:rsidRDefault="004875C5" w:rsidP="004875C5">
      <w:pPr>
        <w:pStyle w:val="ListParagraph"/>
        <w:numPr>
          <w:ilvl w:val="1"/>
          <w:numId w:val="27"/>
        </w:numPr>
        <w:tabs>
          <w:tab w:val="left" w:pos="1134"/>
        </w:tabs>
        <w:spacing w:before="120" w:after="120"/>
        <w:ind w:left="567" w:firstLine="0"/>
        <w:contextualSpacing w:val="0"/>
        <w:jc w:val="both"/>
        <w:rPr>
          <w:rFonts w:ascii="Times New Roman" w:hAnsi="Times New Roman" w:cs="Times New Roman"/>
          <w:sz w:val="22"/>
          <w:szCs w:val="22"/>
          <w:lang w:val="en-US"/>
        </w:rPr>
      </w:pPr>
      <w:r w:rsidRPr="46828A44">
        <w:rPr>
          <w:rFonts w:ascii="Times New Roman" w:hAnsi="Times New Roman" w:cs="Times New Roman"/>
          <w:sz w:val="22"/>
          <w:szCs w:val="22"/>
          <w:lang w:val="en-US"/>
        </w:rPr>
        <w:t xml:space="preserve">As previously noted, </w:t>
      </w:r>
      <w:r w:rsidR="00B827D5" w:rsidRPr="46828A44">
        <w:rPr>
          <w:rFonts w:ascii="Times New Roman" w:hAnsi="Times New Roman" w:cs="Times New Roman"/>
          <w:sz w:val="22"/>
          <w:szCs w:val="22"/>
          <w:lang w:val="en-US"/>
        </w:rPr>
        <w:t xml:space="preserve">there are </w:t>
      </w:r>
      <w:r w:rsidRPr="46828A44">
        <w:rPr>
          <w:rFonts w:ascii="Times New Roman" w:hAnsi="Times New Roman" w:cs="Times New Roman"/>
          <w:sz w:val="22"/>
          <w:szCs w:val="22"/>
        </w:rPr>
        <w:t xml:space="preserve">additional areas of thematic and substantive work that may potentially be pursued, </w:t>
      </w:r>
      <w:r w:rsidRPr="46828A44">
        <w:rPr>
          <w:rFonts w:ascii="Times New Roman" w:hAnsi="Times New Roman" w:cs="Times New Roman"/>
          <w:sz w:val="22"/>
          <w:szCs w:val="22"/>
          <w:lang w:val="en-US"/>
        </w:rPr>
        <w:t xml:space="preserve">under the guidance of the Conference of the Parties to the CBD, </w:t>
      </w:r>
      <w:r w:rsidRPr="46828A44">
        <w:rPr>
          <w:rFonts w:ascii="Times New Roman" w:hAnsi="Times New Roman" w:cs="Times New Roman"/>
          <w:sz w:val="22"/>
          <w:szCs w:val="22"/>
        </w:rPr>
        <w:t>which may contribute to the effective implementation of the Agreement.</w:t>
      </w:r>
    </w:p>
    <w:p w14:paraId="40959CCC" w14:textId="0734B221" w:rsidR="007C7238" w:rsidRPr="007D5D9A" w:rsidRDefault="007C7238" w:rsidP="004875C5">
      <w:pPr>
        <w:pStyle w:val="Heading2"/>
        <w:ind w:left="0" w:firstLine="0"/>
      </w:pPr>
      <w:r>
        <w:t>D</w:t>
      </w:r>
      <w:r w:rsidRPr="007D5D9A">
        <w:t>.</w:t>
      </w:r>
      <w:r w:rsidRPr="007D5D9A">
        <w:tab/>
        <w:t xml:space="preserve">Potential </w:t>
      </w:r>
      <w:r>
        <w:t>mechanisms and modalities</w:t>
      </w:r>
      <w:r w:rsidRPr="007D5D9A">
        <w:t xml:space="preserve"> for collaboration and cooperation</w:t>
      </w:r>
    </w:p>
    <w:p w14:paraId="3791E098" w14:textId="7F7438F5" w:rsidR="007C7238" w:rsidRPr="00A14BC3" w:rsidRDefault="00A14BC3" w:rsidP="00E40748">
      <w:pPr>
        <w:pStyle w:val="ListParagraph"/>
        <w:numPr>
          <w:ilvl w:val="1"/>
          <w:numId w:val="27"/>
        </w:numPr>
        <w:tabs>
          <w:tab w:val="left" w:pos="1134"/>
        </w:tabs>
        <w:spacing w:before="120" w:after="120"/>
        <w:ind w:left="567" w:firstLine="0"/>
        <w:contextualSpacing w:val="0"/>
        <w:jc w:val="both"/>
        <w:rPr>
          <w:rFonts w:ascii="Times New Roman" w:hAnsi="Times New Roman" w:cs="Times New Roman"/>
          <w:sz w:val="22"/>
          <w:szCs w:val="22"/>
          <w:lang w:val="en-US"/>
        </w:rPr>
      </w:pPr>
      <w:r w:rsidRPr="46828A44">
        <w:rPr>
          <w:rFonts w:ascii="Times New Roman" w:hAnsi="Times New Roman" w:cs="Times New Roman"/>
          <w:sz w:val="22"/>
          <w:szCs w:val="22"/>
        </w:rPr>
        <w:t xml:space="preserve">There are numerous means to operationalize </w:t>
      </w:r>
      <w:r w:rsidR="002C2013" w:rsidRPr="46828A44">
        <w:rPr>
          <w:rFonts w:ascii="Times New Roman" w:hAnsi="Times New Roman" w:cs="Times New Roman"/>
          <w:sz w:val="22"/>
          <w:szCs w:val="22"/>
        </w:rPr>
        <w:t>cooperation and coordination</w:t>
      </w:r>
      <w:r w:rsidRPr="46828A44">
        <w:rPr>
          <w:rFonts w:ascii="Times New Roman" w:hAnsi="Times New Roman" w:cs="Times New Roman"/>
          <w:sz w:val="22"/>
          <w:szCs w:val="22"/>
        </w:rPr>
        <w:t xml:space="preserve"> with relevant global and regional organizations in the context of the Agreement, including</w:t>
      </w:r>
      <w:r w:rsidR="007A04DE" w:rsidRPr="46828A44">
        <w:rPr>
          <w:rFonts w:ascii="Times New Roman" w:hAnsi="Times New Roman" w:cs="Times New Roman"/>
          <w:sz w:val="22"/>
          <w:szCs w:val="22"/>
        </w:rPr>
        <w:t>:</w:t>
      </w:r>
    </w:p>
    <w:p w14:paraId="40EC03E8" w14:textId="44E8AE11" w:rsidR="00A14BC3" w:rsidRPr="00A14BC3" w:rsidRDefault="00A14BC3" w:rsidP="00E40748">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46828A44">
        <w:rPr>
          <w:rFonts w:ascii="Times New Roman" w:hAnsi="Times New Roman" w:cs="Times New Roman"/>
          <w:color w:val="000000" w:themeColor="text1"/>
          <w:sz w:val="22"/>
          <w:szCs w:val="22"/>
          <w:lang w:val="en-US"/>
        </w:rPr>
        <w:t xml:space="preserve">In cooperation with the secretariat established under the Agreement and, until it commences its functions, with </w:t>
      </w:r>
      <w:r w:rsidR="000D0BD3" w:rsidRPr="46828A44">
        <w:rPr>
          <w:rFonts w:ascii="Times New Roman" w:hAnsi="Times New Roman" w:cs="Times New Roman"/>
          <w:color w:val="000000" w:themeColor="text1"/>
          <w:sz w:val="22"/>
          <w:szCs w:val="22"/>
          <w:lang w:val="en-US"/>
        </w:rPr>
        <w:t>DOALOS</w:t>
      </w:r>
      <w:r w:rsidRPr="46828A44">
        <w:rPr>
          <w:rFonts w:ascii="Times New Roman" w:hAnsi="Times New Roman" w:cs="Times New Roman"/>
          <w:color w:val="000000" w:themeColor="text1"/>
          <w:sz w:val="22"/>
          <w:szCs w:val="22"/>
          <w:lang w:val="en-US"/>
        </w:rPr>
        <w:t>, co-organizing joint expert workshops</w:t>
      </w:r>
      <w:r w:rsidR="5AC0D365" w:rsidRPr="46828A44">
        <w:rPr>
          <w:rFonts w:ascii="Times New Roman" w:hAnsi="Times New Roman" w:cs="Times New Roman"/>
          <w:color w:val="000000" w:themeColor="text1"/>
          <w:sz w:val="22"/>
          <w:szCs w:val="22"/>
          <w:lang w:val="en-US"/>
        </w:rPr>
        <w:t>, including participation from</w:t>
      </w:r>
      <w:r w:rsidRPr="46828A44">
        <w:rPr>
          <w:rFonts w:ascii="Times New Roman" w:hAnsi="Times New Roman" w:cs="Times New Roman"/>
          <w:color w:val="000000" w:themeColor="text1"/>
          <w:sz w:val="22"/>
          <w:szCs w:val="22"/>
          <w:lang w:val="en-US"/>
        </w:rPr>
        <w:t xml:space="preserve"> </w:t>
      </w:r>
      <w:r w:rsidRPr="46828A44">
        <w:rPr>
          <w:rFonts w:ascii="Times New Roman" w:hAnsi="Times New Roman" w:cs="Times New Roman"/>
          <w:color w:val="000000" w:themeColor="text1"/>
          <w:sz w:val="22"/>
          <w:szCs w:val="22"/>
        </w:rPr>
        <w:t>relevant global and regional organizations</w:t>
      </w:r>
      <w:r w:rsidR="0A7AAC55" w:rsidRPr="46828A44">
        <w:rPr>
          <w:rFonts w:ascii="Times New Roman" w:hAnsi="Times New Roman" w:cs="Times New Roman"/>
          <w:color w:val="000000" w:themeColor="text1"/>
          <w:sz w:val="22"/>
          <w:szCs w:val="22"/>
        </w:rPr>
        <w:t>,</w:t>
      </w:r>
      <w:r w:rsidRPr="46828A44">
        <w:rPr>
          <w:rFonts w:ascii="Times New Roman" w:hAnsi="Times New Roman" w:cs="Times New Roman"/>
          <w:color w:val="000000" w:themeColor="text1"/>
          <w:sz w:val="22"/>
          <w:szCs w:val="22"/>
        </w:rPr>
        <w:t xml:space="preserve"> on issues relevant to the Agreement;</w:t>
      </w:r>
    </w:p>
    <w:p w14:paraId="395EC142" w14:textId="77777777" w:rsidR="00A14BC3" w:rsidRPr="00A14BC3" w:rsidRDefault="00A14BC3" w:rsidP="004F1CC1">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00A14BC3">
        <w:rPr>
          <w:rFonts w:ascii="Times New Roman" w:hAnsi="Times New Roman" w:cs="Times New Roman"/>
          <w:color w:val="000000" w:themeColor="text1"/>
          <w:sz w:val="22"/>
          <w:szCs w:val="22"/>
        </w:rPr>
        <w:t>Including specific issues relevant to the Agreement on the agenda</w:t>
      </w:r>
      <w:r w:rsidRPr="00A14BC3" w:rsidDel="008F400C">
        <w:rPr>
          <w:rFonts w:ascii="Times New Roman" w:hAnsi="Times New Roman" w:cs="Times New Roman"/>
          <w:color w:val="000000" w:themeColor="text1"/>
          <w:sz w:val="22"/>
          <w:szCs w:val="22"/>
        </w:rPr>
        <w:t xml:space="preserve"> </w:t>
      </w:r>
      <w:r w:rsidRPr="00A14BC3">
        <w:rPr>
          <w:rFonts w:ascii="Times New Roman" w:hAnsi="Times New Roman" w:cs="Times New Roman"/>
          <w:color w:val="000000" w:themeColor="text1"/>
          <w:sz w:val="22"/>
          <w:szCs w:val="22"/>
        </w:rPr>
        <w:t>of the Sustainable Ocean Initiative Global Dialogue with Regional Seas Organizations and Regional Fishery Bodies;</w:t>
      </w:r>
    </w:p>
    <w:p w14:paraId="0328E2FD" w14:textId="2C7C8124" w:rsidR="00A14BC3" w:rsidRPr="00A14BC3" w:rsidRDefault="00A14BC3" w:rsidP="00E40748">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00A14BC3">
        <w:rPr>
          <w:rFonts w:ascii="Times New Roman" w:hAnsi="Times New Roman" w:cs="Times New Roman"/>
          <w:color w:val="000000" w:themeColor="text1"/>
          <w:sz w:val="22"/>
          <w:szCs w:val="22"/>
        </w:rPr>
        <w:t xml:space="preserve">Exploring possible areas of collaboration among the </w:t>
      </w:r>
      <w:r w:rsidR="00F33F12">
        <w:rPr>
          <w:rFonts w:ascii="Times New Roman" w:hAnsi="Times New Roman" w:cs="Times New Roman"/>
          <w:color w:val="000000" w:themeColor="text1"/>
          <w:sz w:val="22"/>
          <w:szCs w:val="22"/>
        </w:rPr>
        <w:t xml:space="preserve">CBD </w:t>
      </w:r>
      <w:r w:rsidRPr="00A14BC3">
        <w:rPr>
          <w:rFonts w:ascii="Times New Roman" w:hAnsi="Times New Roman" w:cs="Times New Roman"/>
          <w:color w:val="000000" w:themeColor="text1"/>
          <w:sz w:val="22"/>
          <w:szCs w:val="22"/>
        </w:rPr>
        <w:t xml:space="preserve">Secretariat, the </w:t>
      </w:r>
      <w:r w:rsidRPr="00A14BC3">
        <w:rPr>
          <w:rFonts w:ascii="Times New Roman" w:hAnsi="Times New Roman" w:cs="Times New Roman"/>
          <w:color w:val="000000" w:themeColor="text1"/>
          <w:sz w:val="22"/>
          <w:szCs w:val="22"/>
          <w:lang w:val="en-US"/>
        </w:rPr>
        <w:t xml:space="preserve">secretariat established under the Agreement and, until it commences its functions, </w:t>
      </w:r>
      <w:r w:rsidR="07710F81" w:rsidRPr="46828A44">
        <w:rPr>
          <w:rFonts w:ascii="Times New Roman" w:hAnsi="Times New Roman" w:cs="Times New Roman"/>
          <w:color w:val="000000" w:themeColor="text1"/>
          <w:sz w:val="22"/>
          <w:szCs w:val="22"/>
          <w:lang w:val="en-US"/>
        </w:rPr>
        <w:t>DOALOS</w:t>
      </w:r>
      <w:r w:rsidRPr="00A14BC3">
        <w:rPr>
          <w:rFonts w:ascii="Times New Roman" w:hAnsi="Times New Roman" w:cs="Times New Roman"/>
          <w:color w:val="000000" w:themeColor="text1"/>
          <w:sz w:val="22"/>
          <w:szCs w:val="22"/>
          <w:lang w:val="en-US"/>
        </w:rPr>
        <w:t>, and</w:t>
      </w:r>
      <w:r w:rsidRPr="00A14BC3">
        <w:rPr>
          <w:rFonts w:ascii="Times New Roman" w:hAnsi="Times New Roman" w:cs="Times New Roman"/>
          <w:color w:val="000000" w:themeColor="text1"/>
          <w:sz w:val="22"/>
          <w:szCs w:val="22"/>
        </w:rPr>
        <w:t xml:space="preserve"> the secretariats of other biodiversity</w:t>
      </w:r>
      <w:r w:rsidR="00F33F12">
        <w:rPr>
          <w:rFonts w:ascii="Times New Roman" w:hAnsi="Times New Roman" w:cs="Times New Roman"/>
          <w:color w:val="000000" w:themeColor="text1"/>
          <w:sz w:val="22"/>
          <w:szCs w:val="22"/>
        </w:rPr>
        <w:t>-related</w:t>
      </w:r>
      <w:r w:rsidRPr="00A14BC3">
        <w:rPr>
          <w:rFonts w:ascii="Times New Roman" w:hAnsi="Times New Roman" w:cs="Times New Roman"/>
          <w:color w:val="000000" w:themeColor="text1"/>
          <w:sz w:val="22"/>
          <w:szCs w:val="22"/>
        </w:rPr>
        <w:t xml:space="preserve"> conventions on thematic issues relevant to the Agreement</w:t>
      </w:r>
      <w:r w:rsidR="00F33F12">
        <w:rPr>
          <w:rFonts w:ascii="Times New Roman" w:hAnsi="Times New Roman" w:cs="Times New Roman"/>
          <w:color w:val="000000" w:themeColor="text1"/>
          <w:sz w:val="22"/>
          <w:szCs w:val="22"/>
        </w:rPr>
        <w:t>, including, as appropriate,</w:t>
      </w:r>
      <w:r w:rsidRPr="00A14BC3">
        <w:rPr>
          <w:rFonts w:ascii="Times New Roman" w:hAnsi="Times New Roman" w:cs="Times New Roman"/>
          <w:color w:val="000000" w:themeColor="text1"/>
          <w:sz w:val="22"/>
          <w:szCs w:val="22"/>
        </w:rPr>
        <w:t xml:space="preserve"> at meetings of the</w:t>
      </w:r>
      <w:r w:rsidRPr="00A14BC3">
        <w:rPr>
          <w:rFonts w:ascii="Times New Roman" w:hAnsi="Times New Roman" w:cs="Times New Roman"/>
          <w:color w:val="000000" w:themeColor="text1"/>
          <w:sz w:val="22"/>
          <w:szCs w:val="22"/>
          <w:shd w:val="clear" w:color="auto" w:fill="FFFFFF"/>
        </w:rPr>
        <w:t xml:space="preserve"> </w:t>
      </w:r>
      <w:r w:rsidRPr="46828A44">
        <w:rPr>
          <w:rStyle w:val="Emphasis"/>
          <w:rFonts w:ascii="Times New Roman" w:eastAsiaTheme="minorEastAsia" w:hAnsi="Times New Roman" w:cs="Times New Roman"/>
          <w:color w:val="000000" w:themeColor="text1"/>
          <w:sz w:val="22"/>
          <w:szCs w:val="22"/>
          <w:shd w:val="clear" w:color="auto" w:fill="FFFFFF"/>
        </w:rPr>
        <w:t>Liaison Group</w:t>
      </w:r>
      <w:r w:rsidRPr="46828A44">
        <w:rPr>
          <w:rFonts w:ascii="Times New Roman" w:hAnsi="Times New Roman" w:cs="Times New Roman"/>
          <w:i/>
          <w:iCs/>
          <w:color w:val="000000" w:themeColor="text1"/>
          <w:sz w:val="22"/>
          <w:szCs w:val="22"/>
          <w:shd w:val="clear" w:color="auto" w:fill="FFFFFF"/>
        </w:rPr>
        <w:t xml:space="preserve"> </w:t>
      </w:r>
      <w:r w:rsidRPr="46828A44">
        <w:rPr>
          <w:rFonts w:ascii="Times New Roman" w:hAnsi="Times New Roman" w:cs="Times New Roman"/>
          <w:color w:val="000000" w:themeColor="text1"/>
          <w:sz w:val="22"/>
          <w:szCs w:val="22"/>
          <w:shd w:val="clear" w:color="auto" w:fill="FFFFFF"/>
        </w:rPr>
        <w:t>of</w:t>
      </w:r>
      <w:r w:rsidRPr="46828A44">
        <w:rPr>
          <w:rStyle w:val="Emphasis"/>
          <w:rFonts w:ascii="Times New Roman" w:eastAsiaTheme="minorEastAsia" w:hAnsi="Times New Roman" w:cs="Times New Roman"/>
          <w:color w:val="000000" w:themeColor="text1"/>
          <w:sz w:val="22"/>
          <w:szCs w:val="22"/>
          <w:shd w:val="clear" w:color="auto" w:fill="FFFFFF"/>
        </w:rPr>
        <w:t xml:space="preserve"> Biodiversity</w:t>
      </w:r>
      <w:r w:rsidRPr="46828A44">
        <w:rPr>
          <w:rFonts w:ascii="Times New Roman" w:hAnsi="Times New Roman" w:cs="Times New Roman"/>
          <w:i/>
          <w:iCs/>
          <w:color w:val="000000" w:themeColor="text1"/>
          <w:sz w:val="22"/>
          <w:szCs w:val="22"/>
          <w:shd w:val="clear" w:color="auto" w:fill="FFFFFF"/>
        </w:rPr>
        <w:t>-</w:t>
      </w:r>
      <w:r w:rsidRPr="00A14BC3">
        <w:rPr>
          <w:rFonts w:ascii="Times New Roman" w:hAnsi="Times New Roman" w:cs="Times New Roman"/>
          <w:color w:val="000000" w:themeColor="text1"/>
          <w:sz w:val="22"/>
          <w:szCs w:val="22"/>
          <w:shd w:val="clear" w:color="auto" w:fill="FFFFFF"/>
        </w:rPr>
        <w:t xml:space="preserve">related Conventions and the in the Bern Process (a process to facilitate </w:t>
      </w:r>
      <w:r w:rsidRPr="00A14BC3">
        <w:rPr>
          <w:rFonts w:ascii="Times New Roman" w:hAnsi="Times New Roman" w:cs="Times New Roman"/>
          <w:color w:val="171717"/>
          <w:sz w:val="22"/>
          <w:szCs w:val="22"/>
          <w:lang w:val="en-US"/>
        </w:rPr>
        <w:t>cooperation among Parties to the relevant biodiversity-related conventions)</w:t>
      </w:r>
      <w:r w:rsidRPr="00A14BC3">
        <w:rPr>
          <w:rFonts w:ascii="Times New Roman" w:hAnsi="Times New Roman" w:cs="Times New Roman"/>
          <w:color w:val="000000" w:themeColor="text1"/>
          <w:sz w:val="22"/>
          <w:szCs w:val="22"/>
          <w:shd w:val="clear" w:color="auto" w:fill="FFFFFF"/>
        </w:rPr>
        <w:t>;</w:t>
      </w:r>
    </w:p>
    <w:p w14:paraId="5298A780" w14:textId="036DEB71" w:rsidR="00A14BC3" w:rsidRPr="00A14BC3" w:rsidRDefault="00A14BC3" w:rsidP="00E40748">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00A14BC3">
        <w:rPr>
          <w:rFonts w:ascii="Times New Roman" w:hAnsi="Times New Roman" w:cs="Times New Roman"/>
          <w:color w:val="000000" w:themeColor="text1"/>
          <w:sz w:val="22"/>
          <w:szCs w:val="22"/>
          <w:shd w:val="clear" w:color="auto" w:fill="FFFFFF"/>
        </w:rPr>
        <w:t xml:space="preserve">Including matters relevant to both the Convention and </w:t>
      </w:r>
      <w:r w:rsidRPr="00A14BC3">
        <w:rPr>
          <w:rFonts w:ascii="Times New Roman" w:hAnsi="Times New Roman" w:cs="Times New Roman"/>
          <w:sz w:val="22"/>
          <w:szCs w:val="22"/>
        </w:rPr>
        <w:t xml:space="preserve">the Agreement as a standing agenda item to be considered at each meeting of the Subsidiary Body </w:t>
      </w:r>
      <w:r w:rsidR="00E0143E">
        <w:rPr>
          <w:rFonts w:ascii="Times New Roman" w:hAnsi="Times New Roman" w:cs="Times New Roman"/>
          <w:sz w:val="22"/>
          <w:szCs w:val="22"/>
        </w:rPr>
        <w:t xml:space="preserve">on Scientific, Technical and Technological Advice </w:t>
      </w:r>
      <w:r w:rsidRPr="00A14BC3">
        <w:rPr>
          <w:rFonts w:ascii="Times New Roman" w:hAnsi="Times New Roman" w:cs="Times New Roman"/>
          <w:sz w:val="22"/>
          <w:szCs w:val="22"/>
        </w:rPr>
        <w:t>and the Conference of the Parties to the Convention where there is an item on marine and coastal biodiversity;</w:t>
      </w:r>
    </w:p>
    <w:p w14:paraId="455EBE0E" w14:textId="56587A6A" w:rsidR="00A14BC3" w:rsidRPr="00A14BC3" w:rsidRDefault="303E56CF" w:rsidP="00E40748">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46828A44">
        <w:rPr>
          <w:rFonts w:ascii="Times New Roman" w:hAnsi="Times New Roman" w:cs="Times New Roman"/>
          <w:color w:val="000000" w:themeColor="text1"/>
          <w:sz w:val="22"/>
          <w:szCs w:val="22"/>
        </w:rPr>
        <w:t>C</w:t>
      </w:r>
      <w:r w:rsidR="00A14BC3" w:rsidRPr="46828A44">
        <w:rPr>
          <w:rFonts w:ascii="Times New Roman" w:hAnsi="Times New Roman" w:cs="Times New Roman"/>
          <w:color w:val="000000" w:themeColor="text1"/>
          <w:sz w:val="22"/>
          <w:szCs w:val="22"/>
        </w:rPr>
        <w:t>ollaborat</w:t>
      </w:r>
      <w:r w:rsidR="04C87236" w:rsidRPr="46828A44">
        <w:rPr>
          <w:rFonts w:ascii="Times New Roman" w:hAnsi="Times New Roman" w:cs="Times New Roman"/>
          <w:color w:val="000000" w:themeColor="text1"/>
          <w:sz w:val="22"/>
          <w:szCs w:val="22"/>
        </w:rPr>
        <w:t>ing</w:t>
      </w:r>
      <w:r w:rsidR="00A14BC3" w:rsidRPr="46828A44">
        <w:rPr>
          <w:rFonts w:ascii="Times New Roman" w:hAnsi="Times New Roman" w:cs="Times New Roman"/>
          <w:color w:val="000000" w:themeColor="text1"/>
          <w:sz w:val="22"/>
          <w:szCs w:val="22"/>
        </w:rPr>
        <w:t xml:space="preserve"> and coordinat</w:t>
      </w:r>
      <w:r w:rsidR="2C3351A6" w:rsidRPr="46828A44">
        <w:rPr>
          <w:rFonts w:ascii="Times New Roman" w:hAnsi="Times New Roman" w:cs="Times New Roman"/>
          <w:color w:val="000000" w:themeColor="text1"/>
          <w:sz w:val="22"/>
          <w:szCs w:val="22"/>
        </w:rPr>
        <w:t>ing</w:t>
      </w:r>
      <w:r w:rsidR="00A14BC3" w:rsidRPr="46828A44">
        <w:rPr>
          <w:rFonts w:ascii="Times New Roman" w:hAnsi="Times New Roman" w:cs="Times New Roman"/>
          <w:color w:val="000000" w:themeColor="text1"/>
          <w:sz w:val="22"/>
          <w:szCs w:val="22"/>
        </w:rPr>
        <w:t xml:space="preserve"> with relevant global and regional organizations </w:t>
      </w:r>
      <w:r w:rsidR="004F3BD9" w:rsidRPr="46828A44">
        <w:rPr>
          <w:rFonts w:ascii="Times New Roman" w:hAnsi="Times New Roman" w:cs="Times New Roman"/>
          <w:color w:val="000000" w:themeColor="text1"/>
          <w:sz w:val="22"/>
          <w:szCs w:val="22"/>
        </w:rPr>
        <w:t>in</w:t>
      </w:r>
      <w:r w:rsidR="00A14BC3" w:rsidRPr="46828A44">
        <w:rPr>
          <w:rFonts w:ascii="Times New Roman" w:hAnsi="Times New Roman" w:cs="Times New Roman"/>
          <w:color w:val="000000" w:themeColor="text1"/>
          <w:sz w:val="22"/>
          <w:szCs w:val="22"/>
        </w:rPr>
        <w:t xml:space="preserve"> contribut</w:t>
      </w:r>
      <w:r w:rsidR="004F3BD9" w:rsidRPr="46828A44">
        <w:rPr>
          <w:rFonts w:ascii="Times New Roman" w:hAnsi="Times New Roman" w:cs="Times New Roman"/>
          <w:color w:val="000000" w:themeColor="text1"/>
          <w:sz w:val="22"/>
          <w:szCs w:val="22"/>
        </w:rPr>
        <w:t>ing</w:t>
      </w:r>
      <w:r w:rsidR="00A14BC3" w:rsidRPr="46828A44">
        <w:rPr>
          <w:rFonts w:ascii="Times New Roman" w:hAnsi="Times New Roman" w:cs="Times New Roman"/>
          <w:color w:val="000000" w:themeColor="text1"/>
          <w:sz w:val="22"/>
          <w:szCs w:val="22"/>
          <w:lang w:val="en-US"/>
        </w:rPr>
        <w:t xml:space="preserve"> </w:t>
      </w:r>
      <w:r w:rsidR="00A14BC3" w:rsidRPr="46828A44">
        <w:rPr>
          <w:rFonts w:ascii="Times New Roman" w:hAnsi="Times New Roman" w:cs="Times New Roman"/>
          <w:color w:val="000000" w:themeColor="text1"/>
          <w:sz w:val="22"/>
          <w:szCs w:val="22"/>
        </w:rPr>
        <w:t xml:space="preserve">to the </w:t>
      </w:r>
      <w:r w:rsidR="322148D6" w:rsidRPr="46828A44">
        <w:rPr>
          <w:rFonts w:ascii="Times New Roman" w:hAnsi="Times New Roman" w:cs="Times New Roman"/>
          <w:color w:val="000000" w:themeColor="text1"/>
          <w:sz w:val="22"/>
          <w:szCs w:val="22"/>
        </w:rPr>
        <w:t xml:space="preserve">scientific work under the Agreement and relevant </w:t>
      </w:r>
      <w:r w:rsidR="00A14BC3" w:rsidRPr="46828A44">
        <w:rPr>
          <w:rFonts w:ascii="Times New Roman" w:hAnsi="Times New Roman" w:cs="Times New Roman"/>
          <w:color w:val="000000" w:themeColor="text1"/>
          <w:sz w:val="22"/>
          <w:szCs w:val="22"/>
        </w:rPr>
        <w:t xml:space="preserve">work </w:t>
      </w:r>
      <w:r w:rsidR="4A4E0386" w:rsidRPr="46828A44">
        <w:rPr>
          <w:rFonts w:ascii="Times New Roman" w:hAnsi="Times New Roman" w:cs="Times New Roman"/>
          <w:color w:val="000000" w:themeColor="text1"/>
          <w:sz w:val="22"/>
          <w:szCs w:val="22"/>
        </w:rPr>
        <w:t>under</w:t>
      </w:r>
      <w:r w:rsidR="00A14BC3" w:rsidRPr="46828A44">
        <w:rPr>
          <w:rFonts w:ascii="Times New Roman" w:hAnsi="Times New Roman" w:cs="Times New Roman"/>
          <w:color w:val="000000" w:themeColor="text1"/>
          <w:sz w:val="22"/>
          <w:szCs w:val="22"/>
        </w:rPr>
        <w:t xml:space="preserve"> the Regular Process for Global Reporting and Assessment of the State of the Marine Environment, including Socioeconomic Aspects;</w:t>
      </w:r>
    </w:p>
    <w:p w14:paraId="5EAE06C9" w14:textId="77777777" w:rsidR="00A14BC3" w:rsidRPr="00A14BC3" w:rsidRDefault="00A14BC3" w:rsidP="004F1CC1">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00A14BC3">
        <w:rPr>
          <w:rFonts w:ascii="Times New Roman" w:hAnsi="Times New Roman" w:cs="Times New Roman"/>
          <w:color w:val="000000" w:themeColor="text1"/>
          <w:sz w:val="22"/>
          <w:szCs w:val="22"/>
        </w:rPr>
        <w:t>Contributing to increasing coordination and cooperation with relevant global and regional organizations on activities linked to issues relevant to the Agreement by regularly sharing information, including through UN-Oceans;</w:t>
      </w:r>
    </w:p>
    <w:p w14:paraId="554735D8" w14:textId="2B74B68C" w:rsidR="00A14BC3" w:rsidRPr="00A14BC3" w:rsidRDefault="00A14BC3" w:rsidP="004F1CC1">
      <w:pPr>
        <w:pStyle w:val="ListParagraph"/>
        <w:numPr>
          <w:ilvl w:val="3"/>
          <w:numId w:val="27"/>
        </w:numPr>
        <w:tabs>
          <w:tab w:val="left" w:pos="1701"/>
        </w:tabs>
        <w:spacing w:before="120" w:after="120"/>
        <w:ind w:left="567" w:firstLine="567"/>
        <w:contextualSpacing w:val="0"/>
        <w:jc w:val="both"/>
        <w:rPr>
          <w:rFonts w:ascii="Times New Roman" w:hAnsi="Times New Roman" w:cs="Times New Roman"/>
          <w:color w:val="000000" w:themeColor="text1"/>
          <w:sz w:val="22"/>
          <w:szCs w:val="22"/>
        </w:rPr>
      </w:pPr>
      <w:r w:rsidRPr="00A14BC3">
        <w:rPr>
          <w:rFonts w:ascii="Times New Roman" w:hAnsi="Times New Roman" w:cs="Times New Roman"/>
          <w:color w:val="000000" w:themeColor="text1"/>
          <w:sz w:val="22"/>
          <w:szCs w:val="22"/>
          <w:lang w:val="en-US"/>
        </w:rPr>
        <w:t>Contributing to the work undertaken under the Agreement, including by providing information and sharing expertise, in accordance with the procedures established thereunder, as well as any processes on cooperation and coordination with and among relevant instruments</w:t>
      </w:r>
      <w:r w:rsidR="000D0BD3">
        <w:rPr>
          <w:rFonts w:ascii="Times New Roman" w:hAnsi="Times New Roman" w:cs="Times New Roman"/>
          <w:color w:val="000000" w:themeColor="text1"/>
          <w:sz w:val="22"/>
          <w:szCs w:val="22"/>
          <w:lang w:val="en-US"/>
        </w:rPr>
        <w:t xml:space="preserve">, </w:t>
      </w:r>
      <w:r w:rsidRPr="00A14BC3">
        <w:rPr>
          <w:rFonts w:ascii="Times New Roman" w:hAnsi="Times New Roman" w:cs="Times New Roman"/>
          <w:color w:val="000000" w:themeColor="text1"/>
          <w:sz w:val="22"/>
          <w:szCs w:val="22"/>
          <w:lang w:val="en-US"/>
        </w:rPr>
        <w:t>frameworks and bodies that may be established by the Conference of the Parties to the Agreement</w:t>
      </w:r>
      <w:r w:rsidRPr="00A14BC3">
        <w:rPr>
          <w:rFonts w:ascii="Times New Roman" w:hAnsi="Times New Roman" w:cs="Times New Roman"/>
          <w:color w:val="000000" w:themeColor="text1"/>
          <w:sz w:val="22"/>
          <w:szCs w:val="22"/>
        </w:rPr>
        <w:t>;</w:t>
      </w:r>
    </w:p>
    <w:p w14:paraId="29D5E41C" w14:textId="3F731E8A" w:rsidR="00537248" w:rsidRPr="00A14BC3" w:rsidRDefault="00A14BC3" w:rsidP="00722935">
      <w:pPr>
        <w:pStyle w:val="ListParagraph"/>
        <w:numPr>
          <w:ilvl w:val="3"/>
          <w:numId w:val="27"/>
        </w:numPr>
        <w:tabs>
          <w:tab w:val="left" w:pos="1701"/>
        </w:tabs>
        <w:ind w:left="567" w:firstLine="567"/>
        <w:jc w:val="both"/>
        <w:rPr>
          <w:rFonts w:ascii="Times New Roman" w:hAnsi="Times New Roman" w:cs="Times New Roman"/>
          <w:color w:val="000000" w:themeColor="text1"/>
          <w:sz w:val="22"/>
          <w:szCs w:val="22"/>
        </w:rPr>
      </w:pPr>
      <w:r w:rsidRPr="46828A44">
        <w:rPr>
          <w:rFonts w:ascii="Times New Roman" w:hAnsi="Times New Roman" w:cs="Times New Roman"/>
          <w:color w:val="000000" w:themeColor="text1"/>
          <w:sz w:val="22"/>
          <w:szCs w:val="22"/>
        </w:rPr>
        <w:t xml:space="preserve">Delivering joint capacity-building activities with the secretariat established under the Agreement and, until it commences its functions, with </w:t>
      </w:r>
      <w:r w:rsidR="000D0BD3" w:rsidRPr="46828A44">
        <w:rPr>
          <w:rFonts w:ascii="Times New Roman" w:hAnsi="Times New Roman" w:cs="Times New Roman"/>
          <w:color w:val="000000" w:themeColor="text1"/>
          <w:sz w:val="22"/>
          <w:szCs w:val="22"/>
        </w:rPr>
        <w:t>DOALOS</w:t>
      </w:r>
      <w:r w:rsidRPr="46828A44">
        <w:rPr>
          <w:rFonts w:ascii="Times New Roman" w:hAnsi="Times New Roman" w:cs="Times New Roman"/>
          <w:color w:val="000000" w:themeColor="text1"/>
          <w:sz w:val="22"/>
          <w:szCs w:val="22"/>
        </w:rPr>
        <w:t xml:space="preserve">, as well as with relevant global and </w:t>
      </w:r>
      <w:r w:rsidRPr="46828A44">
        <w:rPr>
          <w:rFonts w:ascii="Times New Roman" w:hAnsi="Times New Roman" w:cs="Times New Roman"/>
          <w:color w:val="000000" w:themeColor="text1"/>
          <w:sz w:val="22"/>
          <w:szCs w:val="22"/>
        </w:rPr>
        <w:lastRenderedPageBreak/>
        <w:t xml:space="preserve">regional organizations, in the context of the long-term strategic framework for capacity-building and development, to promote the implementation of </w:t>
      </w:r>
      <w:r w:rsidR="007A5DF7">
        <w:rPr>
          <w:rFonts w:ascii="Times New Roman" w:hAnsi="Times New Roman" w:cs="Times New Roman"/>
          <w:color w:val="000000" w:themeColor="text1"/>
          <w:sz w:val="22"/>
          <w:szCs w:val="22"/>
        </w:rPr>
        <w:t xml:space="preserve">the Agreement and of </w:t>
      </w:r>
      <w:r w:rsidRPr="46828A44">
        <w:rPr>
          <w:rFonts w:ascii="Times New Roman" w:hAnsi="Times New Roman" w:cs="Times New Roman"/>
          <w:color w:val="000000" w:themeColor="text1"/>
          <w:sz w:val="22"/>
          <w:szCs w:val="22"/>
        </w:rPr>
        <w:t>the Framework.</w:t>
      </w:r>
    </w:p>
    <w:p w14:paraId="0D9CC39E" w14:textId="77777777" w:rsidR="002B559C" w:rsidRPr="00A14BC3" w:rsidRDefault="00ED3849" w:rsidP="005C76FB">
      <w:pPr>
        <w:pStyle w:val="Para1"/>
        <w:numPr>
          <w:ilvl w:val="0"/>
          <w:numId w:val="0"/>
        </w:numPr>
        <w:ind w:left="567"/>
        <w:jc w:val="center"/>
        <w:rPr>
          <w:szCs w:val="22"/>
        </w:rPr>
      </w:pPr>
      <w:r w:rsidRPr="00A14BC3">
        <w:rPr>
          <w:szCs w:val="22"/>
        </w:rPr>
        <w:t>__________</w:t>
      </w:r>
    </w:p>
    <w:sectPr w:rsidR="002B559C" w:rsidRPr="00A14BC3" w:rsidSect="00140E4E">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22E1D2" w14:textId="77777777" w:rsidR="00772E70" w:rsidRDefault="00772E70" w:rsidP="00A96B21">
      <w:r>
        <w:separator/>
      </w:r>
    </w:p>
  </w:endnote>
  <w:endnote w:type="continuationSeparator" w:id="0">
    <w:p w14:paraId="73D631AC" w14:textId="77777777" w:rsidR="00772E70" w:rsidRDefault="00772E70" w:rsidP="00A96B21">
      <w:r>
        <w:continuationSeparator/>
      </w:r>
    </w:p>
  </w:endnote>
  <w:endnote w:type="continuationNotice" w:id="1">
    <w:p w14:paraId="5CDE0569" w14:textId="77777777" w:rsidR="00772E70" w:rsidRDefault="00772E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85A469C" w14:textId="77777777" w:rsidR="002B559C" w:rsidRDefault="002B559C">
            <w:pPr>
              <w:pStyle w:val="Footer"/>
            </w:pPr>
            <w:r w:rsidRPr="002B559C">
              <w:rPr>
                <w:color w:val="2B579A"/>
                <w:sz w:val="20"/>
                <w:szCs w:val="20"/>
                <w:shd w:val="clear" w:color="auto" w:fill="E6E6E6"/>
              </w:rPr>
              <w:fldChar w:fldCharType="begin"/>
            </w:r>
            <w:r w:rsidRPr="002B559C">
              <w:rPr>
                <w:sz w:val="20"/>
                <w:szCs w:val="20"/>
              </w:rPr>
              <w:instrText xml:space="preserve"> PAGE </w:instrText>
            </w:r>
            <w:r w:rsidRPr="002B559C">
              <w:rPr>
                <w:color w:val="2B579A"/>
                <w:sz w:val="20"/>
                <w:szCs w:val="20"/>
                <w:shd w:val="clear" w:color="auto" w:fill="E6E6E6"/>
              </w:rPr>
              <w:fldChar w:fldCharType="separate"/>
            </w:r>
            <w:r w:rsidRPr="002B559C">
              <w:rPr>
                <w:noProof/>
                <w:sz w:val="20"/>
                <w:szCs w:val="20"/>
              </w:rPr>
              <w:t>2</w:t>
            </w:r>
            <w:r w:rsidRPr="002B559C">
              <w:rPr>
                <w:color w:val="2B579A"/>
                <w:sz w:val="20"/>
                <w:szCs w:val="20"/>
                <w:shd w:val="clear" w:color="auto" w:fill="E6E6E6"/>
              </w:rPr>
              <w:fldChar w:fldCharType="end"/>
            </w:r>
            <w:r w:rsidRPr="002B559C">
              <w:rPr>
                <w:sz w:val="20"/>
                <w:szCs w:val="20"/>
              </w:rPr>
              <w:t>/</w:t>
            </w:r>
            <w:r w:rsidRPr="002B559C">
              <w:rPr>
                <w:color w:val="2B579A"/>
                <w:sz w:val="20"/>
                <w:szCs w:val="20"/>
                <w:shd w:val="clear" w:color="auto" w:fill="E6E6E6"/>
              </w:rPr>
              <w:fldChar w:fldCharType="begin"/>
            </w:r>
            <w:r w:rsidRPr="002B559C">
              <w:rPr>
                <w:sz w:val="20"/>
                <w:szCs w:val="20"/>
              </w:rPr>
              <w:instrText xml:space="preserve"> NUMPAGES  </w:instrText>
            </w:r>
            <w:r w:rsidRPr="002B559C">
              <w:rPr>
                <w:color w:val="2B579A"/>
                <w:sz w:val="20"/>
                <w:szCs w:val="20"/>
                <w:shd w:val="clear" w:color="auto" w:fill="E6E6E6"/>
              </w:rPr>
              <w:fldChar w:fldCharType="separate"/>
            </w:r>
            <w:r w:rsidRPr="002B559C">
              <w:rPr>
                <w:noProof/>
                <w:sz w:val="20"/>
                <w:szCs w:val="20"/>
              </w:rPr>
              <w:t>2</w:t>
            </w:r>
            <w:r w:rsidRPr="002B559C">
              <w:rPr>
                <w:color w:val="2B579A"/>
                <w:sz w:val="20"/>
                <w:szCs w:val="20"/>
                <w:shd w:val="clear" w:color="auto" w:fill="E6E6E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FD1A7B2" w14:textId="77777777" w:rsidR="002B559C" w:rsidRDefault="002B559C" w:rsidP="002B559C">
            <w:pPr>
              <w:pStyle w:val="Footer"/>
              <w:jc w:val="right"/>
            </w:pPr>
            <w:r w:rsidRPr="002B559C">
              <w:rPr>
                <w:color w:val="2B579A"/>
                <w:sz w:val="20"/>
                <w:szCs w:val="20"/>
                <w:shd w:val="clear" w:color="auto" w:fill="E6E6E6"/>
              </w:rPr>
              <w:fldChar w:fldCharType="begin"/>
            </w:r>
            <w:r w:rsidRPr="002B559C">
              <w:rPr>
                <w:sz w:val="20"/>
                <w:szCs w:val="20"/>
              </w:rPr>
              <w:instrText xml:space="preserve"> PAGE </w:instrText>
            </w:r>
            <w:r w:rsidRPr="002B559C">
              <w:rPr>
                <w:color w:val="2B579A"/>
                <w:sz w:val="20"/>
                <w:szCs w:val="20"/>
                <w:shd w:val="clear" w:color="auto" w:fill="E6E6E6"/>
              </w:rPr>
              <w:fldChar w:fldCharType="separate"/>
            </w:r>
            <w:r w:rsidRPr="002B559C">
              <w:rPr>
                <w:noProof/>
                <w:sz w:val="20"/>
                <w:szCs w:val="20"/>
              </w:rPr>
              <w:t>2</w:t>
            </w:r>
            <w:r w:rsidRPr="002B559C">
              <w:rPr>
                <w:color w:val="2B579A"/>
                <w:sz w:val="20"/>
                <w:szCs w:val="20"/>
                <w:shd w:val="clear" w:color="auto" w:fill="E6E6E6"/>
              </w:rPr>
              <w:fldChar w:fldCharType="end"/>
            </w:r>
            <w:r w:rsidRPr="002B559C">
              <w:rPr>
                <w:sz w:val="20"/>
                <w:szCs w:val="20"/>
              </w:rPr>
              <w:t>/</w:t>
            </w:r>
            <w:r w:rsidRPr="002B559C">
              <w:rPr>
                <w:color w:val="2B579A"/>
                <w:sz w:val="20"/>
                <w:szCs w:val="20"/>
                <w:shd w:val="clear" w:color="auto" w:fill="E6E6E6"/>
              </w:rPr>
              <w:fldChar w:fldCharType="begin"/>
            </w:r>
            <w:r w:rsidRPr="002B559C">
              <w:rPr>
                <w:sz w:val="20"/>
                <w:szCs w:val="20"/>
              </w:rPr>
              <w:instrText xml:space="preserve"> NUMPAGES  </w:instrText>
            </w:r>
            <w:r w:rsidRPr="002B559C">
              <w:rPr>
                <w:color w:val="2B579A"/>
                <w:sz w:val="20"/>
                <w:szCs w:val="20"/>
                <w:shd w:val="clear" w:color="auto" w:fill="E6E6E6"/>
              </w:rPr>
              <w:fldChar w:fldCharType="separate"/>
            </w:r>
            <w:r w:rsidRPr="002B559C">
              <w:rPr>
                <w:noProof/>
                <w:sz w:val="20"/>
                <w:szCs w:val="20"/>
              </w:rPr>
              <w:t>2</w:t>
            </w:r>
            <w:r w:rsidRPr="002B559C">
              <w:rPr>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5FB62" w14:textId="77777777" w:rsidR="00772E70" w:rsidRDefault="00772E70" w:rsidP="00A96B21">
      <w:r>
        <w:separator/>
      </w:r>
    </w:p>
  </w:footnote>
  <w:footnote w:type="continuationSeparator" w:id="0">
    <w:p w14:paraId="04990588" w14:textId="77777777" w:rsidR="00772E70" w:rsidRDefault="00772E70" w:rsidP="00A96B21">
      <w:r>
        <w:continuationSeparator/>
      </w:r>
    </w:p>
  </w:footnote>
  <w:footnote w:type="continuationNotice" w:id="1">
    <w:p w14:paraId="2CD8F99B" w14:textId="77777777" w:rsidR="00772E70" w:rsidRDefault="00772E70"/>
  </w:footnote>
  <w:footnote w:id="2">
    <w:p w14:paraId="03FC6393" w14:textId="30265E2C" w:rsidR="00A96B21" w:rsidRPr="0098778C" w:rsidRDefault="00A96B21" w:rsidP="00D71FFB">
      <w:pPr>
        <w:pStyle w:val="Footnote"/>
      </w:pPr>
      <w:r w:rsidRPr="0098778C">
        <w:rPr>
          <w:rStyle w:val="FootnoteReference"/>
        </w:rPr>
        <w:t>*</w:t>
      </w:r>
      <w:r w:rsidRPr="0098778C">
        <w:t xml:space="preserve"> CBD/</w:t>
      </w:r>
      <w:r w:rsidR="004335E2" w:rsidRPr="0098778C">
        <w:t>SBSTTA/2</w:t>
      </w:r>
      <w:r w:rsidR="00BA4389">
        <w:t>6</w:t>
      </w:r>
      <w:r w:rsidR="004335E2" w:rsidRPr="0098778C">
        <w:t>/1.</w:t>
      </w:r>
    </w:p>
  </w:footnote>
  <w:footnote w:id="3">
    <w:p w14:paraId="23A02B64" w14:textId="0A0C1A9B" w:rsidR="0098778C" w:rsidRPr="0098778C" w:rsidRDefault="0098778C">
      <w:pPr>
        <w:pStyle w:val="FootnoteText"/>
        <w:rPr>
          <w:sz w:val="18"/>
          <w:szCs w:val="18"/>
          <w:lang w:val="en-US"/>
        </w:rPr>
      </w:pPr>
      <w:r w:rsidRPr="0098778C">
        <w:rPr>
          <w:rStyle w:val="FootnoteReference"/>
          <w:sz w:val="18"/>
          <w:szCs w:val="18"/>
        </w:rPr>
        <w:t>**</w:t>
      </w:r>
      <w:r w:rsidRPr="0098778C">
        <w:rPr>
          <w:sz w:val="18"/>
          <w:szCs w:val="18"/>
        </w:rPr>
        <w:t xml:space="preserve"> The present document is being issued without formal editing.</w:t>
      </w:r>
    </w:p>
  </w:footnote>
  <w:footnote w:id="4">
    <w:p w14:paraId="6527713F" w14:textId="77777777" w:rsidR="009606F9" w:rsidRPr="0098778C" w:rsidRDefault="009606F9" w:rsidP="009606F9">
      <w:pPr>
        <w:pStyle w:val="FootnoteText"/>
        <w:rPr>
          <w:sz w:val="18"/>
          <w:szCs w:val="18"/>
          <w:lang w:val="en-US"/>
        </w:rPr>
      </w:pPr>
      <w:r w:rsidRPr="0098778C">
        <w:rPr>
          <w:rStyle w:val="FootnoteReference"/>
          <w:sz w:val="18"/>
          <w:szCs w:val="18"/>
        </w:rPr>
        <w:footnoteRef/>
      </w:r>
      <w:r w:rsidRPr="0098778C">
        <w:rPr>
          <w:sz w:val="18"/>
          <w:szCs w:val="18"/>
        </w:rPr>
        <w:t xml:space="preserve"> Principle 15 of the Rio Declaration on Environment and Development</w:t>
      </w:r>
    </w:p>
  </w:footnote>
  <w:footnote w:id="5">
    <w:p w14:paraId="35305B79" w14:textId="77777777" w:rsidR="009606F9" w:rsidRPr="00A9233E" w:rsidRDefault="009606F9" w:rsidP="009606F9">
      <w:pPr>
        <w:pStyle w:val="FootnoteText"/>
        <w:rPr>
          <w:lang w:val="en-US"/>
        </w:rPr>
      </w:pPr>
      <w:r w:rsidRPr="0098778C">
        <w:rPr>
          <w:rStyle w:val="FootnoteReference"/>
          <w:sz w:val="18"/>
          <w:szCs w:val="18"/>
        </w:rPr>
        <w:footnoteRef/>
      </w:r>
      <w:r w:rsidRPr="0098778C">
        <w:rPr>
          <w:sz w:val="18"/>
          <w:szCs w:val="18"/>
        </w:rPr>
        <w:t xml:space="preserve"> In this decision, free, prior and informed consent refers to the tripartite terminology of “prior and informed consent” or “free, prior and informed consent” or “approval and involvement”.</w:t>
      </w:r>
    </w:p>
  </w:footnote>
  <w:footnote w:id="6">
    <w:p w14:paraId="02768C60" w14:textId="77777777" w:rsidR="009606F9" w:rsidRPr="00DE383D" w:rsidRDefault="009606F9" w:rsidP="009606F9">
      <w:pPr>
        <w:pStyle w:val="FootnoteText"/>
        <w:rPr>
          <w:lang w:val="en-US"/>
        </w:rPr>
      </w:pPr>
      <w:r>
        <w:rPr>
          <w:rStyle w:val="FootnoteReference"/>
        </w:rPr>
        <w:footnoteRef/>
      </w:r>
      <w:r>
        <w:t xml:space="preserve"> United Nations, Treaty Series, vol. 1833, No. 31363.</w:t>
      </w:r>
    </w:p>
  </w:footnote>
  <w:footnote w:id="7">
    <w:p w14:paraId="72FB3EEE" w14:textId="77777777" w:rsidR="00403B9A" w:rsidRPr="00EA50C5" w:rsidRDefault="00403B9A" w:rsidP="00403B9A">
      <w:pPr>
        <w:pStyle w:val="FootnoteText"/>
        <w:rPr>
          <w:lang w:val="en-US"/>
        </w:rPr>
      </w:pPr>
      <w:r>
        <w:rPr>
          <w:rStyle w:val="FootnoteReference"/>
        </w:rPr>
        <w:footnoteRef/>
      </w:r>
      <w:r>
        <w:t xml:space="preserve"> United Nations Treaty Collection, Agreement under the United Nations Convention on the Law of the Sea on the Conservation and Sustainable Use of Marine Biological Diversity of Areas beyond National Jurisdiction, see </w:t>
      </w:r>
      <w:r w:rsidRPr="00CD67AD">
        <w:t>https://treaties.un.org/Pages/ViewDetails.aspx?src=TREATY&amp;mtdsg_no=XXI-10&amp;chapter=21&amp;clang=_en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0B946A55" w14:textId="1E03B8C1"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025B3">
          <w:rPr>
            <w:sz w:val="20"/>
            <w:szCs w:val="20"/>
            <w:lang w:val="fr-FR"/>
          </w:rPr>
          <w:t>CBD/SBSTTA/26/INF/8</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CCF3B8D" w14:textId="0DF2FEE5" w:rsidR="002B559C" w:rsidRPr="002B559C" w:rsidRDefault="007025B3" w:rsidP="002B559C">
        <w:pPr>
          <w:pStyle w:val="Header"/>
          <w:pBdr>
            <w:bottom w:val="single" w:sz="4" w:space="1" w:color="auto"/>
          </w:pBdr>
          <w:spacing w:after="240"/>
          <w:jc w:val="right"/>
          <w:rPr>
            <w:sz w:val="20"/>
            <w:szCs w:val="20"/>
            <w:lang w:val="fr-FR"/>
          </w:rPr>
        </w:pPr>
        <w:r>
          <w:rPr>
            <w:sz w:val="20"/>
            <w:szCs w:val="20"/>
            <w:lang w:val="fr-FR"/>
          </w:rPr>
          <w:t>CBD/SBSTTA/26/INF/8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1C264AB2"/>
    <w:lvl w:ilvl="0" w:tplc="FFFFFFFF">
      <w:start w:val="1"/>
      <w:numFmt w:val="decimal"/>
      <w:lvlText w:val="%1."/>
      <w:lvlJc w:val="left"/>
      <w:pPr>
        <w:ind w:left="927" w:hanging="360"/>
      </w:pPr>
      <w:rPr>
        <w:rFonts w:hint="default"/>
      </w:rPr>
    </w:lvl>
    <w:lvl w:ilvl="1" w:tplc="74F8D346">
      <w:start w:val="10"/>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B643160"/>
    <w:multiLevelType w:val="hybridMultilevel"/>
    <w:tmpl w:val="6548F90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3B5106"/>
    <w:multiLevelType w:val="hybridMultilevel"/>
    <w:tmpl w:val="2B0A9096"/>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3" w15:restartNumberingAfterBreak="0">
    <w:nsid w:val="0EB27BD0"/>
    <w:multiLevelType w:val="hybridMultilevel"/>
    <w:tmpl w:val="487071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8322FF5"/>
    <w:multiLevelType w:val="hybridMultilevel"/>
    <w:tmpl w:val="22AC96F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BE47632"/>
    <w:multiLevelType w:val="hybridMultilevel"/>
    <w:tmpl w:val="21E49BFA"/>
    <w:lvl w:ilvl="0" w:tplc="AE12657E">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0" w15:restartNumberingAfterBreak="0">
    <w:nsid w:val="2DB12CC8"/>
    <w:multiLevelType w:val="hybridMultilevel"/>
    <w:tmpl w:val="BCCA0438"/>
    <w:lvl w:ilvl="0" w:tplc="322C4094">
      <w:start w:val="1"/>
      <w:numFmt w:val="lowerLetter"/>
      <w:lvlText w:val="(%1)"/>
      <w:lvlJc w:val="left"/>
      <w:pPr>
        <w:ind w:left="1694" w:hanging="5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2E965990"/>
    <w:multiLevelType w:val="hybridMultilevel"/>
    <w:tmpl w:val="BCCA0438"/>
    <w:lvl w:ilvl="0" w:tplc="FFFFFFFF">
      <w:start w:val="1"/>
      <w:numFmt w:val="lowerLetter"/>
      <w:lvlText w:val="(%1)"/>
      <w:lvlJc w:val="left"/>
      <w:pPr>
        <w:ind w:left="1694" w:hanging="5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 w15:restartNumberingAfterBreak="0">
    <w:nsid w:val="2EF53BE1"/>
    <w:multiLevelType w:val="hybridMultilevel"/>
    <w:tmpl w:val="B1CEB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278F9"/>
    <w:multiLevelType w:val="hybridMultilevel"/>
    <w:tmpl w:val="BCCA0438"/>
    <w:lvl w:ilvl="0" w:tplc="FFFFFFFF">
      <w:start w:val="1"/>
      <w:numFmt w:val="lowerLetter"/>
      <w:lvlText w:val="(%1)"/>
      <w:lvlJc w:val="left"/>
      <w:pPr>
        <w:ind w:left="1694" w:hanging="5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3AAC08C8"/>
    <w:multiLevelType w:val="hybridMultilevel"/>
    <w:tmpl w:val="1A9C26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4C4B0C"/>
    <w:multiLevelType w:val="hybridMultilevel"/>
    <w:tmpl w:val="C450D2D2"/>
    <w:lvl w:ilvl="0" w:tplc="FFFFFFFF">
      <w:start w:val="1"/>
      <w:numFmt w:val="decimal"/>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94205E"/>
    <w:multiLevelType w:val="hybridMultilevel"/>
    <w:tmpl w:val="D5165A82"/>
    <w:lvl w:ilvl="0" w:tplc="FFFFFFFF">
      <w:start w:val="1"/>
      <w:numFmt w:val="decimal"/>
      <w:lvlText w:val="%1."/>
      <w:lvlJc w:val="left"/>
      <w:pPr>
        <w:ind w:left="1647"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03A0EFF"/>
    <w:multiLevelType w:val="hybridMultilevel"/>
    <w:tmpl w:val="03226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7456D"/>
    <w:multiLevelType w:val="hybridMultilevel"/>
    <w:tmpl w:val="60ECA642"/>
    <w:lvl w:ilvl="0" w:tplc="00866104">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5410287A"/>
    <w:multiLevelType w:val="hybridMultilevel"/>
    <w:tmpl w:val="2A94BEFE"/>
    <w:lvl w:ilvl="0" w:tplc="FFFFFFFF">
      <w:start w:val="1"/>
      <w:numFmt w:val="decimal"/>
      <w:lvlText w:val="%1."/>
      <w:lvlJc w:val="left"/>
      <w:pPr>
        <w:ind w:left="1647"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543A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B905F81"/>
    <w:multiLevelType w:val="hybridMultilevel"/>
    <w:tmpl w:val="BCCA0438"/>
    <w:lvl w:ilvl="0" w:tplc="FFFFFFFF">
      <w:start w:val="1"/>
      <w:numFmt w:val="lowerLetter"/>
      <w:lvlText w:val="(%1)"/>
      <w:lvlJc w:val="left"/>
      <w:pPr>
        <w:ind w:left="1694" w:hanging="5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5F9053DA"/>
    <w:multiLevelType w:val="hybridMultilevel"/>
    <w:tmpl w:val="321CD9EA"/>
    <w:lvl w:ilvl="0" w:tplc="FFFFFFFF">
      <w:start w:val="1"/>
      <w:numFmt w:val="decimal"/>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990E92"/>
    <w:multiLevelType w:val="hybridMultilevel"/>
    <w:tmpl w:val="2C82D9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8B70991"/>
    <w:multiLevelType w:val="hybridMultilevel"/>
    <w:tmpl w:val="40263FFA"/>
    <w:lvl w:ilvl="0" w:tplc="71600B4E">
      <w:start w:val="1"/>
      <w:numFmt w:val="decimal"/>
      <w:pStyle w:val="Para1"/>
      <w:lvlText w:val="%1."/>
      <w:lvlJc w:val="left"/>
      <w:pPr>
        <w:ind w:left="786" w:hanging="360"/>
      </w:pPr>
      <w:rPr>
        <w:rFonts w:hint="default"/>
      </w:rPr>
    </w:lvl>
    <w:lvl w:ilvl="1" w:tplc="444A2628">
      <w:start w:val="1"/>
      <w:numFmt w:val="lowerLetter"/>
      <w:lvlText w:val="%2."/>
      <w:lvlJc w:val="left"/>
      <w:pPr>
        <w:ind w:left="1647"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A9B7C63"/>
    <w:multiLevelType w:val="hybridMultilevel"/>
    <w:tmpl w:val="83F4AE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B5025E"/>
    <w:multiLevelType w:val="hybridMultilevel"/>
    <w:tmpl w:val="194E2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7A0213"/>
    <w:multiLevelType w:val="multilevel"/>
    <w:tmpl w:val="1B9C7A72"/>
    <w:lvl w:ilvl="0">
      <w:start w:val="1"/>
      <w:numFmt w:val="lowerLetter"/>
      <w:lvlText w:val="(%1)"/>
      <w:lvlJc w:val="left"/>
      <w:pPr>
        <w:ind w:left="819" w:hanging="360"/>
      </w:pPr>
      <w:rPr>
        <w:rFonts w:hint="default"/>
      </w:rPr>
    </w:lvl>
    <w:lvl w:ilvl="1">
      <w:start w:val="1"/>
      <w:numFmt w:val="lowerLetter"/>
      <w:lvlText w:val="%2)"/>
      <w:lvlJc w:val="left"/>
      <w:pPr>
        <w:ind w:left="1179" w:hanging="360"/>
      </w:pPr>
    </w:lvl>
    <w:lvl w:ilvl="2">
      <w:start w:val="1"/>
      <w:numFmt w:val="lowerRoman"/>
      <w:lvlText w:val="%3)"/>
      <w:lvlJc w:val="left"/>
      <w:pPr>
        <w:ind w:left="1539" w:hanging="360"/>
      </w:pPr>
    </w:lvl>
    <w:lvl w:ilvl="3">
      <w:start w:val="1"/>
      <w:numFmt w:val="decimal"/>
      <w:lvlText w:val="(%4)"/>
      <w:lvlJc w:val="left"/>
      <w:pPr>
        <w:ind w:left="1899" w:hanging="360"/>
      </w:pPr>
    </w:lvl>
    <w:lvl w:ilvl="4">
      <w:start w:val="1"/>
      <w:numFmt w:val="lowerLetter"/>
      <w:lvlText w:val="(%5)"/>
      <w:lvlJc w:val="left"/>
      <w:pPr>
        <w:ind w:left="2259" w:hanging="360"/>
      </w:pPr>
    </w:lvl>
    <w:lvl w:ilvl="5">
      <w:start w:val="1"/>
      <w:numFmt w:val="lowerRoman"/>
      <w:lvlText w:val="(%6)"/>
      <w:lvlJc w:val="left"/>
      <w:pPr>
        <w:ind w:left="2619" w:hanging="360"/>
      </w:pPr>
    </w:lvl>
    <w:lvl w:ilvl="6">
      <w:start w:val="1"/>
      <w:numFmt w:val="decimal"/>
      <w:lvlText w:val="%7."/>
      <w:lvlJc w:val="left"/>
      <w:pPr>
        <w:ind w:left="2979" w:hanging="360"/>
      </w:pPr>
    </w:lvl>
    <w:lvl w:ilvl="7">
      <w:start w:val="1"/>
      <w:numFmt w:val="lowerLetter"/>
      <w:lvlText w:val="%8."/>
      <w:lvlJc w:val="left"/>
      <w:pPr>
        <w:ind w:left="3339" w:hanging="360"/>
      </w:pPr>
    </w:lvl>
    <w:lvl w:ilvl="8">
      <w:start w:val="1"/>
      <w:numFmt w:val="lowerRoman"/>
      <w:lvlText w:val="%9."/>
      <w:lvlJc w:val="left"/>
      <w:pPr>
        <w:ind w:left="3699" w:hanging="36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A5142EC"/>
    <w:multiLevelType w:val="hybridMultilevel"/>
    <w:tmpl w:val="054216D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CAC2E0A"/>
    <w:multiLevelType w:val="hybridMultilevel"/>
    <w:tmpl w:val="E1D0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370327">
    <w:abstractNumId w:val="15"/>
  </w:num>
  <w:num w:numId="2" w16cid:durableId="2069499237">
    <w:abstractNumId w:val="30"/>
  </w:num>
  <w:num w:numId="3" w16cid:durableId="158270868">
    <w:abstractNumId w:val="34"/>
  </w:num>
  <w:num w:numId="4" w16cid:durableId="159275565">
    <w:abstractNumId w:val="4"/>
  </w:num>
  <w:num w:numId="5" w16cid:durableId="271714945">
    <w:abstractNumId w:val="5"/>
  </w:num>
  <w:num w:numId="6" w16cid:durableId="1351487209">
    <w:abstractNumId w:val="5"/>
  </w:num>
  <w:num w:numId="7" w16cid:durableId="1612737127">
    <w:abstractNumId w:val="8"/>
  </w:num>
  <w:num w:numId="8" w16cid:durableId="1334139419">
    <w:abstractNumId w:val="23"/>
  </w:num>
  <w:num w:numId="9" w16cid:durableId="935023265">
    <w:abstractNumId w:val="29"/>
  </w:num>
  <w:num w:numId="10" w16cid:durableId="268247158">
    <w:abstractNumId w:val="28"/>
  </w:num>
  <w:num w:numId="11" w16cid:durableId="143207059">
    <w:abstractNumId w:val="20"/>
  </w:num>
  <w:num w:numId="12" w16cid:durableId="445121453">
    <w:abstractNumId w:val="7"/>
  </w:num>
  <w:num w:numId="13" w16cid:durableId="1263953771">
    <w:abstractNumId w:val="7"/>
    <w:lvlOverride w:ilvl="0">
      <w:startOverride w:val="1"/>
    </w:lvlOverride>
  </w:num>
  <w:num w:numId="14" w16cid:durableId="199586161">
    <w:abstractNumId w:val="25"/>
  </w:num>
  <w:num w:numId="15" w16cid:durableId="584072443">
    <w:abstractNumId w:val="25"/>
    <w:lvlOverride w:ilvl="0">
      <w:startOverride w:val="1"/>
    </w:lvlOverride>
  </w:num>
  <w:num w:numId="16" w16cid:durableId="1638680439">
    <w:abstractNumId w:val="30"/>
    <w:lvlOverride w:ilvl="0">
      <w:startOverride w:val="1"/>
    </w:lvlOverride>
  </w:num>
  <w:num w:numId="17" w16cid:durableId="1376001245">
    <w:abstractNumId w:val="25"/>
    <w:lvlOverride w:ilvl="0">
      <w:startOverride w:val="1"/>
    </w:lvlOverride>
  </w:num>
  <w:num w:numId="18" w16cid:durableId="1480611021">
    <w:abstractNumId w:val="36"/>
  </w:num>
  <w:num w:numId="19" w16cid:durableId="1967006738">
    <w:abstractNumId w:val="30"/>
    <w:lvlOverride w:ilvl="0">
      <w:startOverride w:val="1"/>
    </w:lvlOverride>
  </w:num>
  <w:num w:numId="20" w16cid:durableId="323556548">
    <w:abstractNumId w:val="30"/>
    <w:lvlOverride w:ilvl="0">
      <w:startOverride w:val="1"/>
    </w:lvlOverride>
  </w:num>
  <w:num w:numId="21" w16cid:durableId="542139496">
    <w:abstractNumId w:val="30"/>
    <w:lvlOverride w:ilvl="0">
      <w:startOverride w:val="1"/>
    </w:lvlOverride>
  </w:num>
  <w:num w:numId="22" w16cid:durableId="273290841">
    <w:abstractNumId w:val="35"/>
  </w:num>
  <w:num w:numId="23" w16cid:durableId="583420971">
    <w:abstractNumId w:val="30"/>
    <w:lvlOverride w:ilvl="0">
      <w:startOverride w:val="1"/>
    </w:lvlOverride>
  </w:num>
  <w:num w:numId="24" w16cid:durableId="293491620">
    <w:abstractNumId w:val="19"/>
  </w:num>
  <w:num w:numId="25" w16cid:durableId="769399569">
    <w:abstractNumId w:val="10"/>
  </w:num>
  <w:num w:numId="26" w16cid:durableId="473987928">
    <w:abstractNumId w:val="14"/>
  </w:num>
  <w:num w:numId="27" w16cid:durableId="1704745179">
    <w:abstractNumId w:val="0"/>
  </w:num>
  <w:num w:numId="28" w16cid:durableId="180362884">
    <w:abstractNumId w:val="21"/>
  </w:num>
  <w:num w:numId="29" w16cid:durableId="1794403602">
    <w:abstractNumId w:val="3"/>
  </w:num>
  <w:num w:numId="30" w16cid:durableId="581644812">
    <w:abstractNumId w:val="12"/>
  </w:num>
  <w:num w:numId="31" w16cid:durableId="1165709393">
    <w:abstractNumId w:val="37"/>
  </w:num>
  <w:num w:numId="32" w16cid:durableId="1440300467">
    <w:abstractNumId w:val="17"/>
  </w:num>
  <w:num w:numId="33" w16cid:durableId="468518360">
    <w:abstractNumId w:val="27"/>
  </w:num>
  <w:num w:numId="34" w16cid:durableId="331490392">
    <w:abstractNumId w:val="2"/>
  </w:num>
  <w:num w:numId="35" w16cid:durableId="95489707">
    <w:abstractNumId w:val="32"/>
  </w:num>
  <w:num w:numId="36" w16cid:durableId="832112756">
    <w:abstractNumId w:val="13"/>
  </w:num>
  <w:num w:numId="37" w16cid:durableId="1121337813">
    <w:abstractNumId w:val="11"/>
  </w:num>
  <w:num w:numId="38" w16cid:durableId="544372140">
    <w:abstractNumId w:val="24"/>
  </w:num>
  <w:num w:numId="39" w16cid:durableId="801582010">
    <w:abstractNumId w:val="16"/>
  </w:num>
  <w:num w:numId="40" w16cid:durableId="278341976">
    <w:abstractNumId w:val="26"/>
  </w:num>
  <w:num w:numId="41" w16cid:durableId="1673144325">
    <w:abstractNumId w:val="1"/>
  </w:num>
  <w:num w:numId="42" w16cid:durableId="1573614512">
    <w:abstractNumId w:val="31"/>
  </w:num>
  <w:num w:numId="43" w16cid:durableId="1288438525">
    <w:abstractNumId w:val="18"/>
  </w:num>
  <w:num w:numId="44" w16cid:durableId="697318299">
    <w:abstractNumId w:val="9"/>
  </w:num>
  <w:num w:numId="45" w16cid:durableId="510872955">
    <w:abstractNumId w:val="6"/>
  </w:num>
  <w:num w:numId="46" w16cid:durableId="946891478">
    <w:abstractNumId w:val="22"/>
  </w:num>
  <w:num w:numId="47" w16cid:durableId="101580972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movePersonalInformation/>
  <w:removeDateAndTim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2A5"/>
    <w:rsid w:val="000152C1"/>
    <w:rsid w:val="00015B70"/>
    <w:rsid w:val="00021568"/>
    <w:rsid w:val="000216FB"/>
    <w:rsid w:val="00021DCC"/>
    <w:rsid w:val="000265D6"/>
    <w:rsid w:val="00040598"/>
    <w:rsid w:val="00040A73"/>
    <w:rsid w:val="00044568"/>
    <w:rsid w:val="0007449E"/>
    <w:rsid w:val="00075F91"/>
    <w:rsid w:val="00076C63"/>
    <w:rsid w:val="0008017B"/>
    <w:rsid w:val="000925A0"/>
    <w:rsid w:val="00092FA0"/>
    <w:rsid w:val="00093498"/>
    <w:rsid w:val="000C3427"/>
    <w:rsid w:val="000C40E1"/>
    <w:rsid w:val="000C4DF6"/>
    <w:rsid w:val="000D0BD3"/>
    <w:rsid w:val="000D1651"/>
    <w:rsid w:val="000D3313"/>
    <w:rsid w:val="000D4761"/>
    <w:rsid w:val="00100537"/>
    <w:rsid w:val="001019B2"/>
    <w:rsid w:val="00102106"/>
    <w:rsid w:val="001079E9"/>
    <w:rsid w:val="001103AC"/>
    <w:rsid w:val="0012727D"/>
    <w:rsid w:val="00130EAC"/>
    <w:rsid w:val="00132581"/>
    <w:rsid w:val="00140E4E"/>
    <w:rsid w:val="0017159F"/>
    <w:rsid w:val="00174744"/>
    <w:rsid w:val="0018250D"/>
    <w:rsid w:val="0018379F"/>
    <w:rsid w:val="00184909"/>
    <w:rsid w:val="00184A0D"/>
    <w:rsid w:val="001870E7"/>
    <w:rsid w:val="001919CE"/>
    <w:rsid w:val="00195994"/>
    <w:rsid w:val="001A0531"/>
    <w:rsid w:val="001A5310"/>
    <w:rsid w:val="001B0009"/>
    <w:rsid w:val="001B2F1E"/>
    <w:rsid w:val="001B3AB1"/>
    <w:rsid w:val="001B4E1C"/>
    <w:rsid w:val="001C2C08"/>
    <w:rsid w:val="001D21A4"/>
    <w:rsid w:val="001D2474"/>
    <w:rsid w:val="001D35F4"/>
    <w:rsid w:val="001E3385"/>
    <w:rsid w:val="001E44FC"/>
    <w:rsid w:val="001E62A5"/>
    <w:rsid w:val="001F12C5"/>
    <w:rsid w:val="001F1800"/>
    <w:rsid w:val="001F5A32"/>
    <w:rsid w:val="001F5B61"/>
    <w:rsid w:val="001F6057"/>
    <w:rsid w:val="002006BB"/>
    <w:rsid w:val="00202BFD"/>
    <w:rsid w:val="00206F27"/>
    <w:rsid w:val="00221A2C"/>
    <w:rsid w:val="002312BF"/>
    <w:rsid w:val="00240C91"/>
    <w:rsid w:val="00243A83"/>
    <w:rsid w:val="00246B56"/>
    <w:rsid w:val="00260E36"/>
    <w:rsid w:val="002774D8"/>
    <w:rsid w:val="00281581"/>
    <w:rsid w:val="00285CDA"/>
    <w:rsid w:val="002A2D65"/>
    <w:rsid w:val="002A3E43"/>
    <w:rsid w:val="002B00CA"/>
    <w:rsid w:val="002B559C"/>
    <w:rsid w:val="002C2013"/>
    <w:rsid w:val="002C70B9"/>
    <w:rsid w:val="002D4A55"/>
    <w:rsid w:val="002D4AED"/>
    <w:rsid w:val="002E0587"/>
    <w:rsid w:val="002E0AC0"/>
    <w:rsid w:val="002E41DC"/>
    <w:rsid w:val="002F1ADF"/>
    <w:rsid w:val="002F2401"/>
    <w:rsid w:val="00310608"/>
    <w:rsid w:val="0031385C"/>
    <w:rsid w:val="0031548C"/>
    <w:rsid w:val="00320331"/>
    <w:rsid w:val="00321BD2"/>
    <w:rsid w:val="00323F22"/>
    <w:rsid w:val="00324719"/>
    <w:rsid w:val="00333138"/>
    <w:rsid w:val="003410A5"/>
    <w:rsid w:val="003476A9"/>
    <w:rsid w:val="0035268F"/>
    <w:rsid w:val="00354FA1"/>
    <w:rsid w:val="00361E8A"/>
    <w:rsid w:val="00364774"/>
    <w:rsid w:val="003852C1"/>
    <w:rsid w:val="00387C4E"/>
    <w:rsid w:val="003940A3"/>
    <w:rsid w:val="003A4908"/>
    <w:rsid w:val="003C4E5D"/>
    <w:rsid w:val="003C6F10"/>
    <w:rsid w:val="003C78AB"/>
    <w:rsid w:val="003D1E54"/>
    <w:rsid w:val="003F1C16"/>
    <w:rsid w:val="003F428E"/>
    <w:rsid w:val="003F42EF"/>
    <w:rsid w:val="00403B9A"/>
    <w:rsid w:val="004040CB"/>
    <w:rsid w:val="004335E2"/>
    <w:rsid w:val="00435A96"/>
    <w:rsid w:val="004516C5"/>
    <w:rsid w:val="004530CB"/>
    <w:rsid w:val="00460A1E"/>
    <w:rsid w:val="00461737"/>
    <w:rsid w:val="00463529"/>
    <w:rsid w:val="0046590B"/>
    <w:rsid w:val="004701EE"/>
    <w:rsid w:val="004761A1"/>
    <w:rsid w:val="00481702"/>
    <w:rsid w:val="004875C5"/>
    <w:rsid w:val="004930BC"/>
    <w:rsid w:val="004961D9"/>
    <w:rsid w:val="00497084"/>
    <w:rsid w:val="004A2A2D"/>
    <w:rsid w:val="004A3B36"/>
    <w:rsid w:val="004B23A6"/>
    <w:rsid w:val="004B3DF5"/>
    <w:rsid w:val="004C67B0"/>
    <w:rsid w:val="004F0F23"/>
    <w:rsid w:val="004F1CC1"/>
    <w:rsid w:val="004F3BD9"/>
    <w:rsid w:val="00501A6C"/>
    <w:rsid w:val="00511AE8"/>
    <w:rsid w:val="00513E9A"/>
    <w:rsid w:val="0051473A"/>
    <w:rsid w:val="00516FD4"/>
    <w:rsid w:val="00537248"/>
    <w:rsid w:val="0054455E"/>
    <w:rsid w:val="00556934"/>
    <w:rsid w:val="00560487"/>
    <w:rsid w:val="00576102"/>
    <w:rsid w:val="005835C8"/>
    <w:rsid w:val="005A059F"/>
    <w:rsid w:val="005A1B0E"/>
    <w:rsid w:val="005A206E"/>
    <w:rsid w:val="005A3CE6"/>
    <w:rsid w:val="005B013C"/>
    <w:rsid w:val="005C76FB"/>
    <w:rsid w:val="005D22C3"/>
    <w:rsid w:val="005E04A3"/>
    <w:rsid w:val="005E2605"/>
    <w:rsid w:val="005E425E"/>
    <w:rsid w:val="005F26A3"/>
    <w:rsid w:val="00604A4D"/>
    <w:rsid w:val="00606157"/>
    <w:rsid w:val="00612836"/>
    <w:rsid w:val="00615C81"/>
    <w:rsid w:val="006445DC"/>
    <w:rsid w:val="0065280C"/>
    <w:rsid w:val="00657ED6"/>
    <w:rsid w:val="00664CEF"/>
    <w:rsid w:val="00666F02"/>
    <w:rsid w:val="006674E7"/>
    <w:rsid w:val="00675F7E"/>
    <w:rsid w:val="00681B8C"/>
    <w:rsid w:val="00682E81"/>
    <w:rsid w:val="006A317A"/>
    <w:rsid w:val="006A6EAB"/>
    <w:rsid w:val="006B293D"/>
    <w:rsid w:val="006B59E4"/>
    <w:rsid w:val="006C3457"/>
    <w:rsid w:val="006C4A0D"/>
    <w:rsid w:val="006C67C5"/>
    <w:rsid w:val="006E1395"/>
    <w:rsid w:val="006E4294"/>
    <w:rsid w:val="006E7F30"/>
    <w:rsid w:val="006F2BE0"/>
    <w:rsid w:val="006F62BB"/>
    <w:rsid w:val="007025B3"/>
    <w:rsid w:val="0071010E"/>
    <w:rsid w:val="00722935"/>
    <w:rsid w:val="007300CA"/>
    <w:rsid w:val="00736A4C"/>
    <w:rsid w:val="00740C87"/>
    <w:rsid w:val="007417C7"/>
    <w:rsid w:val="00741E84"/>
    <w:rsid w:val="007433A2"/>
    <w:rsid w:val="0074762C"/>
    <w:rsid w:val="00752E34"/>
    <w:rsid w:val="00762843"/>
    <w:rsid w:val="007725CF"/>
    <w:rsid w:val="00772E70"/>
    <w:rsid w:val="00777C98"/>
    <w:rsid w:val="0078590B"/>
    <w:rsid w:val="007951C9"/>
    <w:rsid w:val="00795336"/>
    <w:rsid w:val="007A027A"/>
    <w:rsid w:val="007A04DE"/>
    <w:rsid w:val="007A0BA6"/>
    <w:rsid w:val="007A0DEA"/>
    <w:rsid w:val="007A3908"/>
    <w:rsid w:val="007A5DF7"/>
    <w:rsid w:val="007A7247"/>
    <w:rsid w:val="007C0C0C"/>
    <w:rsid w:val="007C1054"/>
    <w:rsid w:val="007C7238"/>
    <w:rsid w:val="007C77BC"/>
    <w:rsid w:val="007D514B"/>
    <w:rsid w:val="007D5D9A"/>
    <w:rsid w:val="007D6E89"/>
    <w:rsid w:val="007D771D"/>
    <w:rsid w:val="007E0069"/>
    <w:rsid w:val="007E2CB2"/>
    <w:rsid w:val="007F1DB4"/>
    <w:rsid w:val="00801FDF"/>
    <w:rsid w:val="00805513"/>
    <w:rsid w:val="0080620F"/>
    <w:rsid w:val="008062E0"/>
    <w:rsid w:val="00817046"/>
    <w:rsid w:val="00834468"/>
    <w:rsid w:val="00841EED"/>
    <w:rsid w:val="008507E2"/>
    <w:rsid w:val="00851133"/>
    <w:rsid w:val="0085551A"/>
    <w:rsid w:val="00874541"/>
    <w:rsid w:val="00876985"/>
    <w:rsid w:val="00880363"/>
    <w:rsid w:val="00882E04"/>
    <w:rsid w:val="00884120"/>
    <w:rsid w:val="00890670"/>
    <w:rsid w:val="008A06C2"/>
    <w:rsid w:val="008D0369"/>
    <w:rsid w:val="008D1EE3"/>
    <w:rsid w:val="008D517C"/>
    <w:rsid w:val="008D6DC2"/>
    <w:rsid w:val="008E0581"/>
    <w:rsid w:val="008E6A74"/>
    <w:rsid w:val="008E75A7"/>
    <w:rsid w:val="008F3E71"/>
    <w:rsid w:val="00900983"/>
    <w:rsid w:val="00910208"/>
    <w:rsid w:val="00925DC8"/>
    <w:rsid w:val="00935461"/>
    <w:rsid w:val="009523BE"/>
    <w:rsid w:val="009606F9"/>
    <w:rsid w:val="0096291A"/>
    <w:rsid w:val="00966802"/>
    <w:rsid w:val="0097225C"/>
    <w:rsid w:val="0097478E"/>
    <w:rsid w:val="0097488E"/>
    <w:rsid w:val="00980EF6"/>
    <w:rsid w:val="0098778C"/>
    <w:rsid w:val="009919D3"/>
    <w:rsid w:val="00995DDC"/>
    <w:rsid w:val="00996DD1"/>
    <w:rsid w:val="009A3B9C"/>
    <w:rsid w:val="009A552C"/>
    <w:rsid w:val="009A6438"/>
    <w:rsid w:val="009C00E4"/>
    <w:rsid w:val="009C1114"/>
    <w:rsid w:val="009D6517"/>
    <w:rsid w:val="00A14BC3"/>
    <w:rsid w:val="00A2397C"/>
    <w:rsid w:val="00A26290"/>
    <w:rsid w:val="00A47568"/>
    <w:rsid w:val="00A478E7"/>
    <w:rsid w:val="00A54FA0"/>
    <w:rsid w:val="00A56E10"/>
    <w:rsid w:val="00A769F3"/>
    <w:rsid w:val="00A82BE6"/>
    <w:rsid w:val="00A96B21"/>
    <w:rsid w:val="00AA083A"/>
    <w:rsid w:val="00AA2A5D"/>
    <w:rsid w:val="00AA48CF"/>
    <w:rsid w:val="00AA59F1"/>
    <w:rsid w:val="00AA6A95"/>
    <w:rsid w:val="00AB3CFC"/>
    <w:rsid w:val="00AD175E"/>
    <w:rsid w:val="00AE027F"/>
    <w:rsid w:val="00AE1A95"/>
    <w:rsid w:val="00AF1C26"/>
    <w:rsid w:val="00B0384D"/>
    <w:rsid w:val="00B05C70"/>
    <w:rsid w:val="00B13D0D"/>
    <w:rsid w:val="00B1477B"/>
    <w:rsid w:val="00B17905"/>
    <w:rsid w:val="00B23F95"/>
    <w:rsid w:val="00B24F9B"/>
    <w:rsid w:val="00B36EA9"/>
    <w:rsid w:val="00B4275E"/>
    <w:rsid w:val="00B50862"/>
    <w:rsid w:val="00B523D1"/>
    <w:rsid w:val="00B61BC0"/>
    <w:rsid w:val="00B7732B"/>
    <w:rsid w:val="00B778EC"/>
    <w:rsid w:val="00B81EFD"/>
    <w:rsid w:val="00B827D5"/>
    <w:rsid w:val="00B86A85"/>
    <w:rsid w:val="00BA1AA8"/>
    <w:rsid w:val="00BA414C"/>
    <w:rsid w:val="00BA4389"/>
    <w:rsid w:val="00BA5788"/>
    <w:rsid w:val="00BB5D5E"/>
    <w:rsid w:val="00BD3632"/>
    <w:rsid w:val="00BD75EE"/>
    <w:rsid w:val="00BE1A03"/>
    <w:rsid w:val="00BE5E7F"/>
    <w:rsid w:val="00BE6BA8"/>
    <w:rsid w:val="00BF60B0"/>
    <w:rsid w:val="00C02959"/>
    <w:rsid w:val="00C1553A"/>
    <w:rsid w:val="00C2354A"/>
    <w:rsid w:val="00C237D6"/>
    <w:rsid w:val="00C35F08"/>
    <w:rsid w:val="00C41599"/>
    <w:rsid w:val="00C505F1"/>
    <w:rsid w:val="00C54DE2"/>
    <w:rsid w:val="00C67E9C"/>
    <w:rsid w:val="00C70311"/>
    <w:rsid w:val="00C778EF"/>
    <w:rsid w:val="00C80688"/>
    <w:rsid w:val="00C859D1"/>
    <w:rsid w:val="00CA34F8"/>
    <w:rsid w:val="00CB0F4C"/>
    <w:rsid w:val="00CC474D"/>
    <w:rsid w:val="00CC4CFD"/>
    <w:rsid w:val="00CD1D6B"/>
    <w:rsid w:val="00CD67AD"/>
    <w:rsid w:val="00CE5D37"/>
    <w:rsid w:val="00CF284E"/>
    <w:rsid w:val="00CF4A47"/>
    <w:rsid w:val="00CF70AB"/>
    <w:rsid w:val="00D122AB"/>
    <w:rsid w:val="00D163F5"/>
    <w:rsid w:val="00D25AB4"/>
    <w:rsid w:val="00D3059B"/>
    <w:rsid w:val="00D362B0"/>
    <w:rsid w:val="00D36A1A"/>
    <w:rsid w:val="00D36B97"/>
    <w:rsid w:val="00D457D7"/>
    <w:rsid w:val="00D53FF4"/>
    <w:rsid w:val="00D60046"/>
    <w:rsid w:val="00D66EE5"/>
    <w:rsid w:val="00D71C47"/>
    <w:rsid w:val="00D71FFB"/>
    <w:rsid w:val="00D7497E"/>
    <w:rsid w:val="00D9024A"/>
    <w:rsid w:val="00D93E7D"/>
    <w:rsid w:val="00D966B9"/>
    <w:rsid w:val="00D9735A"/>
    <w:rsid w:val="00DB74C4"/>
    <w:rsid w:val="00DE1234"/>
    <w:rsid w:val="00E0143E"/>
    <w:rsid w:val="00E1597C"/>
    <w:rsid w:val="00E16C74"/>
    <w:rsid w:val="00E24209"/>
    <w:rsid w:val="00E313A4"/>
    <w:rsid w:val="00E34847"/>
    <w:rsid w:val="00E40748"/>
    <w:rsid w:val="00E73614"/>
    <w:rsid w:val="00E75DA7"/>
    <w:rsid w:val="00E938D5"/>
    <w:rsid w:val="00EA08A4"/>
    <w:rsid w:val="00EA7A59"/>
    <w:rsid w:val="00EB6830"/>
    <w:rsid w:val="00EC76BF"/>
    <w:rsid w:val="00ED3849"/>
    <w:rsid w:val="00EE2D4A"/>
    <w:rsid w:val="00EF0600"/>
    <w:rsid w:val="00F146BB"/>
    <w:rsid w:val="00F1514C"/>
    <w:rsid w:val="00F16713"/>
    <w:rsid w:val="00F258FB"/>
    <w:rsid w:val="00F32A08"/>
    <w:rsid w:val="00F33A8C"/>
    <w:rsid w:val="00F33F12"/>
    <w:rsid w:val="00F41C22"/>
    <w:rsid w:val="00F55E8E"/>
    <w:rsid w:val="00F66ABF"/>
    <w:rsid w:val="00F7079D"/>
    <w:rsid w:val="00F871C2"/>
    <w:rsid w:val="00F92E56"/>
    <w:rsid w:val="00FA1267"/>
    <w:rsid w:val="00FA18C9"/>
    <w:rsid w:val="00FA6146"/>
    <w:rsid w:val="00FB478E"/>
    <w:rsid w:val="00FB5509"/>
    <w:rsid w:val="00FD7DB7"/>
    <w:rsid w:val="00FF3545"/>
    <w:rsid w:val="00FF5D4B"/>
    <w:rsid w:val="040D6A99"/>
    <w:rsid w:val="04C87236"/>
    <w:rsid w:val="0717F4FA"/>
    <w:rsid w:val="07710F81"/>
    <w:rsid w:val="07B80F9E"/>
    <w:rsid w:val="07D1DC62"/>
    <w:rsid w:val="081AE599"/>
    <w:rsid w:val="089A5276"/>
    <w:rsid w:val="093BFDE6"/>
    <w:rsid w:val="0A0C396C"/>
    <w:rsid w:val="0A75A184"/>
    <w:rsid w:val="0A7AAC55"/>
    <w:rsid w:val="0C3F0977"/>
    <w:rsid w:val="0FBFF8B1"/>
    <w:rsid w:val="105E6F32"/>
    <w:rsid w:val="13054D46"/>
    <w:rsid w:val="134BBF56"/>
    <w:rsid w:val="1730B79D"/>
    <w:rsid w:val="17986B14"/>
    <w:rsid w:val="1961FDC5"/>
    <w:rsid w:val="1A56197B"/>
    <w:rsid w:val="1CBC65BD"/>
    <w:rsid w:val="1D2E9B14"/>
    <w:rsid w:val="1DD07487"/>
    <w:rsid w:val="20A5DFFA"/>
    <w:rsid w:val="20E6DE88"/>
    <w:rsid w:val="220CFA80"/>
    <w:rsid w:val="22F45EF6"/>
    <w:rsid w:val="24655146"/>
    <w:rsid w:val="26BE74BA"/>
    <w:rsid w:val="28B3D436"/>
    <w:rsid w:val="2AFC0E38"/>
    <w:rsid w:val="2BD36627"/>
    <w:rsid w:val="2C3351A6"/>
    <w:rsid w:val="2CB388F5"/>
    <w:rsid w:val="2D3D82B5"/>
    <w:rsid w:val="2D7E574D"/>
    <w:rsid w:val="2DE536AE"/>
    <w:rsid w:val="2E324E50"/>
    <w:rsid w:val="2EBFDE65"/>
    <w:rsid w:val="2F522D50"/>
    <w:rsid w:val="2FD56B9D"/>
    <w:rsid w:val="3039D697"/>
    <w:rsid w:val="303E56CF"/>
    <w:rsid w:val="31B292CF"/>
    <w:rsid w:val="322148D6"/>
    <w:rsid w:val="33CB8E4A"/>
    <w:rsid w:val="3530BED5"/>
    <w:rsid w:val="361E21AD"/>
    <w:rsid w:val="3788215C"/>
    <w:rsid w:val="3A3AE39A"/>
    <w:rsid w:val="3BAC0F91"/>
    <w:rsid w:val="3D4CCD3B"/>
    <w:rsid w:val="3D96BEA5"/>
    <w:rsid w:val="3EFF2581"/>
    <w:rsid w:val="409C6A63"/>
    <w:rsid w:val="42110539"/>
    <w:rsid w:val="42F529A0"/>
    <w:rsid w:val="43EAB9B3"/>
    <w:rsid w:val="45D27FC5"/>
    <w:rsid w:val="461F5A2B"/>
    <w:rsid w:val="46828A44"/>
    <w:rsid w:val="488349FB"/>
    <w:rsid w:val="4A4E0386"/>
    <w:rsid w:val="4AEEF85D"/>
    <w:rsid w:val="4C3EF94E"/>
    <w:rsid w:val="4D8945EF"/>
    <w:rsid w:val="4F43678B"/>
    <w:rsid w:val="513B3290"/>
    <w:rsid w:val="513EF6DD"/>
    <w:rsid w:val="516EC71E"/>
    <w:rsid w:val="5200C9F4"/>
    <w:rsid w:val="52ABC5CC"/>
    <w:rsid w:val="52D035B1"/>
    <w:rsid w:val="54BD7FCB"/>
    <w:rsid w:val="54CFE431"/>
    <w:rsid w:val="55C8636E"/>
    <w:rsid w:val="5736A185"/>
    <w:rsid w:val="5AC0D365"/>
    <w:rsid w:val="5B0798B6"/>
    <w:rsid w:val="5F3165F5"/>
    <w:rsid w:val="61C7DEF4"/>
    <w:rsid w:val="627C4A96"/>
    <w:rsid w:val="63860D01"/>
    <w:rsid w:val="63D991D5"/>
    <w:rsid w:val="6616B28C"/>
    <w:rsid w:val="67093091"/>
    <w:rsid w:val="68E3F631"/>
    <w:rsid w:val="68FE0C14"/>
    <w:rsid w:val="6B40024E"/>
    <w:rsid w:val="6D30609D"/>
    <w:rsid w:val="6E3CE41A"/>
    <w:rsid w:val="705388EC"/>
    <w:rsid w:val="72B80267"/>
    <w:rsid w:val="736D874C"/>
    <w:rsid w:val="79F44265"/>
    <w:rsid w:val="7F8F4AD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AC4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606F9"/>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styleId="ListParagraph">
    <w:name w:val="List Paragraph"/>
    <w:basedOn w:val="Normal"/>
    <w:uiPriority w:val="34"/>
    <w:qFormat/>
    <w:rsid w:val="00736A4C"/>
    <w:pPr>
      <w:ind w:left="720"/>
      <w:contextualSpacing/>
      <w:jc w:val="left"/>
    </w:pPr>
    <w:rPr>
      <w:rFonts w:asciiTheme="minorHAnsi" w:eastAsiaTheme="minorHAnsi" w:hAnsiTheme="minorHAnsi" w:cstheme="minorBidi"/>
      <w:kern w:val="2"/>
      <w:sz w:val="24"/>
      <w:lang w:val="en-CA"/>
      <w14:ligatures w14:val="standardContextual"/>
    </w:rPr>
  </w:style>
  <w:style w:type="character" w:styleId="Hyperlink">
    <w:name w:val="Hyperlink"/>
    <w:basedOn w:val="DefaultParagraphFont"/>
    <w:uiPriority w:val="99"/>
    <w:unhideWhenUsed/>
    <w:rsid w:val="007D5D9A"/>
    <w:rPr>
      <w:color w:val="0563C1" w:themeColor="hyperlink"/>
      <w:u w:val="single"/>
    </w:rPr>
  </w:style>
  <w:style w:type="character" w:customStyle="1" w:styleId="ui-provider">
    <w:name w:val="ui-provider"/>
    <w:basedOn w:val="DefaultParagraphFont"/>
    <w:rsid w:val="007D5D9A"/>
  </w:style>
  <w:style w:type="character" w:styleId="Emphasis">
    <w:name w:val="Emphasis"/>
    <w:basedOn w:val="DefaultParagraphFont"/>
    <w:uiPriority w:val="20"/>
    <w:qFormat/>
    <w:rsid w:val="007C7238"/>
    <w:rPr>
      <w:i/>
      <w:iCs/>
    </w:rPr>
  </w:style>
  <w:style w:type="character" w:styleId="UnresolvedMention">
    <w:name w:val="Unresolved Mention"/>
    <w:basedOn w:val="DefaultParagraphFont"/>
    <w:uiPriority w:val="99"/>
    <w:semiHidden/>
    <w:unhideWhenUsed/>
    <w:rsid w:val="0097225C"/>
    <w:rPr>
      <w:color w:val="605E5C"/>
      <w:shd w:val="clear" w:color="auto" w:fill="E1DFDD"/>
    </w:rPr>
  </w:style>
  <w:style w:type="paragraph" w:styleId="Revision">
    <w:name w:val="Revision"/>
    <w:hidden/>
    <w:uiPriority w:val="99"/>
    <w:semiHidden/>
    <w:rsid w:val="003F1C16"/>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0216FB"/>
    <w:rPr>
      <w:color w:val="954F72" w:themeColor="followedHyperlink"/>
      <w:u w:val="single"/>
    </w:rPr>
  </w:style>
  <w:style w:type="character" w:styleId="Mention">
    <w:name w:val="Mention"/>
    <w:basedOn w:val="DefaultParagraphFont"/>
    <w:uiPriority w:val="99"/>
    <w:unhideWhenUsed/>
    <w:rsid w:val="00805513"/>
    <w:rPr>
      <w:color w:val="2B579A"/>
      <w:shd w:val="clear" w:color="auto" w:fill="E6E6E6"/>
    </w:rPr>
  </w:style>
  <w:style w:type="paragraph" w:customStyle="1" w:styleId="ABSymbol">
    <w:name w:val="AB_Symbol"/>
    <w:basedOn w:val="Normal"/>
    <w:qFormat/>
    <w:rsid w:val="001E44FC"/>
    <w:pPr>
      <w:tabs>
        <w:tab w:val="left" w:pos="1871"/>
        <w:tab w:val="left" w:pos="2495"/>
        <w:tab w:val="right" w:pos="2920"/>
        <w:tab w:val="left" w:pos="3119"/>
        <w:tab w:val="left" w:pos="3742"/>
        <w:tab w:val="left" w:pos="4366"/>
        <w:tab w:val="left" w:pos="4990"/>
      </w:tabs>
      <w:spacing w:after="120"/>
      <w:ind w:left="2019"/>
      <w:jc w:val="right"/>
    </w:pPr>
    <w:rPr>
      <w:rFonts w:eastAsia="SimSun"/>
      <w:sz w:val="20"/>
      <w:szCs w:val="20"/>
      <w:lang w:val="fr-FR"/>
    </w:rPr>
  </w:style>
  <w:style w:type="paragraph" w:customStyle="1" w:styleId="AENormal">
    <w:name w:val="AE_Normal"/>
    <w:basedOn w:val="Normal"/>
    <w:rsid w:val="001E44FC"/>
    <w:rPr>
      <w:rFonts w:eastAsia="SimSun"/>
      <w:szCs w:val="22"/>
      <w:lang w:val="fr-FR"/>
    </w:rPr>
  </w:style>
  <w:style w:type="paragraph" w:customStyle="1" w:styleId="ADDistribution">
    <w:name w:val="AD_Distribution"/>
    <w:basedOn w:val="Normal"/>
    <w:rsid w:val="001E44FC"/>
    <w:pPr>
      <w:ind w:left="2586"/>
      <w:jc w:val="left"/>
    </w:pPr>
    <w:rPr>
      <w:rFonts w:eastAsia="SimSun"/>
      <w:szCs w:val="22"/>
      <w:lang w:val="fr-FR"/>
    </w:rPr>
  </w:style>
  <w:style w:type="paragraph" w:customStyle="1" w:styleId="AASmallLogo">
    <w:name w:val="AA_SmallLogo"/>
    <w:basedOn w:val="AENormal"/>
    <w:rsid w:val="001E44FC"/>
    <w:pPr>
      <w:spacing w:after="120"/>
    </w:pPr>
  </w:style>
  <w:style w:type="paragraph" w:customStyle="1" w:styleId="ACLargeLogo">
    <w:name w:val="AC_LargeLogo"/>
    <w:basedOn w:val="AENormal"/>
    <w:rsid w:val="001E44FC"/>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63245">
      <w:bodyDiv w:val="1"/>
      <w:marLeft w:val="0"/>
      <w:marRight w:val="0"/>
      <w:marTop w:val="0"/>
      <w:marBottom w:val="0"/>
      <w:divBdr>
        <w:top w:val="none" w:sz="0" w:space="0" w:color="auto"/>
        <w:left w:val="none" w:sz="0" w:space="0" w:color="auto"/>
        <w:bottom w:val="none" w:sz="0" w:space="0" w:color="auto"/>
        <w:right w:val="none" w:sz="0" w:space="0" w:color="auto"/>
      </w:divBdr>
    </w:div>
    <w:div w:id="148288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soi"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ebsa/ebsas"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CDC722B3EFEE846AAA78629113A7D38"/>
        <w:category>
          <w:name w:val="General"/>
          <w:gallery w:val="placeholder"/>
        </w:category>
        <w:types>
          <w:type w:val="bbPlcHdr"/>
        </w:types>
        <w:behaviors>
          <w:behavior w:val="content"/>
        </w:behaviors>
        <w:guid w:val="{6EC2A900-5430-BE49-8DB2-B6DFC07C538C}"/>
      </w:docPartPr>
      <w:docPartBody>
        <w:p w:rsidR="00235A05" w:rsidRDefault="003E4773">
          <w:pPr>
            <w:pStyle w:val="BCDC722B3EFEE846AAA78629113A7D3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A0D"/>
    <w:rsid w:val="001D2AFB"/>
    <w:rsid w:val="00230E62"/>
    <w:rsid w:val="00235A05"/>
    <w:rsid w:val="002C7BEE"/>
    <w:rsid w:val="003226A1"/>
    <w:rsid w:val="003860C9"/>
    <w:rsid w:val="003E3A56"/>
    <w:rsid w:val="003E4773"/>
    <w:rsid w:val="00422A02"/>
    <w:rsid w:val="00470646"/>
    <w:rsid w:val="00682A0D"/>
    <w:rsid w:val="006D2FCE"/>
    <w:rsid w:val="007A1AAE"/>
    <w:rsid w:val="00801FDF"/>
    <w:rsid w:val="009F6D50"/>
    <w:rsid w:val="00A82B5B"/>
    <w:rsid w:val="00AA083A"/>
    <w:rsid w:val="00B204BC"/>
    <w:rsid w:val="00D02ACF"/>
    <w:rsid w:val="00E731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CDC722B3EFEE846AAA78629113A7D38">
    <w:name w:val="BCDC722B3EFEE846AAA78629113A7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ED335B1-55D9-4AD3-A913-3CDE85F98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4111</Words>
  <Characters>23434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Potential options for modalities for collaboration and cooperation with relevant global and regional organizations in the context of BBNJ Agreement</vt:lpstr>
    </vt:vector>
  </TitlesOfParts>
  <Company/>
  <LinksUpToDate>false</LinksUpToDate>
  <CharactersWithSpaces>27491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options for modalities for collaboration and cooperation with relevant global and regional organizations in the context of the Agreement under the United Nations Convention on the Law of the Sea on the Conservation and Sustainable Use of Marine Biological Diversity of Areas Beyond National Jurisdiction</dc:title>
  <dc:subject>CBD/SBSTTA/26/INF/8</dc:subject>
  <dc:creator/>
  <cp:keywords/>
  <dc:description/>
  <cp:lastModifiedBy/>
  <cp:revision>1</cp:revision>
  <dcterms:created xsi:type="dcterms:W3CDTF">2024-04-29T18:18:00Z</dcterms:created>
  <dcterms:modified xsi:type="dcterms:W3CDTF">2024-05-16T12:01:00Z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